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F383C" w:rsidRPr="007A385A" w:rsidRDefault="00CF383C" w:rsidP="00CF383C">
      <w:pPr>
        <w:rPr>
          <w:rFonts w:ascii="Arial" w:hAnsi="Arial" w:cs="Arial"/>
          <w:b/>
          <w:bCs/>
          <w:sz w:val="40"/>
          <w:szCs w:val="40"/>
        </w:rPr>
      </w:pPr>
      <w:r w:rsidRPr="007A385A">
        <w:rPr>
          <w:rFonts w:ascii="Arial" w:hAnsi="Arial" w:cs="Arial"/>
          <w:b/>
          <w:bCs/>
          <w:sz w:val="40"/>
          <w:szCs w:val="40"/>
        </w:rPr>
        <w:t xml:space="preserve">Chapter </w:t>
      </w:r>
      <w:r>
        <w:rPr>
          <w:rFonts w:ascii="Arial" w:hAnsi="Arial" w:cs="Arial"/>
          <w:b/>
          <w:bCs/>
          <w:sz w:val="40"/>
          <w:szCs w:val="40"/>
        </w:rPr>
        <w:t>7</w:t>
      </w:r>
      <w:r w:rsidRPr="007A385A">
        <w:rPr>
          <w:rFonts w:ascii="Arial" w:hAnsi="Arial" w:cs="Arial"/>
          <w:b/>
          <w:bCs/>
          <w:sz w:val="40"/>
          <w:szCs w:val="40"/>
        </w:rPr>
        <w:t xml:space="preserve"> </w:t>
      </w:r>
      <w:r>
        <w:rPr>
          <w:rFonts w:ascii="Arial" w:hAnsi="Arial" w:cs="Arial"/>
          <w:b/>
          <w:bCs/>
          <w:color w:val="002060"/>
          <w:sz w:val="40"/>
          <w:szCs w:val="40"/>
        </w:rPr>
        <w:t>Conclusion</w:t>
      </w:r>
    </w:p>
    <w:p w:rsidR="00C07253" w:rsidRDefault="00C07253" w:rsidP="00C07253">
      <w:pPr>
        <w:rPr>
          <w:rFonts w:ascii="Arial" w:hAnsi="Arial" w:cs="Arial"/>
          <w:b/>
          <w:bCs/>
          <w:color w:val="002060"/>
          <w:sz w:val="40"/>
          <w:szCs w:val="40"/>
        </w:rPr>
      </w:pPr>
    </w:p>
    <w:p w:rsidR="00C07253" w:rsidRDefault="00C07253" w:rsidP="00C07253">
      <w:pPr>
        <w:rPr>
          <w:rFonts w:ascii="Arial" w:hAnsi="Arial" w:cs="Arial"/>
          <w:b/>
          <w:bCs/>
          <w:color w:val="002060"/>
          <w:sz w:val="40"/>
          <w:szCs w:val="40"/>
        </w:rPr>
      </w:pPr>
    </w:p>
    <w:p w:rsidR="00C07253" w:rsidRDefault="00C07253" w:rsidP="00C07253">
      <w:pPr>
        <w:rPr>
          <w:rFonts w:ascii="Arial" w:hAnsi="Arial" w:cs="Arial"/>
          <w:b/>
          <w:bCs/>
          <w:color w:val="002060"/>
          <w:sz w:val="40"/>
          <w:szCs w:val="40"/>
        </w:rPr>
      </w:pPr>
    </w:p>
    <w:p w:rsidR="00C07253" w:rsidRDefault="00C07253" w:rsidP="00C07253">
      <w:pPr>
        <w:rPr>
          <w:rFonts w:ascii="Arial" w:hAnsi="Arial" w:cs="Arial"/>
          <w:b/>
          <w:bCs/>
          <w:color w:val="002060"/>
          <w:sz w:val="40"/>
          <w:szCs w:val="40"/>
        </w:rPr>
      </w:pPr>
    </w:p>
    <w:p w:rsidR="00C07253" w:rsidRPr="00F43B5D" w:rsidRDefault="00C07253" w:rsidP="00C07253">
      <w:pPr>
        <w:jc w:val="center"/>
        <w:rPr>
          <w:rFonts w:ascii="Arial" w:hAnsi="Arial" w:cs="Arial"/>
          <w:b/>
          <w:bCs/>
          <w:color w:val="000000" w:themeColor="text1"/>
          <w:sz w:val="28"/>
        </w:rPr>
      </w:pPr>
      <w:r w:rsidRPr="00F43B5D">
        <w:rPr>
          <w:rFonts w:ascii="Arial" w:hAnsi="Arial" w:cs="Arial"/>
          <w:b/>
          <w:bCs/>
          <w:color w:val="000000" w:themeColor="text1"/>
          <w:sz w:val="28"/>
        </w:rPr>
        <w:t>“Implementing the Strategic Action Programme for the South China Sea and Gulf of Thailand (SCS SAP Project)”</w:t>
      </w:r>
    </w:p>
    <w:p w:rsidR="00C07253" w:rsidRPr="00150993" w:rsidRDefault="00C07253" w:rsidP="00C07253">
      <w:pPr>
        <w:rPr>
          <w:rFonts w:ascii="Arial" w:hAnsi="Arial" w:cs="Arial"/>
          <w:b/>
          <w:bCs/>
          <w:sz w:val="40"/>
          <w:szCs w:val="40"/>
        </w:rPr>
      </w:pPr>
    </w:p>
    <w:p w:rsidR="00C07253" w:rsidRPr="00150993" w:rsidRDefault="00C07253" w:rsidP="00C07253">
      <w:pPr>
        <w:rPr>
          <w:rFonts w:ascii="Arial" w:hAnsi="Arial" w:cs="Arial"/>
          <w:b/>
          <w:bCs/>
          <w:sz w:val="32"/>
          <w:szCs w:val="32"/>
        </w:rPr>
      </w:pPr>
    </w:p>
    <w:p w:rsidR="00C07253" w:rsidRPr="00150993" w:rsidRDefault="00C07253" w:rsidP="00C07253">
      <w:pPr>
        <w:rPr>
          <w:rFonts w:ascii="Arial" w:hAnsi="Arial" w:cs="Arial"/>
          <w:b/>
          <w:bCs/>
        </w:rPr>
      </w:pPr>
    </w:p>
    <w:p w:rsidR="00C07253" w:rsidRPr="00150993" w:rsidRDefault="00C07253" w:rsidP="00C07253">
      <w:pPr>
        <w:rPr>
          <w:rFonts w:ascii="Arial" w:hAnsi="Arial" w:cs="Arial"/>
          <w:b/>
          <w:bCs/>
        </w:rPr>
      </w:pPr>
    </w:p>
    <w:p w:rsidR="00C07253" w:rsidRPr="00150993" w:rsidRDefault="00C07253" w:rsidP="00C07253">
      <w:pPr>
        <w:rPr>
          <w:rFonts w:ascii="Arial" w:hAnsi="Arial" w:cs="Arial"/>
          <w:b/>
          <w:bCs/>
        </w:rPr>
      </w:pPr>
    </w:p>
    <w:p w:rsidR="00C07253" w:rsidRPr="00150993" w:rsidRDefault="00C07253" w:rsidP="00C07253">
      <w:pPr>
        <w:rPr>
          <w:rFonts w:ascii="Arial" w:hAnsi="Arial" w:cs="Arial"/>
          <w:b/>
          <w:bCs/>
        </w:rPr>
      </w:pPr>
    </w:p>
    <w:p w:rsidR="00C07253" w:rsidRPr="00150993" w:rsidRDefault="00C07253" w:rsidP="00C07253">
      <w:pPr>
        <w:rPr>
          <w:rFonts w:ascii="Arial" w:hAnsi="Arial" w:cs="Arial"/>
          <w:b/>
          <w:bCs/>
        </w:rPr>
      </w:pPr>
    </w:p>
    <w:p w:rsidR="00C07253" w:rsidRPr="00150993" w:rsidRDefault="00C07253" w:rsidP="00C07253">
      <w:pPr>
        <w:rPr>
          <w:rFonts w:ascii="Arial" w:hAnsi="Arial" w:cs="Arial"/>
          <w:b/>
          <w:bCs/>
        </w:rPr>
      </w:pPr>
    </w:p>
    <w:p w:rsidR="00C07253" w:rsidRPr="00150993" w:rsidRDefault="00C07253" w:rsidP="00C07253">
      <w:pPr>
        <w:rPr>
          <w:rFonts w:ascii="Arial" w:hAnsi="Arial" w:cs="Arial"/>
          <w:b/>
          <w:bCs/>
        </w:rPr>
      </w:pPr>
    </w:p>
    <w:p w:rsidR="00C07253" w:rsidRPr="00150993" w:rsidRDefault="00C07253" w:rsidP="00C07253">
      <w:pPr>
        <w:spacing w:line="276" w:lineRule="auto"/>
        <w:rPr>
          <w:rFonts w:ascii="Arial" w:hAnsi="Arial" w:cs="Arial"/>
          <w:b/>
          <w:bCs/>
        </w:rPr>
      </w:pPr>
      <w:r w:rsidRPr="00150993">
        <w:rPr>
          <w:rFonts w:ascii="Arial" w:hAnsi="Arial" w:cs="Arial"/>
          <w:b/>
          <w:bCs/>
        </w:rPr>
        <w:t xml:space="preserve">Version: </w:t>
      </w:r>
      <w:r>
        <w:rPr>
          <w:rFonts w:ascii="Arial" w:hAnsi="Arial" w:cs="Arial"/>
        </w:rPr>
        <w:t>Fourth</w:t>
      </w:r>
      <w:r w:rsidRPr="00150993">
        <w:rPr>
          <w:rFonts w:ascii="Arial" w:hAnsi="Arial" w:cs="Arial"/>
        </w:rPr>
        <w:t xml:space="preserve"> Draft</w:t>
      </w:r>
    </w:p>
    <w:p w:rsidR="00CF383C" w:rsidRPr="007A385A" w:rsidRDefault="00CF383C" w:rsidP="00CF383C">
      <w:pPr>
        <w:spacing w:line="276" w:lineRule="auto"/>
        <w:rPr>
          <w:rFonts w:ascii="Arial" w:hAnsi="Arial" w:cs="Arial"/>
          <w:b/>
          <w:bCs/>
        </w:rPr>
      </w:pPr>
      <w:r w:rsidRPr="007A385A">
        <w:rPr>
          <w:rFonts w:ascii="Arial" w:hAnsi="Arial" w:cs="Arial"/>
          <w:b/>
          <w:bCs/>
        </w:rPr>
        <w:t xml:space="preserve">Date: </w:t>
      </w:r>
      <w:r w:rsidR="00C07253">
        <w:rPr>
          <w:rFonts w:ascii="Arial" w:hAnsi="Arial" w:cs="Arial"/>
        </w:rPr>
        <w:t>21</w:t>
      </w:r>
      <w:r w:rsidR="00C07253">
        <w:rPr>
          <w:rFonts w:ascii="Arial" w:hAnsi="Arial" w:cs="Arial"/>
          <w:vertAlign w:val="superscript"/>
        </w:rPr>
        <w:t>st</w:t>
      </w:r>
      <w:r>
        <w:rPr>
          <w:rFonts w:ascii="Arial" w:hAnsi="Arial" w:cs="Arial"/>
        </w:rPr>
        <w:t xml:space="preserve"> </w:t>
      </w:r>
      <w:r w:rsidR="00895B4D">
        <w:rPr>
          <w:rFonts w:ascii="Arial" w:hAnsi="Arial" w:cs="Arial"/>
        </w:rPr>
        <w:t>Dec</w:t>
      </w:r>
      <w:r w:rsidRPr="007A385A">
        <w:rPr>
          <w:rFonts w:ascii="Arial" w:hAnsi="Arial" w:cs="Arial"/>
        </w:rPr>
        <w:t>ember 2025</w:t>
      </w:r>
    </w:p>
    <w:p w:rsidR="00CF383C" w:rsidRPr="007A385A" w:rsidRDefault="00CF383C" w:rsidP="00CF383C">
      <w:pPr>
        <w:spacing w:line="276" w:lineRule="auto"/>
        <w:rPr>
          <w:rFonts w:ascii="Arial" w:hAnsi="Arial" w:cs="Arial"/>
          <w:b/>
          <w:bCs/>
        </w:rPr>
        <w:sectPr w:rsidR="00CF383C" w:rsidRPr="007A385A" w:rsidSect="00D14657">
          <w:footerReference w:type="even" r:id="rId8"/>
          <w:footerReference w:type="default" r:id="rId9"/>
          <w:pgSz w:w="11900" w:h="16840"/>
          <w:pgMar w:top="1440" w:right="1440" w:bottom="1440" w:left="1440" w:header="720" w:footer="720" w:gutter="0"/>
          <w:cols w:space="720"/>
          <w:docGrid w:linePitch="360"/>
        </w:sectPr>
      </w:pPr>
      <w:r w:rsidRPr="007A385A">
        <w:rPr>
          <w:rFonts w:ascii="Arial" w:hAnsi="Arial" w:cs="Arial"/>
          <w:b/>
          <w:bCs/>
        </w:rPr>
        <w:t xml:space="preserve">Country: </w:t>
      </w:r>
      <w:r w:rsidRPr="007A385A">
        <w:rPr>
          <w:rFonts w:ascii="Arial" w:hAnsi="Arial" w:cs="Arial"/>
        </w:rPr>
        <w:t xml:space="preserve">Cambodia </w:t>
      </w:r>
      <w:r>
        <w:rPr>
          <w:rFonts w:ascii="Arial" w:hAnsi="Arial" w:cs="Arial"/>
        </w:rPr>
        <w:t>[</w:t>
      </w:r>
      <w:r w:rsidRPr="007A385A">
        <w:rPr>
          <w:rFonts w:ascii="Arial" w:hAnsi="Arial" w:cs="Arial"/>
        </w:rPr>
        <w:t>KH</w:t>
      </w:r>
      <w:r>
        <w:rPr>
          <w:rFonts w:ascii="Arial" w:hAnsi="Arial" w:cs="Arial"/>
        </w:rPr>
        <w:t>M]</w:t>
      </w:r>
    </w:p>
    <w:p w:rsidR="00095F75" w:rsidRPr="0023589E" w:rsidRDefault="00095F75" w:rsidP="00F22A59">
      <w:pPr>
        <w:pStyle w:val="Heading1"/>
      </w:pPr>
      <w:bookmarkStart w:id="0" w:name="_Toc215343637"/>
      <w:r w:rsidRPr="0023589E">
        <w:lastRenderedPageBreak/>
        <w:t>7. Conclusion</w:t>
      </w:r>
      <w:bookmarkEnd w:id="0"/>
    </w:p>
    <w:p w:rsidR="00095F75" w:rsidRPr="00095F75" w:rsidRDefault="00095F75" w:rsidP="00095F75">
      <w:pPr>
        <w:spacing w:before="100" w:beforeAutospacing="1" w:after="100" w:afterAutospacing="1"/>
        <w:jc w:val="both"/>
        <w:rPr>
          <w:rFonts w:ascii="Arial" w:eastAsia="Times New Roman" w:hAnsi="Arial" w:cs="Arial"/>
          <w:kern w:val="0"/>
          <w:sz w:val="22"/>
          <w:szCs w:val="22"/>
          <w14:ligatures w14:val="none"/>
        </w:rPr>
      </w:pPr>
      <w:r w:rsidRPr="00095F75">
        <w:rPr>
          <w:rFonts w:ascii="Arial" w:eastAsia="Times New Roman" w:hAnsi="Arial" w:cs="Arial"/>
          <w:kern w:val="0"/>
          <w:sz w:val="22"/>
          <w:szCs w:val="22"/>
          <w14:ligatures w14:val="none"/>
        </w:rPr>
        <w:t xml:space="preserve">The National Transboundary Diagnostic Analysis (TDA) for Cambodia provides the first integrated, indicator-based synthesis of </w:t>
      </w:r>
      <w:r w:rsidRPr="00095F75">
        <w:rPr>
          <w:rFonts w:ascii="Arial" w:eastAsia="Times New Roman" w:hAnsi="Arial" w:cs="Arial"/>
          <w:b/>
          <w:bCs/>
          <w:kern w:val="0"/>
          <w:sz w:val="22"/>
          <w:szCs w:val="22"/>
          <w14:ligatures w14:val="none"/>
        </w:rPr>
        <w:t>socioeconomic and climate conditions</w:t>
      </w:r>
      <w:r w:rsidRPr="00095F75">
        <w:rPr>
          <w:rFonts w:ascii="Arial" w:eastAsia="Times New Roman" w:hAnsi="Arial" w:cs="Arial"/>
          <w:kern w:val="0"/>
          <w:sz w:val="22"/>
          <w:szCs w:val="22"/>
          <w14:ligatures w14:val="none"/>
        </w:rPr>
        <w:t xml:space="preserve">, </w:t>
      </w:r>
      <w:r w:rsidRPr="00095F75">
        <w:rPr>
          <w:rFonts w:ascii="Arial" w:eastAsia="Times New Roman" w:hAnsi="Arial" w:cs="Arial"/>
          <w:b/>
          <w:bCs/>
          <w:kern w:val="0"/>
          <w:sz w:val="22"/>
          <w:szCs w:val="22"/>
          <w14:ligatures w14:val="none"/>
        </w:rPr>
        <w:t>pollution pressures</w:t>
      </w:r>
      <w:r w:rsidRPr="00095F75">
        <w:rPr>
          <w:rFonts w:ascii="Arial" w:eastAsia="Times New Roman" w:hAnsi="Arial" w:cs="Arial"/>
          <w:kern w:val="0"/>
          <w:sz w:val="22"/>
          <w:szCs w:val="22"/>
          <w14:ligatures w14:val="none"/>
        </w:rPr>
        <w:t xml:space="preserve">, </w:t>
      </w:r>
      <w:r w:rsidRPr="00095F75">
        <w:rPr>
          <w:rFonts w:ascii="Arial" w:eastAsia="Times New Roman" w:hAnsi="Arial" w:cs="Arial"/>
          <w:b/>
          <w:bCs/>
          <w:kern w:val="0"/>
          <w:sz w:val="22"/>
          <w:szCs w:val="22"/>
          <w14:ligatures w14:val="none"/>
        </w:rPr>
        <w:t>ecosystem status</w:t>
      </w:r>
      <w:r w:rsidRPr="00095F75">
        <w:rPr>
          <w:rFonts w:ascii="Arial" w:eastAsia="Times New Roman" w:hAnsi="Arial" w:cs="Arial"/>
          <w:kern w:val="0"/>
          <w:sz w:val="22"/>
          <w:szCs w:val="22"/>
          <w14:ligatures w14:val="none"/>
        </w:rPr>
        <w:t xml:space="preserve">, </w:t>
      </w:r>
      <w:r w:rsidRPr="00095F75">
        <w:rPr>
          <w:rFonts w:ascii="Arial" w:eastAsia="Times New Roman" w:hAnsi="Arial" w:cs="Arial"/>
          <w:b/>
          <w:bCs/>
          <w:kern w:val="0"/>
          <w:sz w:val="22"/>
          <w:szCs w:val="22"/>
          <w14:ligatures w14:val="none"/>
        </w:rPr>
        <w:t>fisheries trends</w:t>
      </w:r>
      <w:r w:rsidRPr="00095F75">
        <w:rPr>
          <w:rFonts w:ascii="Arial" w:eastAsia="Times New Roman" w:hAnsi="Arial" w:cs="Arial"/>
          <w:kern w:val="0"/>
          <w:sz w:val="22"/>
          <w:szCs w:val="22"/>
          <w14:ligatures w14:val="none"/>
        </w:rPr>
        <w:t xml:space="preserve">, and </w:t>
      </w:r>
      <w:r w:rsidRPr="00095F75">
        <w:rPr>
          <w:rFonts w:ascii="Arial" w:eastAsia="Times New Roman" w:hAnsi="Arial" w:cs="Arial"/>
          <w:b/>
          <w:bCs/>
          <w:kern w:val="0"/>
          <w:sz w:val="22"/>
          <w:szCs w:val="22"/>
          <w14:ligatures w14:val="none"/>
        </w:rPr>
        <w:t>governance capacity</w:t>
      </w:r>
      <w:r w:rsidRPr="00095F75">
        <w:rPr>
          <w:rFonts w:ascii="Arial" w:eastAsia="Times New Roman" w:hAnsi="Arial" w:cs="Arial"/>
          <w:kern w:val="0"/>
          <w:sz w:val="22"/>
          <w:szCs w:val="22"/>
          <w14:ligatures w14:val="none"/>
        </w:rPr>
        <w:t xml:space="preserve"> across the country’s coastal and marine systems. Drawing from the detailed analyses in Chapters 2–6, this chapter summarizes how far Cambodia has met the TDA objectives, identifies key cross-cutting conclusions, reviews spatial patterns of risk, and outlines the audiences and future directions for indicator-based coastal environmental assessments.</w:t>
      </w:r>
    </w:p>
    <w:p w:rsidR="00095F75" w:rsidRPr="00D73747" w:rsidRDefault="00095F75" w:rsidP="00095F75">
      <w:pPr>
        <w:pStyle w:val="Heading2"/>
        <w:jc w:val="both"/>
        <w:rPr>
          <w:rFonts w:ascii="Arial" w:hAnsi="Arial" w:cs="Arial"/>
          <w:sz w:val="28"/>
          <w:szCs w:val="28"/>
        </w:rPr>
      </w:pPr>
      <w:bookmarkStart w:id="1" w:name="_Toc215343638"/>
      <w:r w:rsidRPr="00D73747">
        <w:rPr>
          <w:rFonts w:ascii="Arial" w:hAnsi="Arial" w:cs="Arial"/>
          <w:sz w:val="28"/>
          <w:szCs w:val="28"/>
        </w:rPr>
        <w:t>7.1 Meeting the TDA Objectives</w:t>
      </w:r>
      <w:bookmarkEnd w:id="1"/>
    </w:p>
    <w:p w:rsidR="00095F75" w:rsidRPr="00095F75" w:rsidRDefault="004015B8" w:rsidP="00095F75">
      <w:pPr>
        <w:spacing w:before="100" w:beforeAutospacing="1" w:after="100" w:afterAutospacing="1"/>
        <w:jc w:val="both"/>
        <w:rPr>
          <w:rFonts w:ascii="Arial" w:eastAsia="Times New Roman" w:hAnsi="Arial" w:cs="Arial"/>
          <w:kern w:val="0"/>
          <w:sz w:val="22"/>
          <w:szCs w:val="22"/>
          <w14:ligatures w14:val="none"/>
        </w:rPr>
      </w:pPr>
      <w:r w:rsidRPr="004015B8">
        <w:rPr>
          <w:rFonts w:ascii="Arial" w:eastAsia="Times New Roman" w:hAnsi="Arial" w:cs="Arial"/>
          <w:kern w:val="0"/>
          <w:sz w:val="22"/>
          <w:szCs w:val="22"/>
          <w14:ligatures w14:val="none"/>
        </w:rPr>
        <w:t>The TDA set out to achieve five core objectives, and these objectives have now been substantively met</w:t>
      </w:r>
      <w:r w:rsidR="002E1924">
        <w:rPr>
          <w:rFonts w:ascii="Arial" w:eastAsia="Times New Roman" w:hAnsi="Arial" w:cs="Arial"/>
          <w:kern w:val="0"/>
          <w:sz w:val="22"/>
          <w:szCs w:val="22"/>
          <w14:ligatures w14:val="none"/>
        </w:rPr>
        <w:t>.</w:t>
      </w:r>
    </w:p>
    <w:p w:rsidR="00095F75" w:rsidRPr="0023589E" w:rsidRDefault="00095F75" w:rsidP="004015B8">
      <w:pPr>
        <w:rPr>
          <w:rFonts w:ascii="Arial" w:hAnsi="Arial" w:cs="Arial"/>
          <w:b/>
          <w:bCs/>
          <w:i/>
          <w:iCs/>
          <w:color w:val="0070C0"/>
          <w:sz w:val="22"/>
          <w:szCs w:val="22"/>
        </w:rPr>
      </w:pPr>
      <w:r w:rsidRPr="0023589E">
        <w:rPr>
          <w:rFonts w:ascii="Arial" w:hAnsi="Arial" w:cs="Arial"/>
          <w:b/>
          <w:bCs/>
          <w:i/>
          <w:iCs/>
          <w:color w:val="0070C0"/>
          <w:sz w:val="22"/>
          <w:szCs w:val="22"/>
        </w:rPr>
        <w:t>Objective 1</w:t>
      </w:r>
      <w:r w:rsidR="002E1924">
        <w:rPr>
          <w:rFonts w:ascii="Arial" w:hAnsi="Arial" w:cs="Arial"/>
          <w:b/>
          <w:bCs/>
          <w:i/>
          <w:iCs/>
          <w:color w:val="0070C0"/>
          <w:sz w:val="22"/>
          <w:szCs w:val="22"/>
        </w:rPr>
        <w:t>:</w:t>
      </w:r>
      <w:r w:rsidRPr="0023589E">
        <w:rPr>
          <w:rFonts w:ascii="Arial" w:hAnsi="Arial" w:cs="Arial"/>
          <w:b/>
          <w:bCs/>
          <w:i/>
          <w:iCs/>
          <w:color w:val="0070C0"/>
          <w:sz w:val="22"/>
          <w:szCs w:val="22"/>
        </w:rPr>
        <w:t xml:space="preserve"> Identify major transboundary environmental problems</w:t>
      </w:r>
    </w:p>
    <w:p w:rsidR="00095F75" w:rsidRDefault="00095F75" w:rsidP="002D0E75">
      <w:pPr>
        <w:spacing w:before="100" w:beforeAutospacing="1" w:after="100" w:afterAutospacing="1"/>
        <w:jc w:val="both"/>
        <w:rPr>
          <w:rFonts w:ascii="Arial" w:eastAsia="Times New Roman" w:hAnsi="Arial" w:cs="Arial"/>
          <w:kern w:val="0"/>
          <w:sz w:val="22"/>
          <w:szCs w:val="22"/>
          <w14:ligatures w14:val="none"/>
        </w:rPr>
      </w:pPr>
      <w:r w:rsidRPr="00095F75">
        <w:rPr>
          <w:rFonts w:ascii="Arial" w:eastAsia="Times New Roman" w:hAnsi="Arial" w:cs="Arial"/>
          <w:b/>
          <w:bCs/>
          <w:kern w:val="0"/>
          <w:sz w:val="22"/>
          <w:szCs w:val="22"/>
          <w14:ligatures w14:val="none"/>
        </w:rPr>
        <w:t>Major problems</w:t>
      </w:r>
      <w:r w:rsidR="005D2E7C" w:rsidRPr="005D2E7C">
        <w:rPr>
          <w:rFonts w:ascii="Arial" w:eastAsia="Times New Roman" w:hAnsi="Arial" w:cs="Arial"/>
          <w:b/>
          <w:bCs/>
          <w:kern w:val="0"/>
          <w:sz w:val="22"/>
          <w:szCs w:val="22"/>
          <w14:ligatures w14:val="none"/>
        </w:rPr>
        <w:t xml:space="preserve"> clusters</w:t>
      </w:r>
      <w:r w:rsidRPr="00095F75">
        <w:rPr>
          <w:rFonts w:ascii="Arial" w:eastAsia="Times New Roman" w:hAnsi="Arial" w:cs="Arial"/>
          <w:b/>
          <w:bCs/>
          <w:kern w:val="0"/>
          <w:sz w:val="22"/>
          <w:szCs w:val="22"/>
          <w14:ligatures w14:val="none"/>
        </w:rPr>
        <w:t xml:space="preserve"> are clearly diagnosed</w:t>
      </w:r>
      <w:r w:rsidRPr="00095F75">
        <w:rPr>
          <w:rFonts w:ascii="Arial" w:eastAsia="Times New Roman" w:hAnsi="Arial" w:cs="Arial"/>
          <w:kern w:val="0"/>
          <w:sz w:val="22"/>
          <w:szCs w:val="22"/>
          <w14:ligatures w14:val="none"/>
        </w:rPr>
        <w:t xml:space="preserve">: </w:t>
      </w:r>
      <w:r w:rsidR="005D2E7C">
        <w:rPr>
          <w:rFonts w:ascii="Arial" w:eastAsia="Times New Roman" w:hAnsi="Arial" w:cs="Arial"/>
          <w:kern w:val="0"/>
          <w:sz w:val="22"/>
          <w:szCs w:val="22"/>
          <w14:ligatures w14:val="none"/>
        </w:rPr>
        <w:t>s</w:t>
      </w:r>
      <w:r w:rsidR="005D2E7C" w:rsidRPr="005D2E7C">
        <w:rPr>
          <w:rFonts w:ascii="Arial" w:eastAsia="Times New Roman" w:hAnsi="Arial" w:cs="Arial"/>
          <w:kern w:val="0"/>
          <w:sz w:val="22"/>
          <w:szCs w:val="22"/>
          <w14:ligatures w14:val="none"/>
        </w:rPr>
        <w:t xml:space="preserve">ocioeconomic &amp; </w:t>
      </w:r>
      <w:r w:rsidR="005D2E7C">
        <w:rPr>
          <w:rFonts w:ascii="Arial" w:eastAsia="Times New Roman" w:hAnsi="Arial" w:cs="Arial"/>
          <w:kern w:val="0"/>
          <w:sz w:val="22"/>
          <w:szCs w:val="22"/>
          <w14:ligatures w14:val="none"/>
        </w:rPr>
        <w:t>l</w:t>
      </w:r>
      <w:r w:rsidR="005D2E7C" w:rsidRPr="005D2E7C">
        <w:rPr>
          <w:rFonts w:ascii="Arial" w:eastAsia="Times New Roman" w:hAnsi="Arial" w:cs="Arial"/>
          <w:kern w:val="0"/>
          <w:sz w:val="22"/>
          <w:szCs w:val="22"/>
          <w14:ligatures w14:val="none"/>
        </w:rPr>
        <w:t xml:space="preserve">ivelihood </w:t>
      </w:r>
      <w:r w:rsidR="005D2E7C">
        <w:rPr>
          <w:rFonts w:ascii="Arial" w:eastAsia="Times New Roman" w:hAnsi="Arial" w:cs="Arial"/>
          <w:kern w:val="0"/>
          <w:sz w:val="22"/>
          <w:szCs w:val="22"/>
          <w14:ligatures w14:val="none"/>
        </w:rPr>
        <w:t>r</w:t>
      </w:r>
      <w:r w:rsidR="005D2E7C" w:rsidRPr="005D2E7C">
        <w:rPr>
          <w:rFonts w:ascii="Arial" w:eastAsia="Times New Roman" w:hAnsi="Arial" w:cs="Arial"/>
          <w:kern w:val="0"/>
          <w:sz w:val="22"/>
          <w:szCs w:val="22"/>
          <w14:ligatures w14:val="none"/>
        </w:rPr>
        <w:t>isks</w:t>
      </w:r>
      <w:r w:rsidR="005D2E7C">
        <w:rPr>
          <w:rFonts w:ascii="Arial" w:eastAsia="Times New Roman" w:hAnsi="Arial" w:cs="Arial"/>
          <w:kern w:val="0"/>
          <w:sz w:val="22"/>
          <w:szCs w:val="22"/>
          <w14:ligatures w14:val="none"/>
        </w:rPr>
        <w:t xml:space="preserve">, </w:t>
      </w:r>
      <w:r w:rsidRPr="00095F75">
        <w:rPr>
          <w:rFonts w:ascii="Arial" w:eastAsia="Times New Roman" w:hAnsi="Arial" w:cs="Arial"/>
          <w:kern w:val="0"/>
          <w:sz w:val="22"/>
          <w:szCs w:val="22"/>
          <w14:ligatures w14:val="none"/>
        </w:rPr>
        <w:t>land-based pollution (nutrients, microbes, plastics, industrial contaminants), habitat loss, fisheries over-exploitation, climate-related salinization/flooding, and weak enforcement capacity are consistently identified across all chapters.</w:t>
      </w:r>
      <w:r w:rsidR="004015B8" w:rsidRPr="004015B8">
        <w:t xml:space="preserve"> </w:t>
      </w:r>
      <w:r w:rsidR="004015B8" w:rsidRPr="004015B8">
        <w:rPr>
          <w:rFonts w:ascii="Arial" w:eastAsia="Times New Roman" w:hAnsi="Arial" w:cs="Arial"/>
          <w:kern w:val="0"/>
          <w:sz w:val="22"/>
          <w:szCs w:val="22"/>
          <w14:ligatures w14:val="none"/>
        </w:rPr>
        <w:t xml:space="preserve">Across all chapters, the TDA confirms </w:t>
      </w:r>
      <w:r w:rsidR="005D2E7C">
        <w:rPr>
          <w:rFonts w:ascii="Arial" w:eastAsia="Times New Roman" w:hAnsi="Arial" w:cs="Arial"/>
          <w:kern w:val="0"/>
          <w:sz w:val="22"/>
          <w:szCs w:val="22"/>
          <w14:ligatures w14:val="none"/>
        </w:rPr>
        <w:t>6</w:t>
      </w:r>
      <w:r w:rsidR="004015B8" w:rsidRPr="004015B8">
        <w:rPr>
          <w:rFonts w:ascii="Arial" w:eastAsia="Times New Roman" w:hAnsi="Arial" w:cs="Arial"/>
          <w:kern w:val="0"/>
          <w:sz w:val="22"/>
          <w:szCs w:val="22"/>
          <w14:ligatures w14:val="none"/>
        </w:rPr>
        <w:t xml:space="preserve"> priority problem clusters</w:t>
      </w:r>
      <w:r w:rsidR="002E1924">
        <w:rPr>
          <w:rFonts w:ascii="Arial" w:eastAsia="Times New Roman" w:hAnsi="Arial" w:cs="Arial"/>
          <w:kern w:val="0"/>
          <w:sz w:val="22"/>
          <w:szCs w:val="22"/>
          <w14:ligatures w14:val="none"/>
        </w:rPr>
        <w:t>.</w:t>
      </w:r>
    </w:p>
    <w:p w:rsidR="00095F75" w:rsidRPr="00095F75" w:rsidRDefault="00095F75" w:rsidP="0023589E">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2</w:t>
      </w:r>
      <w:r w:rsidR="002E1924">
        <w:rPr>
          <w:rFonts w:ascii="Arial" w:hAnsi="Arial" w:cs="Arial"/>
          <w:b/>
          <w:bCs/>
          <w:i/>
          <w:iCs/>
          <w:color w:val="0070C0"/>
          <w:sz w:val="22"/>
          <w:szCs w:val="22"/>
        </w:rPr>
        <w:t>:</w:t>
      </w:r>
      <w:r w:rsidRPr="00095F75">
        <w:rPr>
          <w:rFonts w:ascii="Arial" w:hAnsi="Arial" w:cs="Arial"/>
          <w:b/>
          <w:bCs/>
          <w:i/>
          <w:iCs/>
          <w:color w:val="0070C0"/>
          <w:sz w:val="22"/>
          <w:szCs w:val="22"/>
        </w:rPr>
        <w:t xml:space="preserve"> Assess drivers and root causes</w:t>
      </w:r>
    </w:p>
    <w:p w:rsidR="00821CA9" w:rsidRPr="00821CA9" w:rsidRDefault="00821CA9" w:rsidP="00821CA9">
      <w:pPr>
        <w:spacing w:before="120" w:after="120"/>
        <w:jc w:val="both"/>
        <w:rPr>
          <w:rFonts w:ascii="Arial" w:eastAsia="Times New Roman" w:hAnsi="Arial" w:cs="Arial"/>
          <w:kern w:val="0"/>
          <w:sz w:val="21"/>
          <w:szCs w:val="21"/>
          <w14:ligatures w14:val="none"/>
        </w:rPr>
      </w:pPr>
      <w:r w:rsidRPr="00821CA9">
        <w:rPr>
          <w:rFonts w:ascii="Arial" w:hAnsi="Arial" w:cs="Arial"/>
          <w:b/>
          <w:bCs/>
          <w:sz w:val="22"/>
          <w:szCs w:val="22"/>
        </w:rPr>
        <w:t>Drivers and root causes are traced across multiple, reinforcing pressures.</w:t>
      </w:r>
      <w:r w:rsidRPr="00821CA9">
        <w:rPr>
          <w:rFonts w:ascii="Arial" w:hAnsi="Arial" w:cs="Arial"/>
          <w:sz w:val="22"/>
          <w:szCs w:val="22"/>
        </w:rPr>
        <w:t xml:space="preserve"> Rapid coastal development, expanding agriculture and aquaculture, untreated wastewater, continued trawl fisheries, and fast urbanization shape the problem landscape, while incomplete mandates at sea and uneven enforcement capacity constrain effective responses. As discussed in Chapter 6, governance overlaps and persistent financing gaps further limit coordination and sustained implementation. These drivers are both economic—rising FDI and large investments in ports, tourism, and aquaculture—and institutional, including fragmented mandates and chronically low operating budgets. Coastal provinces now host more than </w:t>
      </w:r>
      <w:r w:rsidRPr="00821CA9">
        <w:rPr>
          <w:rFonts w:ascii="Arial" w:hAnsi="Arial" w:cs="Arial"/>
          <w:b/>
          <w:bCs/>
          <w:sz w:val="22"/>
          <w:szCs w:val="22"/>
        </w:rPr>
        <w:t>1.7 million people</w:t>
      </w:r>
      <w:r w:rsidRPr="00821CA9">
        <w:rPr>
          <w:rFonts w:ascii="Arial" w:hAnsi="Arial" w:cs="Arial"/>
          <w:sz w:val="22"/>
          <w:szCs w:val="22"/>
        </w:rPr>
        <w:t xml:space="preserve"> and continue to grow at roughly </w:t>
      </w:r>
      <w:r w:rsidRPr="00821CA9">
        <w:rPr>
          <w:rFonts w:ascii="Arial" w:hAnsi="Arial" w:cs="Arial"/>
          <w:b/>
          <w:bCs/>
          <w:sz w:val="22"/>
          <w:szCs w:val="22"/>
        </w:rPr>
        <w:t>2.3–4.2% per year</w:t>
      </w:r>
      <w:r w:rsidRPr="00821CA9">
        <w:rPr>
          <w:rFonts w:ascii="Arial" w:hAnsi="Arial" w:cs="Arial"/>
          <w:sz w:val="22"/>
          <w:szCs w:val="22"/>
        </w:rPr>
        <w:t xml:space="preserve">, intensifying demand for land, services, and coastal infrastructure. Tourism expansion has been a major accelerator: arrivals exceeded </w:t>
      </w:r>
      <w:r w:rsidRPr="00821CA9">
        <w:rPr>
          <w:rFonts w:ascii="Arial" w:hAnsi="Arial" w:cs="Arial"/>
          <w:b/>
          <w:bCs/>
          <w:sz w:val="22"/>
          <w:szCs w:val="22"/>
        </w:rPr>
        <w:t>6 million</w:t>
      </w:r>
      <w:r w:rsidRPr="00821CA9">
        <w:rPr>
          <w:rFonts w:ascii="Arial" w:hAnsi="Arial" w:cs="Arial"/>
          <w:sz w:val="22"/>
          <w:szCs w:val="22"/>
        </w:rPr>
        <w:t xml:space="preserve"> in 2019, with the strongest concentration in Preah Sihanouk, increasing wastewater loads and solid-waste leakage in nearshore corridors. Despite these mounting pressures, FiA’s budget for marine conservation remains limited—approximately </w:t>
      </w:r>
      <w:r w:rsidRPr="00821CA9">
        <w:rPr>
          <w:rFonts w:ascii="Arial" w:hAnsi="Arial" w:cs="Arial"/>
          <w:b/>
          <w:bCs/>
          <w:sz w:val="22"/>
          <w:szCs w:val="22"/>
        </w:rPr>
        <w:t>US$150,000–440,000 per year</w:t>
      </w:r>
      <w:r w:rsidRPr="00821CA9">
        <w:rPr>
          <w:rFonts w:ascii="Arial" w:hAnsi="Arial" w:cs="Arial"/>
          <w:sz w:val="22"/>
          <w:szCs w:val="22"/>
        </w:rPr>
        <w:t xml:space="preserve"> to cover more than 435 km of coastline—leaving gaps in patrol coverage, monitoring, compliance actions, and site-level management effectiveness.</w:t>
      </w:r>
    </w:p>
    <w:p w:rsidR="00095F75" w:rsidRPr="00095F75" w:rsidRDefault="00095F75" w:rsidP="0023589E">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3</w:t>
      </w:r>
      <w:r w:rsidR="002E1924">
        <w:rPr>
          <w:rFonts w:ascii="Arial" w:hAnsi="Arial" w:cs="Arial"/>
          <w:b/>
          <w:bCs/>
          <w:i/>
          <w:iCs/>
          <w:color w:val="0070C0"/>
          <w:sz w:val="22"/>
          <w:szCs w:val="22"/>
        </w:rPr>
        <w:t>:</w:t>
      </w:r>
      <w:r w:rsidRPr="00095F75">
        <w:rPr>
          <w:rFonts w:ascii="Arial" w:hAnsi="Arial" w:cs="Arial"/>
          <w:b/>
          <w:bCs/>
          <w:i/>
          <w:iCs/>
          <w:color w:val="0070C0"/>
          <w:sz w:val="22"/>
          <w:szCs w:val="22"/>
        </w:rPr>
        <w:t xml:space="preserve"> Map spatial distribution of risks</w:t>
      </w:r>
    </w:p>
    <w:p w:rsidR="00821CA9" w:rsidRPr="00821CA9" w:rsidRDefault="00821CA9" w:rsidP="00821CA9">
      <w:pPr>
        <w:spacing w:before="120" w:after="120"/>
        <w:jc w:val="both"/>
        <w:rPr>
          <w:rFonts w:ascii="Arial" w:eastAsia="Times New Roman" w:hAnsi="Arial" w:cs="Arial"/>
          <w:kern w:val="0"/>
          <w:sz w:val="21"/>
          <w:szCs w:val="21"/>
          <w14:ligatures w14:val="none"/>
        </w:rPr>
      </w:pPr>
      <w:r w:rsidRPr="00821CA9">
        <w:rPr>
          <w:rFonts w:ascii="Arial" w:hAnsi="Arial" w:cs="Arial"/>
          <w:b/>
          <w:bCs/>
          <w:sz w:val="22"/>
          <w:szCs w:val="22"/>
        </w:rPr>
        <w:t>Spatial hotspots are identified across Cambodia’s coast and connected river–sea systems</w:t>
      </w:r>
      <w:r w:rsidRPr="00821CA9">
        <w:rPr>
          <w:rFonts w:ascii="Arial" w:hAnsi="Arial" w:cs="Arial"/>
          <w:sz w:val="22"/>
          <w:szCs w:val="22"/>
        </w:rPr>
        <w:t xml:space="preserve">. Peam Krasop–Koh Kapik, Trapeang Ropov–Kampot Bay, the Kep–Ha Tien seagrass corridor, the Sihanoukville urban coastline, major river–sea discharge zones, and the Phnom Penh confluence are established as high-risk areas where pollution loads, habitat sensitivity, and livelihood exposure intersect. To substantiate these priority zones, the TDA incorporates spatial analyses that map </w:t>
      </w:r>
      <w:r w:rsidRPr="00821CA9">
        <w:rPr>
          <w:rStyle w:val="Strong"/>
          <w:rFonts w:ascii="Arial" w:hAnsi="Arial" w:cs="Arial"/>
          <w:sz w:val="22"/>
          <w:szCs w:val="22"/>
        </w:rPr>
        <w:t>17 wastewater discharge hotspots</w:t>
      </w:r>
      <w:r w:rsidRPr="00821CA9">
        <w:rPr>
          <w:rFonts w:ascii="Arial" w:hAnsi="Arial" w:cs="Arial"/>
          <w:sz w:val="22"/>
          <w:szCs w:val="22"/>
        </w:rPr>
        <w:t xml:space="preserve">, delineate </w:t>
      </w:r>
      <w:r w:rsidRPr="00821CA9">
        <w:rPr>
          <w:rStyle w:val="Strong"/>
          <w:rFonts w:ascii="Arial" w:hAnsi="Arial" w:cs="Arial"/>
          <w:sz w:val="22"/>
          <w:szCs w:val="22"/>
        </w:rPr>
        <w:t>six major sediment plumes</w:t>
      </w:r>
      <w:r w:rsidRPr="00821CA9">
        <w:rPr>
          <w:rFonts w:ascii="Arial" w:hAnsi="Arial" w:cs="Arial"/>
          <w:sz w:val="22"/>
          <w:szCs w:val="22"/>
        </w:rPr>
        <w:t xml:space="preserve">, and detect </w:t>
      </w:r>
      <w:r w:rsidRPr="00821CA9">
        <w:rPr>
          <w:rStyle w:val="Strong"/>
          <w:rFonts w:ascii="Arial" w:hAnsi="Arial" w:cs="Arial"/>
          <w:sz w:val="22"/>
          <w:szCs w:val="22"/>
        </w:rPr>
        <w:t>five trawl-incursion clusters</w:t>
      </w:r>
      <w:r w:rsidRPr="00821CA9">
        <w:rPr>
          <w:rFonts w:ascii="Arial" w:hAnsi="Arial" w:cs="Arial"/>
          <w:sz w:val="22"/>
          <w:szCs w:val="22"/>
        </w:rPr>
        <w:t xml:space="preserve"> that threaten nearshore habitats and fisheries productivity. The assessment also identifies </w:t>
      </w:r>
      <w:r w:rsidRPr="00821CA9">
        <w:rPr>
          <w:rStyle w:val="Strong"/>
          <w:rFonts w:ascii="Arial" w:hAnsi="Arial" w:cs="Arial"/>
          <w:sz w:val="22"/>
          <w:szCs w:val="22"/>
        </w:rPr>
        <w:t>four high-dependence livelihood zones</w:t>
      </w:r>
      <w:r w:rsidRPr="00821CA9">
        <w:rPr>
          <w:rFonts w:ascii="Arial" w:hAnsi="Arial" w:cs="Arial"/>
          <w:sz w:val="22"/>
          <w:szCs w:val="22"/>
        </w:rPr>
        <w:t xml:space="preserve"> where communities are most reliant on coastal ecosystems and therefore most vulnerable to degradation and shocks. Finally, it traces </w:t>
      </w:r>
      <w:r w:rsidRPr="00821CA9">
        <w:rPr>
          <w:rStyle w:val="Strong"/>
          <w:rFonts w:ascii="Arial" w:hAnsi="Arial" w:cs="Arial"/>
          <w:sz w:val="22"/>
          <w:szCs w:val="22"/>
        </w:rPr>
        <w:t>three cross-border pollution pathways</w:t>
      </w:r>
      <w:r w:rsidRPr="00821CA9">
        <w:rPr>
          <w:rFonts w:ascii="Arial" w:hAnsi="Arial" w:cs="Arial"/>
          <w:sz w:val="22"/>
          <w:szCs w:val="22"/>
        </w:rPr>
        <w:t>—Tonle Sap–Mekong–Bassac, Kep–Ha Tien, and Koh Kong–Trat—highlighting how upstream inputs and transboundary currents can concentrate impacts beyond administrative boundaries and reinforce the need for coordinated management responses.</w:t>
      </w:r>
    </w:p>
    <w:p w:rsidR="00095F75" w:rsidRPr="00095F75" w:rsidRDefault="00095F75" w:rsidP="0023589E">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4</w:t>
      </w:r>
      <w:r w:rsidR="002E1924">
        <w:rPr>
          <w:rFonts w:ascii="Arial" w:hAnsi="Arial" w:cs="Arial"/>
          <w:b/>
          <w:bCs/>
          <w:i/>
          <w:iCs/>
          <w:color w:val="0070C0"/>
          <w:sz w:val="22"/>
          <w:szCs w:val="22"/>
        </w:rPr>
        <w:t>:</w:t>
      </w:r>
      <w:r w:rsidRPr="00095F75">
        <w:rPr>
          <w:rFonts w:ascii="Arial" w:hAnsi="Arial" w:cs="Arial"/>
          <w:b/>
          <w:bCs/>
          <w:i/>
          <w:iCs/>
          <w:color w:val="0070C0"/>
          <w:sz w:val="22"/>
          <w:szCs w:val="22"/>
        </w:rPr>
        <w:t xml:space="preserve"> Evaluate governance capacity</w:t>
      </w:r>
    </w:p>
    <w:p w:rsidR="007D4CAE" w:rsidRPr="007D4CAE" w:rsidRDefault="007D4CAE" w:rsidP="007D4CAE">
      <w:pPr>
        <w:spacing w:before="120" w:after="120"/>
        <w:jc w:val="both"/>
        <w:rPr>
          <w:rFonts w:ascii="Arial" w:eastAsia="Times New Roman" w:hAnsi="Arial" w:cs="Arial"/>
          <w:kern w:val="0"/>
          <w:sz w:val="21"/>
          <w:szCs w:val="21"/>
          <w14:ligatures w14:val="none"/>
        </w:rPr>
      </w:pPr>
      <w:r w:rsidRPr="007D4CAE">
        <w:rPr>
          <w:rFonts w:ascii="Arial" w:hAnsi="Arial" w:cs="Arial"/>
          <w:sz w:val="22"/>
          <w:szCs w:val="22"/>
        </w:rPr>
        <w:t xml:space="preserve">Governance capacity and gaps are assessed across the policy, institutional, and financing systems that underpin coastal and marine management. While integration frameworks such as ICZM and the coordinating roles of NCCMD and NCSD are in place, core constraints persist—particularly for offshore mandates, compliance and enforcement systems, and sustained financing—limiting the pace of ecosystem recovery. Governance capacity indicators presented in Chapter 6 show moderate progress on water-resources integration, with SDG 6.5.1 (IWRM implementation) assessed at </w:t>
      </w:r>
      <w:r w:rsidRPr="007D4CAE">
        <w:rPr>
          <w:rFonts w:ascii="Arial" w:hAnsi="Arial" w:cs="Arial"/>
          <w:b/>
          <w:bCs/>
          <w:sz w:val="22"/>
          <w:szCs w:val="22"/>
        </w:rPr>
        <w:t>62%,</w:t>
      </w:r>
      <w:r w:rsidRPr="007D4CAE">
        <w:rPr>
          <w:rFonts w:ascii="Arial" w:hAnsi="Arial" w:cs="Arial"/>
          <w:sz w:val="22"/>
          <w:szCs w:val="22"/>
        </w:rPr>
        <w:t xml:space="preserve"> alongside very high reported coverage for SDG 6.5.2 (transboundary cooperation) at </w:t>
      </w:r>
      <w:r w:rsidRPr="007D4CAE">
        <w:rPr>
          <w:rFonts w:ascii="Arial" w:hAnsi="Arial" w:cs="Arial"/>
          <w:b/>
          <w:bCs/>
          <w:sz w:val="22"/>
          <w:szCs w:val="22"/>
        </w:rPr>
        <w:t>98%</w:t>
      </w:r>
      <w:r w:rsidRPr="007D4CAE">
        <w:rPr>
          <w:rFonts w:ascii="Arial" w:hAnsi="Arial" w:cs="Arial"/>
          <w:sz w:val="22"/>
          <w:szCs w:val="22"/>
        </w:rPr>
        <w:t xml:space="preserve">. Protected-area coverage is also significant, at approximately </w:t>
      </w:r>
      <w:r w:rsidRPr="007D4CAE">
        <w:rPr>
          <w:rFonts w:ascii="Arial" w:hAnsi="Arial" w:cs="Arial"/>
          <w:b/>
          <w:bCs/>
          <w:sz w:val="22"/>
          <w:szCs w:val="22"/>
        </w:rPr>
        <w:t>44,000 ha of MPAs</w:t>
      </w:r>
      <w:r w:rsidRPr="007D4CAE">
        <w:rPr>
          <w:rFonts w:ascii="Arial" w:hAnsi="Arial" w:cs="Arial"/>
          <w:sz w:val="22"/>
          <w:szCs w:val="22"/>
        </w:rPr>
        <w:t xml:space="preserve">, yet effective management lags behind designation: less than 30% is effectively patrolled, leaving gaps in deterrence, monitoring, and response. At the subnational level, provincial ICZM committees are functioning and active, but their ability to plan, coordinate, and implement priority actions is constrained by chronic underfunding, with average operating resources below </w:t>
      </w:r>
      <w:r w:rsidRPr="007D4CAE">
        <w:rPr>
          <w:rFonts w:ascii="Arial" w:hAnsi="Arial" w:cs="Arial"/>
          <w:b/>
          <w:bCs/>
          <w:sz w:val="22"/>
          <w:szCs w:val="22"/>
        </w:rPr>
        <w:t>US$50,000 per year.</w:t>
      </w:r>
    </w:p>
    <w:p w:rsidR="00095F75" w:rsidRPr="00095F75" w:rsidRDefault="00095F75" w:rsidP="0023589E">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5</w:t>
      </w:r>
      <w:r w:rsidR="002E1924">
        <w:rPr>
          <w:rFonts w:ascii="Arial" w:hAnsi="Arial" w:cs="Arial"/>
          <w:b/>
          <w:bCs/>
          <w:i/>
          <w:iCs/>
          <w:color w:val="0070C0"/>
          <w:sz w:val="22"/>
          <w:szCs w:val="22"/>
        </w:rPr>
        <w:t>:</w:t>
      </w:r>
      <w:r w:rsidRPr="00095F75">
        <w:rPr>
          <w:rFonts w:ascii="Arial" w:hAnsi="Arial" w:cs="Arial"/>
          <w:b/>
          <w:bCs/>
          <w:i/>
          <w:iCs/>
          <w:color w:val="0070C0"/>
          <w:sz w:val="22"/>
          <w:szCs w:val="22"/>
        </w:rPr>
        <w:t xml:space="preserve"> Provide evidence for SAP</w:t>
      </w:r>
    </w:p>
    <w:p w:rsidR="007D4CAE" w:rsidRPr="00095F75" w:rsidRDefault="007D4CAE" w:rsidP="007D4CAE">
      <w:pPr>
        <w:pStyle w:val="NormalWeb"/>
        <w:jc w:val="both"/>
        <w:rPr>
          <w:rFonts w:ascii="Arial" w:hAnsi="Arial" w:cs="Arial"/>
          <w:sz w:val="22"/>
          <w:szCs w:val="22"/>
        </w:rPr>
      </w:pPr>
      <w:r w:rsidRPr="007D4CAE">
        <w:rPr>
          <w:rFonts w:ascii="Arial" w:hAnsi="Arial" w:cs="Arial"/>
          <w:sz w:val="22"/>
          <w:szCs w:val="22"/>
        </w:rPr>
        <w:t>The evidence base is complete and ready to support SAP preparation. All required SAP elements have been fully developed, including problem trees that trace drivers and root causes, risk rankings that prioritize issues by severity and exposure, and clear socioeconomic linkages that connect environmental pressures to livelihoods and well-being. The assessment also includes institutional mapping to clarify mandates and coordination needs, sector diagnostics that identify constraints and opportunities across key industries, and a consolidated analysis of ecosystem–livelihood dependencies. Together, these components provide a coherent foundation for selecting priority actions, assigning responsibilities, and defining targeted interventions for implementation under the SAP.</w:t>
      </w:r>
    </w:p>
    <w:p w:rsidR="00095F75" w:rsidRPr="00B940AF" w:rsidRDefault="00095F75" w:rsidP="00B940AF">
      <w:pPr>
        <w:pStyle w:val="Heading2"/>
        <w:jc w:val="both"/>
        <w:rPr>
          <w:rFonts w:ascii="Arial" w:hAnsi="Arial" w:cs="Arial"/>
          <w:sz w:val="24"/>
          <w:szCs w:val="24"/>
        </w:rPr>
      </w:pPr>
      <w:bookmarkStart w:id="2" w:name="_Toc215343639"/>
      <w:r w:rsidRPr="00D73747">
        <w:rPr>
          <w:rFonts w:ascii="Arial" w:hAnsi="Arial" w:cs="Arial"/>
          <w:sz w:val="28"/>
          <w:szCs w:val="28"/>
        </w:rPr>
        <w:t>7.2 Key Conclusions and Cross-Cutting Interactions</w:t>
      </w:r>
      <w:bookmarkEnd w:id="2"/>
      <w:r w:rsidRPr="00D73747">
        <w:rPr>
          <w:rFonts w:ascii="Arial" w:hAnsi="Arial" w:cs="Arial"/>
          <w:sz w:val="28"/>
          <w:szCs w:val="28"/>
        </w:rPr>
        <w:t xml:space="preserve"> </w:t>
      </w:r>
    </w:p>
    <w:p w:rsidR="00E75DAD" w:rsidRDefault="00E75DAD" w:rsidP="00F336E0">
      <w:pPr>
        <w:jc w:val="both"/>
        <w:rPr>
          <w:rFonts w:ascii="Arial" w:hAnsi="Arial" w:cs="Arial"/>
          <w:sz w:val="22"/>
          <w:szCs w:val="22"/>
        </w:rPr>
      </w:pPr>
      <w:r w:rsidRPr="00F336E0">
        <w:rPr>
          <w:rFonts w:ascii="Arial" w:hAnsi="Arial" w:cs="Arial"/>
          <w:sz w:val="22"/>
          <w:szCs w:val="22"/>
        </w:rPr>
        <w:t xml:space="preserve">Cambodia’s coastal–marine system is now shaped by a tight coupling of rapid economic change, persistent </w:t>
      </w:r>
      <w:r w:rsidR="00F336E0" w:rsidRPr="00F336E0">
        <w:rPr>
          <w:rFonts w:ascii="Arial" w:hAnsi="Arial" w:cs="Arial"/>
          <w:sz w:val="22"/>
          <w:szCs w:val="22"/>
        </w:rPr>
        <w:t>poverty,</w:t>
      </w:r>
      <w:r w:rsidRPr="00F336E0">
        <w:rPr>
          <w:rFonts w:ascii="Arial" w:hAnsi="Arial" w:cs="Arial"/>
          <w:sz w:val="22"/>
          <w:szCs w:val="22"/>
        </w:rPr>
        <w:t xml:space="preserve"> and livelihood dependence on natural resources, accelerating land-based pollution, and progressively weaker ecosystem functions. Climate change and governance gaps act as system-wide multipliers, amplifying risks and constraining the country’s ability to manage trade-offs. The evidence from Chapters 2–6 points to seven overarching conclusions.</w:t>
      </w:r>
    </w:p>
    <w:p w:rsidR="00095F75" w:rsidRPr="00F336E0" w:rsidRDefault="00095F75" w:rsidP="00F336E0">
      <w:pPr>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1. Converging pressures in fast-transforming coastal provinces</w:t>
      </w:r>
    </w:p>
    <w:p w:rsidR="00095F75" w:rsidRPr="007D4CAE" w:rsidRDefault="00E75DAD" w:rsidP="00F336E0">
      <w:pPr>
        <w:pStyle w:val="NormalWeb"/>
        <w:jc w:val="both"/>
        <w:rPr>
          <w:rFonts w:ascii="Arial" w:hAnsi="Arial" w:cs="Arial"/>
          <w:sz w:val="22"/>
          <w:szCs w:val="22"/>
        </w:rPr>
      </w:pPr>
      <w:r w:rsidRPr="00F336E0">
        <w:rPr>
          <w:rFonts w:ascii="Arial" w:hAnsi="Arial" w:cs="Arial"/>
          <w:sz w:val="22"/>
          <w:szCs w:val="22"/>
        </w:rPr>
        <w:t>The four coastal provinces host more than 1.7 million people, with a poverty rate of 17.8% (2019/20) and a large near-poor group whose incomes are highly sensitive to climate and economic shocks. Natural resource dependence remains high—particularly in Koh Kong, where wetland households derive 65–90% of their income from local ecosystems—while Sihanoukville’s economy is heavily reliant on tourism, exposing the province to external downturns and environmental degradation.</w:t>
      </w:r>
      <w:r w:rsidR="00C275AE">
        <w:rPr>
          <w:rFonts w:ascii="Arial" w:hAnsi="Arial" w:cs="Arial"/>
          <w:sz w:val="22"/>
          <w:szCs w:val="22"/>
        </w:rPr>
        <w:t xml:space="preserve"> </w:t>
      </w:r>
      <w:r w:rsidR="007D4CAE" w:rsidRPr="007D4CAE">
        <w:rPr>
          <w:rFonts w:ascii="Arial" w:hAnsi="Arial" w:cs="Arial"/>
          <w:sz w:val="22"/>
          <w:szCs w:val="22"/>
        </w:rPr>
        <w:t xml:space="preserve">Across all provinces, economic expansion is outpacing the capacity of environmental services and institutions to manage risks. Preah Sihanouk’s urban footprint expanded by roughly 250% between 2010 and 2023, aquaculture in the Kep–Kampot corridor increased from around 500 ha in 2010 to more than 3,000 ha by 2024, and concessions and land-cover change in Koh Kong have driven sediment inflows to estuaries and nearshore waters upward by more than 35%. </w:t>
      </w:r>
      <w:r w:rsidRPr="007D4CAE">
        <w:rPr>
          <w:rFonts w:ascii="Arial" w:hAnsi="Arial" w:cs="Arial"/>
          <w:sz w:val="22"/>
          <w:szCs w:val="22"/>
        </w:rPr>
        <w:t>These trends underpin a pattern where growth in tourism, real estate and aquaculture is not yet matched by wastewater, solid-waste and land-use controls, creating strong pressure on coastal ecosystems and communities.</w:t>
      </w:r>
    </w:p>
    <w:p w:rsidR="00095F75" w:rsidRPr="00F336E0" w:rsidRDefault="00095F75" w:rsidP="002E1924">
      <w:pPr>
        <w:keepNext/>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2. Land-based pollution as the fastest intensifying threat</w:t>
      </w:r>
    </w:p>
    <w:p w:rsidR="00E75DAD" w:rsidRPr="007D4CAE" w:rsidRDefault="00E75DAD" w:rsidP="00F336E0">
      <w:pPr>
        <w:pStyle w:val="NormalWeb"/>
        <w:jc w:val="both"/>
        <w:rPr>
          <w:rFonts w:ascii="Arial" w:hAnsi="Arial" w:cs="Arial"/>
          <w:sz w:val="22"/>
          <w:szCs w:val="22"/>
        </w:rPr>
      </w:pPr>
      <w:r w:rsidRPr="00F336E0">
        <w:rPr>
          <w:rFonts w:ascii="Arial" w:hAnsi="Arial" w:cs="Arial"/>
          <w:sz w:val="22"/>
          <w:szCs w:val="22"/>
        </w:rPr>
        <w:t xml:space="preserve">Land-based pollution is the most rapidly worsening driver of coastal degradation. Coastal wastewater treatment remains extremely limited—capturing </w:t>
      </w:r>
      <w:r w:rsidRPr="00F336E0">
        <w:rPr>
          <w:rStyle w:val="Strong"/>
          <w:rFonts w:ascii="Arial" w:hAnsi="Arial" w:cs="Arial"/>
          <w:sz w:val="22"/>
          <w:szCs w:val="22"/>
        </w:rPr>
        <w:t>&lt;20%</w:t>
      </w:r>
      <w:r w:rsidRPr="00F336E0">
        <w:rPr>
          <w:rFonts w:ascii="Arial" w:hAnsi="Arial" w:cs="Arial"/>
          <w:sz w:val="22"/>
          <w:szCs w:val="22"/>
        </w:rPr>
        <w:t xml:space="preserve"> of sewage in Preah Sihanouk, </w:t>
      </w:r>
      <w:r w:rsidRPr="00F336E0">
        <w:rPr>
          <w:rStyle w:val="Strong"/>
          <w:rFonts w:ascii="Arial" w:hAnsi="Arial" w:cs="Arial"/>
          <w:sz w:val="22"/>
          <w:szCs w:val="22"/>
        </w:rPr>
        <w:t>&lt;10%</w:t>
      </w:r>
      <w:r w:rsidRPr="00F336E0">
        <w:rPr>
          <w:rFonts w:ascii="Arial" w:hAnsi="Arial" w:cs="Arial"/>
          <w:sz w:val="22"/>
          <w:szCs w:val="22"/>
        </w:rPr>
        <w:t xml:space="preserve"> in Kampot, and almost none in Koh Kong and Kep. Fecal coliform levels in bathing waters and landing sites frequently reach </w:t>
      </w:r>
      <w:r w:rsidRPr="00F336E0">
        <w:rPr>
          <w:rStyle w:val="Strong"/>
          <w:rFonts w:ascii="Arial" w:hAnsi="Arial" w:cs="Arial"/>
          <w:sz w:val="22"/>
          <w:szCs w:val="22"/>
        </w:rPr>
        <w:t>10⁴–10⁵ CFU/100 mL</w:t>
      </w:r>
      <w:r w:rsidRPr="00F336E0">
        <w:rPr>
          <w:rFonts w:ascii="Arial" w:hAnsi="Arial" w:cs="Arial"/>
          <w:sz w:val="22"/>
          <w:szCs w:val="22"/>
        </w:rPr>
        <w:t>, while industrial effluents commonly exceed national limits for oil and grease, lead and zinc.</w:t>
      </w:r>
      <w:r w:rsidR="007D4CAE">
        <w:rPr>
          <w:rFonts w:ascii="Arial" w:hAnsi="Arial" w:cs="Arial"/>
          <w:sz w:val="22"/>
          <w:szCs w:val="22"/>
        </w:rPr>
        <w:t xml:space="preserve"> </w:t>
      </w:r>
      <w:r w:rsidR="007D4CAE" w:rsidRPr="007D4CAE">
        <w:rPr>
          <w:rFonts w:ascii="Arial" w:hAnsi="Arial" w:cs="Arial"/>
          <w:sz w:val="22"/>
          <w:szCs w:val="22"/>
        </w:rPr>
        <w:t xml:space="preserve">River–coast transition zones commonly show BOD levels of </w:t>
      </w:r>
      <w:r w:rsidR="007D4CAE" w:rsidRPr="007D4CAE">
        <w:rPr>
          <w:rFonts w:ascii="Arial" w:hAnsi="Arial" w:cs="Arial"/>
          <w:b/>
          <w:bCs/>
          <w:sz w:val="22"/>
          <w:szCs w:val="22"/>
        </w:rPr>
        <w:t>6–12 mg/L</w:t>
      </w:r>
      <w:r w:rsidR="007D4CAE" w:rsidRPr="007D4CAE">
        <w:rPr>
          <w:rFonts w:ascii="Arial" w:hAnsi="Arial" w:cs="Arial"/>
          <w:sz w:val="22"/>
          <w:szCs w:val="22"/>
        </w:rPr>
        <w:t xml:space="preserve">, exceeding the ASEAN guideline range of </w:t>
      </w:r>
      <w:r w:rsidR="007D4CAE" w:rsidRPr="007D4CAE">
        <w:rPr>
          <w:rFonts w:ascii="Arial" w:hAnsi="Arial" w:cs="Arial"/>
          <w:b/>
          <w:bCs/>
          <w:sz w:val="22"/>
          <w:szCs w:val="22"/>
        </w:rPr>
        <w:t>2–3 mg/L</w:t>
      </w:r>
      <w:r w:rsidR="007D4CAE" w:rsidRPr="007D4CAE">
        <w:rPr>
          <w:rFonts w:ascii="Arial" w:hAnsi="Arial" w:cs="Arial"/>
          <w:sz w:val="22"/>
          <w:szCs w:val="22"/>
        </w:rPr>
        <w:t xml:space="preserve">, while TN/TP loads in major estuaries are estimated to have risen by </w:t>
      </w:r>
      <w:r w:rsidR="007D4CAE" w:rsidRPr="007D4CAE">
        <w:rPr>
          <w:rFonts w:ascii="Arial" w:hAnsi="Arial" w:cs="Arial"/>
          <w:b/>
          <w:bCs/>
          <w:sz w:val="22"/>
          <w:szCs w:val="22"/>
        </w:rPr>
        <w:t>40–70%</w:t>
      </w:r>
      <w:r w:rsidR="007D4CAE" w:rsidRPr="007D4CAE">
        <w:rPr>
          <w:rFonts w:ascii="Arial" w:hAnsi="Arial" w:cs="Arial"/>
          <w:sz w:val="22"/>
          <w:szCs w:val="22"/>
        </w:rPr>
        <w:t xml:space="preserve"> since 2010. Solid waste and plastics compound these pressures: plastic leakage is estimated at more than </w:t>
      </w:r>
      <w:r w:rsidR="007D4CAE" w:rsidRPr="007D4CAE">
        <w:rPr>
          <w:rFonts w:ascii="Arial" w:hAnsi="Arial" w:cs="Arial"/>
          <w:b/>
          <w:bCs/>
          <w:sz w:val="22"/>
          <w:szCs w:val="22"/>
        </w:rPr>
        <w:t>85,000 tonnes per year</w:t>
      </w:r>
      <w:r w:rsidR="007D4CAE" w:rsidRPr="007D4CAE">
        <w:rPr>
          <w:rFonts w:ascii="Arial" w:hAnsi="Arial" w:cs="Arial"/>
          <w:sz w:val="22"/>
          <w:szCs w:val="22"/>
        </w:rPr>
        <w:t>, while only 1</w:t>
      </w:r>
      <w:r w:rsidR="007D4CAE" w:rsidRPr="007D4CAE">
        <w:rPr>
          <w:rFonts w:ascii="Arial" w:hAnsi="Arial" w:cs="Arial"/>
          <w:b/>
          <w:bCs/>
          <w:sz w:val="22"/>
          <w:szCs w:val="22"/>
        </w:rPr>
        <w:t>0–12% of waste is recycled</w:t>
      </w:r>
      <w:r w:rsidR="007D4CAE" w:rsidRPr="007D4CAE">
        <w:rPr>
          <w:rFonts w:ascii="Arial" w:hAnsi="Arial" w:cs="Arial"/>
          <w:sz w:val="22"/>
          <w:szCs w:val="22"/>
        </w:rPr>
        <w:t xml:space="preserve">, largely PET and metal streams. </w:t>
      </w:r>
      <w:r w:rsidRPr="00F336E0">
        <w:rPr>
          <w:rFonts w:ascii="Arial" w:hAnsi="Arial" w:cs="Arial"/>
          <w:sz w:val="22"/>
          <w:szCs w:val="22"/>
        </w:rPr>
        <w:t>Because pollution hotspots coincide with tourism nodes, fishing grounds and mangrove/seagrass habitats, land-based pollution acts as a cross-cutting threat that undermines public health, ecosystem resilience and economic competitiveness.</w:t>
      </w:r>
    </w:p>
    <w:p w:rsidR="00095F75" w:rsidRPr="00F336E0" w:rsidRDefault="00095F75" w:rsidP="00F336E0">
      <w:pPr>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3. Ecosystem degradation reducing fisheries productivity</w:t>
      </w:r>
    </w:p>
    <w:p w:rsidR="00095F75" w:rsidRPr="007D4CAE" w:rsidRDefault="00E75DAD" w:rsidP="007D4CAE">
      <w:pPr>
        <w:pStyle w:val="NormalWeb"/>
        <w:jc w:val="both"/>
        <w:rPr>
          <w:rFonts w:ascii="Arial" w:hAnsi="Arial" w:cs="Arial"/>
          <w:sz w:val="21"/>
          <w:szCs w:val="21"/>
        </w:rPr>
      </w:pPr>
      <w:r w:rsidRPr="00F336E0">
        <w:rPr>
          <w:rFonts w:ascii="Arial" w:hAnsi="Arial" w:cs="Arial"/>
          <w:sz w:val="22"/>
          <w:szCs w:val="22"/>
        </w:rPr>
        <w:t xml:space="preserve">Mangroves, seagrass meadows and coral reefs continue to contract or degrade, eroding both fisheries productivity and natural coastal protection. </w:t>
      </w:r>
      <w:r w:rsidR="007D4CAE" w:rsidRPr="007D4CAE">
        <w:rPr>
          <w:rFonts w:ascii="Arial" w:hAnsi="Arial" w:cs="Arial"/>
          <w:sz w:val="22"/>
          <w:szCs w:val="22"/>
        </w:rPr>
        <w:t xml:space="preserve">Available evidence indicates mangrove losses of roughly </w:t>
      </w:r>
      <w:r w:rsidR="007D4CAE" w:rsidRPr="007D4CAE">
        <w:rPr>
          <w:rFonts w:ascii="Arial" w:hAnsi="Arial" w:cs="Arial"/>
          <w:b/>
          <w:bCs/>
          <w:sz w:val="22"/>
          <w:szCs w:val="22"/>
        </w:rPr>
        <w:t>3,500–4,000 ha</w:t>
      </w:r>
      <w:r w:rsidR="007D4CAE" w:rsidRPr="007D4CAE">
        <w:rPr>
          <w:rFonts w:ascii="Arial" w:hAnsi="Arial" w:cs="Arial"/>
          <w:sz w:val="22"/>
          <w:szCs w:val="22"/>
        </w:rPr>
        <w:t xml:space="preserve"> since 2014, concentrated in Koh Kong and parts of Preah Sihanouk. Seagrass meadows in Kampot–Kep are estimated to have declined by around 20% since 2010, driven by turbidity, trawling impacts, and coastal construction. Coral cover at many nearshore sites has fallen to approximately 6–10%, while healthier but still stressed offshore reefs are typically reported at 20–30% cover. </w:t>
      </w:r>
      <w:r w:rsidRPr="00F336E0">
        <w:rPr>
          <w:rFonts w:ascii="Arial" w:hAnsi="Arial" w:cs="Arial"/>
          <w:sz w:val="22"/>
          <w:szCs w:val="22"/>
        </w:rPr>
        <w:t xml:space="preserve">Globally and regionally, mangroves are estimated to support roughly </w:t>
      </w:r>
      <w:r w:rsidRPr="00F336E0">
        <w:rPr>
          <w:rStyle w:val="Strong"/>
          <w:rFonts w:ascii="Arial" w:hAnsi="Arial" w:cs="Arial"/>
          <w:sz w:val="22"/>
          <w:szCs w:val="22"/>
        </w:rPr>
        <w:t>60%</w:t>
      </w:r>
      <w:r w:rsidRPr="00F336E0">
        <w:rPr>
          <w:rFonts w:ascii="Arial" w:hAnsi="Arial" w:cs="Arial"/>
          <w:sz w:val="22"/>
          <w:szCs w:val="22"/>
        </w:rPr>
        <w:t xml:space="preserve"> of coastal fisheries biomass, while seagrass meadows provide nursery habitat for at least </w:t>
      </w:r>
      <w:r w:rsidRPr="00F336E0">
        <w:rPr>
          <w:rStyle w:val="Strong"/>
          <w:rFonts w:ascii="Arial" w:hAnsi="Arial" w:cs="Arial"/>
          <w:sz w:val="22"/>
          <w:szCs w:val="22"/>
        </w:rPr>
        <w:t>13 key commercial species</w:t>
      </w:r>
      <w:r w:rsidRPr="00F336E0">
        <w:rPr>
          <w:rFonts w:ascii="Arial" w:hAnsi="Arial" w:cs="Arial"/>
          <w:sz w:val="22"/>
          <w:szCs w:val="22"/>
        </w:rPr>
        <w:t xml:space="preserve">. The combined loss of mangroves, seagrass and coral is estimated to reduce juvenile survival by </w:t>
      </w:r>
      <w:r w:rsidRPr="00F336E0">
        <w:rPr>
          <w:rStyle w:val="Strong"/>
          <w:rFonts w:ascii="Arial" w:hAnsi="Arial" w:cs="Arial"/>
          <w:sz w:val="22"/>
          <w:szCs w:val="22"/>
        </w:rPr>
        <w:t>20–40%</w:t>
      </w:r>
      <w:r w:rsidRPr="00F336E0">
        <w:rPr>
          <w:rFonts w:ascii="Arial" w:hAnsi="Arial" w:cs="Arial"/>
          <w:sz w:val="22"/>
          <w:szCs w:val="22"/>
        </w:rPr>
        <w:t>, weaken the coastline’s ability to buffer storms and erosion, and diminish blue-carbon storage potential—thereby linking biodiversity loss directly with climate mitigation and food security.</w:t>
      </w:r>
    </w:p>
    <w:p w:rsidR="00095F75" w:rsidRPr="00F336E0" w:rsidRDefault="00095F75" w:rsidP="00F336E0">
      <w:pPr>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4. Overfishing and trophic collapse</w:t>
      </w:r>
    </w:p>
    <w:p w:rsidR="00095F75" w:rsidRPr="00C275AE" w:rsidRDefault="003E1553" w:rsidP="00F336E0">
      <w:pPr>
        <w:pStyle w:val="NormalWeb"/>
        <w:jc w:val="both"/>
        <w:rPr>
          <w:rFonts w:ascii="Arial" w:hAnsi="Arial" w:cs="Arial"/>
          <w:sz w:val="21"/>
          <w:szCs w:val="21"/>
        </w:rPr>
      </w:pPr>
      <w:r w:rsidRPr="00F336E0">
        <w:rPr>
          <w:rFonts w:ascii="Arial" w:hAnsi="Arial" w:cs="Arial"/>
          <w:sz w:val="22"/>
          <w:szCs w:val="22"/>
        </w:rPr>
        <w:t xml:space="preserve">Fisheries indicators show long-term systemic stress: marine CPUE has collapsed from more than 170 kg/hour in the 1960s to around 26 kg/hour today, accompanied by a downward shift in the Mean Trophic Index toward smaller, lower-value species. This reflects both overfishing and loss of higher-trophic predators, signaling trophic simplification. </w:t>
      </w:r>
      <w:r w:rsidR="00C275AE" w:rsidRPr="007D4CAE">
        <w:rPr>
          <w:rFonts w:ascii="Arial" w:hAnsi="Arial" w:cs="Arial"/>
          <w:sz w:val="22"/>
          <w:szCs w:val="22"/>
        </w:rPr>
        <w:t xml:space="preserve">Exploitation rates for many demersal species are commonly reported in the range of 0.65–0.80, consistent with overfished stocks, while high-value groups such as groupers and snappers have declined by more than 50% compared with the early 2000s. Small pelagics now account for more than 70% of marine catches, signaling reduced ecosystem complexity and lower economic value per unit catch. </w:t>
      </w:r>
      <w:r w:rsidR="00E75DAD" w:rsidRPr="00F336E0">
        <w:rPr>
          <w:rFonts w:ascii="Arial" w:hAnsi="Arial" w:cs="Arial"/>
          <w:sz w:val="22"/>
          <w:szCs w:val="22"/>
        </w:rPr>
        <w:t>This trophic simplification reflects the combined effects of high fishing pressure, habitat loss, weak enforcement, and limited alternative livelihoods. It also reduces the economic value and nutritional quality of the catch, deepening vulnerability for coastal communities.</w:t>
      </w:r>
    </w:p>
    <w:p w:rsidR="00095F75" w:rsidRPr="00F336E0" w:rsidRDefault="00095F75" w:rsidP="00F336E0">
      <w:pPr>
        <w:adjustRightInd w:val="0"/>
        <w:snapToGrid w:val="0"/>
        <w:spacing w:before="240" w:after="240"/>
        <w:rPr>
          <w:rFonts w:ascii="Arial" w:hAnsi="Arial" w:cs="Arial"/>
          <w:b/>
          <w:bCs/>
          <w:i/>
          <w:iCs/>
          <w:color w:val="0070C0"/>
          <w:sz w:val="22"/>
          <w:szCs w:val="22"/>
        </w:rPr>
      </w:pPr>
      <w:r w:rsidRPr="00F336E0">
        <w:rPr>
          <w:rFonts w:ascii="Arial" w:hAnsi="Arial" w:cs="Arial"/>
          <w:b/>
          <w:bCs/>
          <w:i/>
          <w:iCs/>
          <w:color w:val="0070C0"/>
          <w:sz w:val="22"/>
          <w:szCs w:val="22"/>
        </w:rPr>
        <w:t>5. Climate change as a system-wide amplifier</w:t>
      </w:r>
    </w:p>
    <w:p w:rsidR="00095F75" w:rsidRDefault="00F336E0" w:rsidP="00F336E0">
      <w:pPr>
        <w:pStyle w:val="NormalWeb"/>
        <w:jc w:val="both"/>
        <w:rPr>
          <w:rFonts w:ascii="Arial" w:hAnsi="Arial" w:cs="Arial"/>
          <w:sz w:val="22"/>
          <w:szCs w:val="22"/>
        </w:rPr>
      </w:pPr>
      <w:r w:rsidRPr="00F336E0">
        <w:rPr>
          <w:rFonts w:ascii="Arial" w:hAnsi="Arial" w:cs="Arial"/>
          <w:sz w:val="22"/>
          <w:szCs w:val="22"/>
        </w:rPr>
        <w:t xml:space="preserve">Climate change does not act as a separate problem, but as a force that amplifies existing pollution, habitat and livelihood stresses. Projections indicate </w:t>
      </w:r>
      <w:r w:rsidRPr="00F336E0">
        <w:rPr>
          <w:rStyle w:val="Strong"/>
          <w:rFonts w:ascii="Arial" w:hAnsi="Arial" w:cs="Arial"/>
          <w:sz w:val="22"/>
          <w:szCs w:val="22"/>
        </w:rPr>
        <w:t>+11–20 cm</w:t>
      </w:r>
      <w:r w:rsidRPr="00F336E0">
        <w:rPr>
          <w:rFonts w:ascii="Arial" w:hAnsi="Arial" w:cs="Arial"/>
          <w:sz w:val="22"/>
          <w:szCs w:val="22"/>
        </w:rPr>
        <w:t xml:space="preserve"> of sea-level rise by 2050, with documented salinity intrusion advancing </w:t>
      </w:r>
      <w:r w:rsidRPr="00F336E0">
        <w:rPr>
          <w:rStyle w:val="Strong"/>
          <w:rFonts w:ascii="Arial" w:hAnsi="Arial" w:cs="Arial"/>
          <w:sz w:val="22"/>
          <w:szCs w:val="22"/>
        </w:rPr>
        <w:t>5–7 km</w:t>
      </w:r>
      <w:r w:rsidRPr="00F336E0">
        <w:rPr>
          <w:rFonts w:ascii="Arial" w:hAnsi="Arial" w:cs="Arial"/>
          <w:sz w:val="22"/>
          <w:szCs w:val="22"/>
        </w:rPr>
        <w:t xml:space="preserve"> inland in Kampot during dry seasons and affecting rice fields, drinking water and aquaculture. Between 2020–2022, extreme rainfall and floods affected more than </w:t>
      </w:r>
      <w:r w:rsidRPr="00F336E0">
        <w:rPr>
          <w:rStyle w:val="Strong"/>
          <w:rFonts w:ascii="Arial" w:hAnsi="Arial" w:cs="Arial"/>
          <w:sz w:val="22"/>
          <w:szCs w:val="22"/>
        </w:rPr>
        <w:t>200,000 people</w:t>
      </w:r>
      <w:r w:rsidRPr="00F336E0">
        <w:rPr>
          <w:rFonts w:ascii="Arial" w:hAnsi="Arial" w:cs="Arial"/>
          <w:sz w:val="22"/>
          <w:szCs w:val="22"/>
        </w:rPr>
        <w:t xml:space="preserve"> in coastal provinces. Sea-surface temperature anomalies reached </w:t>
      </w:r>
      <w:r w:rsidRPr="00F336E0">
        <w:rPr>
          <w:rStyle w:val="Strong"/>
          <w:rFonts w:ascii="Arial" w:hAnsi="Arial" w:cs="Arial"/>
          <w:sz w:val="22"/>
          <w:szCs w:val="22"/>
        </w:rPr>
        <w:t>+0.8–1.1 °C</w:t>
      </w:r>
      <w:r w:rsidRPr="00F336E0">
        <w:rPr>
          <w:rFonts w:ascii="Arial" w:hAnsi="Arial" w:cs="Arial"/>
          <w:sz w:val="22"/>
          <w:szCs w:val="22"/>
        </w:rPr>
        <w:t xml:space="preserve"> above baseline in 2023, increasing risks of coral bleaching and fish mortality events.</w:t>
      </w:r>
      <w:r w:rsidR="003C370B">
        <w:rPr>
          <w:rFonts w:ascii="Arial" w:hAnsi="Arial" w:cs="Arial"/>
          <w:sz w:val="22"/>
          <w:szCs w:val="22"/>
        </w:rPr>
        <w:t xml:space="preserve"> </w:t>
      </w:r>
      <w:r w:rsidR="00C275AE" w:rsidRPr="00C275AE">
        <w:rPr>
          <w:rFonts w:ascii="Arial" w:hAnsi="Arial" w:cs="Arial"/>
          <w:sz w:val="22"/>
          <w:szCs w:val="22"/>
        </w:rPr>
        <w:t>Composite indices suggest coastal provinces already rank high in climate vulnerability—Kampot (0.53), Kep (0.55), Koh Kong (0.56), and Preah Sihanouk (0.60)—and sea-level rise threatens more than 35,000 ha of coastal settlements and rice fields.</w:t>
      </w:r>
      <w:r w:rsidR="00C275AE">
        <w:rPr>
          <w:rFonts w:ascii="Arial" w:hAnsi="Arial" w:cs="Arial"/>
          <w:sz w:val="22"/>
          <w:szCs w:val="22"/>
        </w:rPr>
        <w:t xml:space="preserve"> </w:t>
      </w:r>
      <w:r w:rsidRPr="00F336E0">
        <w:rPr>
          <w:rFonts w:ascii="Arial" w:hAnsi="Arial" w:cs="Arial"/>
          <w:sz w:val="22"/>
          <w:szCs w:val="22"/>
        </w:rPr>
        <w:t>Climate change thus intensifies exposure (through higher floods, erosion, saline intrusion) and sensitivity (through degraded ecosystems and pollution), while adaptive capacity remains uneven and under-resourced.</w:t>
      </w:r>
    </w:p>
    <w:p w:rsidR="00095F75" w:rsidRPr="00F336E0" w:rsidRDefault="00095F75" w:rsidP="00F336E0">
      <w:pPr>
        <w:adjustRightInd w:val="0"/>
        <w:snapToGrid w:val="0"/>
        <w:spacing w:before="240" w:after="240"/>
        <w:rPr>
          <w:rFonts w:ascii="Arial" w:hAnsi="Arial" w:cs="Arial"/>
          <w:b/>
          <w:bCs/>
          <w:i/>
          <w:iCs/>
          <w:color w:val="0070C0"/>
          <w:sz w:val="22"/>
          <w:szCs w:val="22"/>
        </w:rPr>
      </w:pPr>
      <w:r w:rsidRPr="00F336E0">
        <w:rPr>
          <w:rFonts w:ascii="Arial" w:hAnsi="Arial" w:cs="Arial"/>
          <w:b/>
          <w:bCs/>
          <w:i/>
          <w:iCs/>
          <w:color w:val="0070C0"/>
          <w:sz w:val="22"/>
          <w:szCs w:val="22"/>
        </w:rPr>
        <w:t xml:space="preserve">6. </w:t>
      </w:r>
      <w:r w:rsidR="005D2E7C" w:rsidRPr="00F336E0">
        <w:rPr>
          <w:rFonts w:ascii="Arial" w:hAnsi="Arial" w:cs="Arial"/>
          <w:b/>
          <w:bCs/>
          <w:i/>
          <w:iCs/>
          <w:color w:val="0070C0"/>
          <w:sz w:val="22"/>
          <w:szCs w:val="22"/>
        </w:rPr>
        <w:t>G</w:t>
      </w:r>
      <w:r w:rsidRPr="00F336E0">
        <w:rPr>
          <w:rFonts w:ascii="Arial" w:hAnsi="Arial" w:cs="Arial"/>
          <w:b/>
          <w:bCs/>
          <w:i/>
          <w:iCs/>
          <w:color w:val="0070C0"/>
          <w:sz w:val="22"/>
          <w:szCs w:val="22"/>
        </w:rPr>
        <w:t>overnance and limited enforcement</w:t>
      </w:r>
    </w:p>
    <w:p w:rsidR="00C275AE" w:rsidRPr="00C275AE" w:rsidRDefault="00F336E0" w:rsidP="003C370B">
      <w:pPr>
        <w:pStyle w:val="NormalWeb"/>
        <w:jc w:val="both"/>
        <w:rPr>
          <w:rFonts w:ascii="Arial" w:hAnsi="Arial" w:cs="Arial"/>
          <w:sz w:val="22"/>
          <w:szCs w:val="22"/>
        </w:rPr>
      </w:pPr>
      <w:r w:rsidRPr="00C275AE">
        <w:rPr>
          <w:rFonts w:ascii="Arial" w:hAnsi="Arial" w:cs="Arial"/>
          <w:sz w:val="22"/>
          <w:szCs w:val="22"/>
        </w:rPr>
        <w:t xml:space="preserve">Although the policy framework has strengthened, implementation capacity and coordination remain partial. The draft mandate of the </w:t>
      </w:r>
      <w:r w:rsidRPr="00C275AE">
        <w:rPr>
          <w:rStyle w:val="Strong"/>
          <w:rFonts w:ascii="Arial" w:hAnsi="Arial" w:cs="Arial"/>
          <w:sz w:val="22"/>
          <w:szCs w:val="22"/>
        </w:rPr>
        <w:t>NCCMD</w:t>
      </w:r>
      <w:r w:rsidRPr="00C275AE">
        <w:rPr>
          <w:rFonts w:ascii="Arial" w:hAnsi="Arial" w:cs="Arial"/>
          <w:sz w:val="22"/>
          <w:szCs w:val="22"/>
        </w:rPr>
        <w:t xml:space="preserve"> for marine and coastal management is still pending, leaving offshore jurisdiction and cross-sector coordination under-defined. The national oil spill contingency plan is prepared but not yet fully operational.</w:t>
      </w:r>
      <w:r w:rsidR="00C275AE" w:rsidRPr="00C275AE">
        <w:rPr>
          <w:rFonts w:ascii="Arial" w:hAnsi="Arial" w:cs="Arial"/>
          <w:sz w:val="22"/>
          <w:szCs w:val="22"/>
        </w:rPr>
        <w:t xml:space="preserve"> Operational indicators illustrate persistent gaps, including limited monitoring and enforcement of EIA conditions (estimated at only 60–70% in practice), inadequate patrol coverage (less than 20% of the required marine area is regularly covered by patrol assets), and inconsistent compliance with effluent standards (only around 25–30% of industrial and tourism facilities consistently meet requirements). Among MFMAs, Koh Rong is the clearest example approaching full zoning, management planning, and community engagement, while other sites remain under-resourced. Financing constraints reinforce these weaknesses: the FiA marine budget has fluctuated between US$150,000 and 440,000 per year, limiting sustained enforcement, monitoring, and co-management support. Collectively, these governance gaps slow progress toward fully functional ICZM, marine spatial planning, and effective pollution control at the scale required for recovery.</w:t>
      </w:r>
    </w:p>
    <w:p w:rsidR="00BB218B" w:rsidRPr="003C370B" w:rsidRDefault="00D73747" w:rsidP="00D73747">
      <w:pPr>
        <w:pStyle w:val="Caption"/>
        <w:rPr>
          <w:rFonts w:ascii="Arial" w:hAnsi="Arial" w:cs="Arial"/>
          <w:i w:val="0"/>
          <w:iCs w:val="0"/>
          <w:color w:val="002060"/>
          <w:sz w:val="22"/>
          <w:szCs w:val="22"/>
        </w:rPr>
      </w:pPr>
      <w:bookmarkStart w:id="3" w:name="_Toc215343928"/>
      <w:r w:rsidRPr="00D73747">
        <w:rPr>
          <w:rFonts w:ascii="Arial" w:hAnsi="Arial" w:cs="Arial"/>
          <w:i w:val="0"/>
          <w:iCs w:val="0"/>
          <w:color w:val="002060"/>
          <w:sz w:val="22"/>
          <w:szCs w:val="22"/>
        </w:rPr>
        <w:t>Table 7-</w:t>
      </w:r>
      <w:r w:rsidRPr="00D73747">
        <w:rPr>
          <w:rFonts w:ascii="Arial" w:hAnsi="Arial" w:cs="Arial"/>
          <w:i w:val="0"/>
          <w:iCs w:val="0"/>
          <w:color w:val="002060"/>
          <w:sz w:val="22"/>
          <w:szCs w:val="22"/>
        </w:rPr>
        <w:fldChar w:fldCharType="begin"/>
      </w:r>
      <w:r w:rsidRPr="00D73747">
        <w:rPr>
          <w:rFonts w:ascii="Arial" w:hAnsi="Arial" w:cs="Arial"/>
          <w:i w:val="0"/>
          <w:iCs w:val="0"/>
          <w:color w:val="002060"/>
          <w:sz w:val="22"/>
          <w:szCs w:val="22"/>
        </w:rPr>
        <w:instrText xml:space="preserve"> SEQ Table_7- \* ARABIC </w:instrText>
      </w:r>
      <w:r w:rsidRPr="00D73747">
        <w:rPr>
          <w:rFonts w:ascii="Arial" w:hAnsi="Arial" w:cs="Arial"/>
          <w:i w:val="0"/>
          <w:iCs w:val="0"/>
          <w:color w:val="002060"/>
          <w:sz w:val="22"/>
          <w:szCs w:val="22"/>
        </w:rPr>
        <w:fldChar w:fldCharType="separate"/>
      </w:r>
      <w:r w:rsidR="00222093">
        <w:rPr>
          <w:rFonts w:ascii="Arial" w:hAnsi="Arial" w:cs="Arial"/>
          <w:i w:val="0"/>
          <w:iCs w:val="0"/>
          <w:noProof/>
          <w:color w:val="002060"/>
          <w:sz w:val="22"/>
          <w:szCs w:val="22"/>
        </w:rPr>
        <w:t>1</w:t>
      </w:r>
      <w:r w:rsidRPr="00D73747">
        <w:rPr>
          <w:rFonts w:ascii="Arial" w:hAnsi="Arial" w:cs="Arial"/>
          <w:i w:val="0"/>
          <w:iCs w:val="0"/>
          <w:color w:val="002060"/>
          <w:sz w:val="22"/>
          <w:szCs w:val="22"/>
        </w:rPr>
        <w:fldChar w:fldCharType="end"/>
      </w:r>
      <w:r w:rsidRPr="00D73747">
        <w:rPr>
          <w:rFonts w:ascii="Arial" w:hAnsi="Arial" w:cs="Arial"/>
          <w:i w:val="0"/>
          <w:iCs w:val="0"/>
          <w:color w:val="002060"/>
          <w:sz w:val="22"/>
          <w:szCs w:val="22"/>
        </w:rPr>
        <w:t xml:space="preserve"> </w:t>
      </w:r>
      <w:r w:rsidR="00BB218B" w:rsidRPr="003C370B">
        <w:rPr>
          <w:rFonts w:ascii="Arial" w:hAnsi="Arial" w:cs="Arial"/>
          <w:i w:val="0"/>
          <w:iCs w:val="0"/>
          <w:color w:val="002060"/>
          <w:sz w:val="22"/>
          <w:szCs w:val="22"/>
        </w:rPr>
        <w:t>Summary of key problem clusters and indicators of Cambodia TDA</w:t>
      </w:r>
      <w:bookmarkEnd w:id="3"/>
    </w:p>
    <w:tbl>
      <w:tblPr>
        <w:tblStyle w:val="GridTable4-Accent5"/>
        <w:tblW w:w="9067" w:type="dxa"/>
        <w:tblLook w:val="04A0" w:firstRow="1" w:lastRow="0" w:firstColumn="1" w:lastColumn="0" w:noHBand="0" w:noVBand="1"/>
      </w:tblPr>
      <w:tblGrid>
        <w:gridCol w:w="2122"/>
        <w:gridCol w:w="2268"/>
        <w:gridCol w:w="4677"/>
      </w:tblGrid>
      <w:tr w:rsidR="00BB218B" w:rsidRPr="00F336E0" w:rsidTr="002E1924">
        <w:trPr>
          <w:cnfStyle w:val="100000000000" w:firstRow="1" w:lastRow="0" w:firstColumn="0" w:lastColumn="0" w:oddVBand="0" w:evenVBand="0" w:oddHBand="0"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2122" w:type="dxa"/>
            <w:vAlign w:val="center"/>
            <w:hideMark/>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Problem Cluster</w:t>
            </w:r>
          </w:p>
        </w:tc>
        <w:tc>
          <w:tcPr>
            <w:tcW w:w="2268" w:type="dxa"/>
            <w:vAlign w:val="center"/>
            <w:hideMark/>
          </w:tcPr>
          <w:p w:rsidR="00BB218B" w:rsidRPr="00F336E0" w:rsidRDefault="00BB218B" w:rsidP="006F3FE3">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Indicator / Evidence</w:t>
            </w:r>
          </w:p>
        </w:tc>
        <w:tc>
          <w:tcPr>
            <w:tcW w:w="4677" w:type="dxa"/>
            <w:vAlign w:val="center"/>
            <w:hideMark/>
          </w:tcPr>
          <w:p w:rsidR="00BB218B" w:rsidRPr="00F336E0" w:rsidRDefault="00BB218B" w:rsidP="006F3FE3">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Magnitude / Quantitative Value</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BE4D5" w:themeFill="accent2" w:themeFillTint="33"/>
            <w:vAlign w:val="center"/>
            <w:hideMark/>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Socioeconomic &amp; Livelihood Risks</w:t>
            </w:r>
          </w:p>
        </w:tc>
        <w:tc>
          <w:tcPr>
            <w:tcW w:w="2268" w:type="dxa"/>
            <w:shd w:val="clear" w:color="auto" w:fill="FBE4D5" w:themeFill="accen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Coastal population</w:t>
            </w:r>
          </w:p>
        </w:tc>
        <w:tc>
          <w:tcPr>
            <w:tcW w:w="4677" w:type="dxa"/>
            <w:shd w:val="clear" w:color="auto" w:fill="FBE4D5" w:themeFill="accen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&gt;1.7 million people in the 4 coastal provinces</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FBE4D5" w:themeFill="accent2"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FBE4D5" w:themeFill="accen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Poverty &amp; vulnerability</w:t>
            </w:r>
          </w:p>
        </w:tc>
        <w:tc>
          <w:tcPr>
            <w:tcW w:w="4677" w:type="dxa"/>
            <w:shd w:val="clear" w:color="auto" w:fill="FBE4D5" w:themeFill="accen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Poverty 17.8% (2019/20); large near-poor group highly exposed to shocks</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BE4D5" w:themeFill="accent2"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FBE4D5" w:themeFill="accen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Ecosystem-based livelihoods</w:t>
            </w:r>
          </w:p>
        </w:tc>
        <w:tc>
          <w:tcPr>
            <w:tcW w:w="4677" w:type="dxa"/>
            <w:shd w:val="clear" w:color="auto" w:fill="FBE4D5" w:themeFill="accen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Koh Kong wetland households derive </w:t>
            </w:r>
            <w:r w:rsidRPr="00F336E0">
              <w:rPr>
                <w:rFonts w:ascii="Arial" w:eastAsia="Times New Roman" w:hAnsi="Arial" w:cs="Arial"/>
                <w:b/>
                <w:bCs/>
                <w:kern w:val="0"/>
                <w:sz w:val="20"/>
                <w:szCs w:val="20"/>
                <w14:ligatures w14:val="none"/>
              </w:rPr>
              <w:t>65–90%</w:t>
            </w:r>
            <w:r w:rsidRPr="00F336E0">
              <w:rPr>
                <w:rFonts w:ascii="Arial" w:eastAsia="Times New Roman" w:hAnsi="Arial" w:cs="Arial"/>
                <w:kern w:val="0"/>
                <w:sz w:val="20"/>
                <w:szCs w:val="20"/>
                <w14:ligatures w14:val="none"/>
              </w:rPr>
              <w:t xml:space="preserve"> of income from wetlands</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FBE4D5" w:themeFill="accent2"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FBE4D5" w:themeFill="accen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Tourism reliance</w:t>
            </w:r>
          </w:p>
        </w:tc>
        <w:tc>
          <w:tcPr>
            <w:tcW w:w="4677" w:type="dxa"/>
            <w:shd w:val="clear" w:color="auto" w:fill="FBE4D5" w:themeFill="accen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Extremely high in Sihanoukville; economy highly sensitive to external shocks and environmental degradation</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vAlign w:val="center"/>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Climate-Related Coastal Risks</w:t>
            </w:r>
          </w:p>
        </w:tc>
        <w:tc>
          <w:tcPr>
            <w:tcW w:w="2268" w:type="dxa"/>
            <w:vAlign w:val="center"/>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Sea-level rise</w:t>
            </w:r>
          </w:p>
        </w:tc>
        <w:tc>
          <w:tcPr>
            <w:tcW w:w="4677" w:type="dxa"/>
            <w:vAlign w:val="center"/>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Projected </w:t>
            </w:r>
            <w:r w:rsidRPr="00F336E0">
              <w:rPr>
                <w:rFonts w:ascii="Arial" w:eastAsia="Times New Roman" w:hAnsi="Arial" w:cs="Arial"/>
                <w:b/>
                <w:bCs/>
                <w:kern w:val="0"/>
                <w:sz w:val="20"/>
                <w:szCs w:val="20"/>
                <w14:ligatures w14:val="none"/>
              </w:rPr>
              <w:t>+11–20 cm</w:t>
            </w:r>
            <w:r w:rsidRPr="00F336E0">
              <w:rPr>
                <w:rFonts w:ascii="Arial" w:eastAsia="Times New Roman" w:hAnsi="Arial" w:cs="Arial"/>
                <w:kern w:val="0"/>
                <w:sz w:val="20"/>
                <w:szCs w:val="20"/>
                <w14:ligatures w14:val="none"/>
              </w:rPr>
              <w:t xml:space="preserve"> by 2050, threatening &gt;</w:t>
            </w:r>
            <w:r w:rsidRPr="00F336E0">
              <w:rPr>
                <w:rFonts w:ascii="Arial" w:eastAsia="Times New Roman" w:hAnsi="Arial" w:cs="Arial"/>
                <w:b/>
                <w:bCs/>
                <w:kern w:val="0"/>
                <w:sz w:val="20"/>
                <w:szCs w:val="20"/>
                <w14:ligatures w14:val="none"/>
              </w:rPr>
              <w:t>35,000 ha</w:t>
            </w:r>
            <w:r w:rsidRPr="00F336E0">
              <w:rPr>
                <w:rFonts w:ascii="Arial" w:eastAsia="Times New Roman" w:hAnsi="Arial" w:cs="Arial"/>
                <w:kern w:val="0"/>
                <w:sz w:val="20"/>
                <w:szCs w:val="20"/>
                <w14:ligatures w14:val="none"/>
              </w:rPr>
              <w:t xml:space="preserve"> of coastal settlements and rice fields</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DEEAF6" w:themeFill="accent5" w:themeFillTint="33"/>
            <w:vAlign w:val="center"/>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DEEAF6" w:themeFill="accent5" w:themeFillTint="33"/>
            <w:vAlign w:val="center"/>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Flood impacts</w:t>
            </w:r>
          </w:p>
        </w:tc>
        <w:tc>
          <w:tcPr>
            <w:tcW w:w="4677" w:type="dxa"/>
            <w:shd w:val="clear" w:color="auto" w:fill="DEEAF6" w:themeFill="accent5" w:themeFillTint="33"/>
            <w:vAlign w:val="center"/>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&gt;200,000 people</w:t>
            </w:r>
            <w:r w:rsidRPr="00F336E0">
              <w:rPr>
                <w:rFonts w:ascii="Arial" w:eastAsia="Times New Roman" w:hAnsi="Arial" w:cs="Arial"/>
                <w:kern w:val="0"/>
                <w:sz w:val="20"/>
                <w:szCs w:val="20"/>
                <w14:ligatures w14:val="none"/>
              </w:rPr>
              <w:t xml:space="preserve"> affected by coastal and riverine floods (2020–2022)</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ign w:val="center"/>
          </w:tcPr>
          <w:p w:rsidR="00BB218B" w:rsidRPr="00F336E0" w:rsidRDefault="00BB218B" w:rsidP="006F3FE3">
            <w:pPr>
              <w:rPr>
                <w:rFonts w:ascii="Arial" w:eastAsia="Times New Roman" w:hAnsi="Arial" w:cs="Arial"/>
                <w:kern w:val="0"/>
                <w:sz w:val="20"/>
                <w:szCs w:val="20"/>
                <w14:ligatures w14:val="none"/>
              </w:rPr>
            </w:pPr>
          </w:p>
        </w:tc>
        <w:tc>
          <w:tcPr>
            <w:tcW w:w="2268" w:type="dxa"/>
            <w:vAlign w:val="center"/>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Sea-surface temperature anomaly</w:t>
            </w:r>
          </w:p>
        </w:tc>
        <w:tc>
          <w:tcPr>
            <w:tcW w:w="4677" w:type="dxa"/>
            <w:vAlign w:val="center"/>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+0.8–1.1 °C</w:t>
            </w:r>
            <w:r w:rsidRPr="00F336E0">
              <w:rPr>
                <w:rFonts w:ascii="Arial" w:eastAsia="Times New Roman" w:hAnsi="Arial" w:cs="Arial"/>
                <w:kern w:val="0"/>
                <w:sz w:val="20"/>
                <w:szCs w:val="20"/>
                <w14:ligatures w14:val="none"/>
              </w:rPr>
              <w:t xml:space="preserve"> above baseline in 2023, increasing bleaching and mortality risks</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E2EFD9" w:themeFill="accent6" w:themeFillTint="33"/>
            <w:vAlign w:val="center"/>
            <w:hideMark/>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Land-Based Pollution</w:t>
            </w:r>
          </w:p>
        </w:tc>
        <w:tc>
          <w:tcPr>
            <w:tcW w:w="2268" w:type="dxa"/>
            <w:shd w:val="clear" w:color="auto" w:fill="E2EFD9" w:themeFill="accent6"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Coastal wastewater treatment coverage</w:t>
            </w:r>
          </w:p>
        </w:tc>
        <w:tc>
          <w:tcPr>
            <w:tcW w:w="4677" w:type="dxa"/>
            <w:shd w:val="clear" w:color="auto" w:fill="E2EFD9" w:themeFill="accent6"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Preah Sihanouk </w:t>
            </w:r>
            <w:r w:rsidRPr="00F336E0">
              <w:rPr>
                <w:rFonts w:ascii="Arial" w:eastAsia="Times New Roman" w:hAnsi="Arial" w:cs="Arial"/>
                <w:b/>
                <w:bCs/>
                <w:kern w:val="0"/>
                <w:sz w:val="20"/>
                <w:szCs w:val="20"/>
                <w14:ligatures w14:val="none"/>
              </w:rPr>
              <w:t>&lt;20%</w:t>
            </w:r>
            <w:r w:rsidRPr="00F336E0">
              <w:rPr>
                <w:rFonts w:ascii="Arial" w:eastAsia="Times New Roman" w:hAnsi="Arial" w:cs="Arial"/>
                <w:kern w:val="0"/>
                <w:sz w:val="20"/>
                <w:szCs w:val="20"/>
                <w14:ligatures w14:val="none"/>
              </w:rPr>
              <w:t xml:space="preserve">, Kampot </w:t>
            </w:r>
            <w:r w:rsidRPr="00F336E0">
              <w:rPr>
                <w:rFonts w:ascii="Arial" w:eastAsia="Times New Roman" w:hAnsi="Arial" w:cs="Arial"/>
                <w:b/>
                <w:bCs/>
                <w:kern w:val="0"/>
                <w:sz w:val="20"/>
                <w:szCs w:val="20"/>
                <w14:ligatures w14:val="none"/>
              </w:rPr>
              <w:t>&lt;10%</w:t>
            </w:r>
            <w:r w:rsidRPr="00F336E0">
              <w:rPr>
                <w:rFonts w:ascii="Arial" w:eastAsia="Times New Roman" w:hAnsi="Arial" w:cs="Arial"/>
                <w:kern w:val="0"/>
                <w:sz w:val="20"/>
                <w:szCs w:val="20"/>
                <w14:ligatures w14:val="none"/>
              </w:rPr>
              <w:t xml:space="preserve">, Koh Kong &amp; Kep ≈ </w:t>
            </w:r>
            <w:r w:rsidRPr="00F336E0">
              <w:rPr>
                <w:rFonts w:ascii="Arial" w:eastAsia="Times New Roman" w:hAnsi="Arial" w:cs="Arial"/>
                <w:b/>
                <w:bCs/>
                <w:kern w:val="0"/>
                <w:sz w:val="20"/>
                <w:szCs w:val="20"/>
                <w14:ligatures w14:val="none"/>
              </w:rPr>
              <w:t>0%</w:t>
            </w:r>
            <w:r w:rsidRPr="00F336E0">
              <w:rPr>
                <w:rFonts w:ascii="Arial" w:eastAsia="Times New Roman" w:hAnsi="Arial" w:cs="Arial"/>
                <w:kern w:val="0"/>
                <w:sz w:val="20"/>
                <w:szCs w:val="20"/>
                <w14:ligatures w14:val="none"/>
              </w:rPr>
              <w:t xml:space="preserve"> treated</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Fecal coliform concentrations</w:t>
            </w:r>
          </w:p>
        </w:tc>
        <w:tc>
          <w:tcPr>
            <w:tcW w:w="4677" w:type="dxa"/>
            <w:shd w:val="clear" w:color="auto" w:fill="E2EFD9" w:themeFill="accent6"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10⁴–10⁵ CFU/100 mL</w:t>
            </w:r>
            <w:r w:rsidRPr="00F336E0">
              <w:rPr>
                <w:rFonts w:ascii="Arial" w:eastAsia="Times New Roman" w:hAnsi="Arial" w:cs="Arial"/>
                <w:kern w:val="0"/>
                <w:sz w:val="20"/>
                <w:szCs w:val="20"/>
                <w14:ligatures w14:val="none"/>
              </w:rPr>
              <w:t>, exceeding ASEAN bathing-water thresholds</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Industrial effluent exceedances</w:t>
            </w:r>
          </w:p>
        </w:tc>
        <w:tc>
          <w:tcPr>
            <w:tcW w:w="4677" w:type="dxa"/>
            <w:shd w:val="clear" w:color="auto" w:fill="E2EFD9" w:themeFill="accent6"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Oil &amp; grease </w:t>
            </w:r>
            <w:r w:rsidRPr="00F336E0">
              <w:rPr>
                <w:rFonts w:ascii="Arial" w:eastAsia="Times New Roman" w:hAnsi="Arial" w:cs="Arial"/>
                <w:b/>
                <w:bCs/>
                <w:kern w:val="0"/>
                <w:sz w:val="20"/>
                <w:szCs w:val="20"/>
                <w14:ligatures w14:val="none"/>
              </w:rPr>
              <w:t>12 mg/L</w:t>
            </w:r>
            <w:r w:rsidRPr="00F336E0">
              <w:rPr>
                <w:rFonts w:ascii="Arial" w:eastAsia="Times New Roman" w:hAnsi="Arial" w:cs="Arial"/>
                <w:kern w:val="0"/>
                <w:sz w:val="20"/>
                <w:szCs w:val="20"/>
                <w14:ligatures w14:val="none"/>
              </w:rPr>
              <w:t xml:space="preserve"> (limit </w:t>
            </w:r>
            <w:r w:rsidRPr="00F336E0">
              <w:rPr>
                <w:rFonts w:ascii="Arial" w:eastAsia="Times New Roman" w:hAnsi="Arial" w:cs="Arial"/>
                <w:b/>
                <w:bCs/>
                <w:kern w:val="0"/>
                <w:sz w:val="20"/>
                <w:szCs w:val="20"/>
                <w14:ligatures w14:val="none"/>
              </w:rPr>
              <w:t>5 mg/L</w:t>
            </w:r>
            <w:r w:rsidRPr="00F336E0">
              <w:rPr>
                <w:rFonts w:ascii="Arial" w:eastAsia="Times New Roman" w:hAnsi="Arial" w:cs="Arial"/>
                <w:kern w:val="0"/>
                <w:sz w:val="20"/>
                <w:szCs w:val="20"/>
                <w14:ligatures w14:val="none"/>
              </w:rPr>
              <w:t xml:space="preserve">); Pb </w:t>
            </w:r>
            <w:r w:rsidRPr="00F336E0">
              <w:rPr>
                <w:rFonts w:ascii="Arial" w:eastAsia="Times New Roman" w:hAnsi="Arial" w:cs="Arial"/>
                <w:b/>
                <w:bCs/>
                <w:kern w:val="0"/>
                <w:sz w:val="20"/>
                <w:szCs w:val="20"/>
                <w14:ligatures w14:val="none"/>
              </w:rPr>
              <w:t>0.25 mg/L</w:t>
            </w:r>
            <w:r w:rsidRPr="00F336E0">
              <w:rPr>
                <w:rFonts w:ascii="Arial" w:eastAsia="Times New Roman" w:hAnsi="Arial" w:cs="Arial"/>
                <w:kern w:val="0"/>
                <w:sz w:val="20"/>
                <w:szCs w:val="20"/>
                <w14:ligatures w14:val="none"/>
              </w:rPr>
              <w:t xml:space="preserve"> (limit </w:t>
            </w:r>
            <w:r w:rsidRPr="00F336E0">
              <w:rPr>
                <w:rFonts w:ascii="Arial" w:eastAsia="Times New Roman" w:hAnsi="Arial" w:cs="Arial"/>
                <w:b/>
                <w:bCs/>
                <w:kern w:val="0"/>
                <w:sz w:val="20"/>
                <w:szCs w:val="20"/>
                <w14:ligatures w14:val="none"/>
              </w:rPr>
              <w:t>0.1 mg/L</w:t>
            </w:r>
            <w:r w:rsidRPr="00F336E0">
              <w:rPr>
                <w:rFonts w:ascii="Arial" w:eastAsia="Times New Roman" w:hAnsi="Arial" w:cs="Arial"/>
                <w:kern w:val="0"/>
                <w:sz w:val="20"/>
                <w:szCs w:val="20"/>
                <w14:ligatures w14:val="none"/>
              </w:rPr>
              <w:t xml:space="preserve">); Zn </w:t>
            </w:r>
            <w:r w:rsidRPr="00F336E0">
              <w:rPr>
                <w:rFonts w:ascii="Arial" w:eastAsia="Times New Roman" w:hAnsi="Arial" w:cs="Arial"/>
                <w:b/>
                <w:bCs/>
                <w:kern w:val="0"/>
                <w:sz w:val="20"/>
                <w:szCs w:val="20"/>
                <w14:ligatures w14:val="none"/>
              </w:rPr>
              <w:t>1.1 mg/L</w:t>
            </w:r>
            <w:r w:rsidRPr="00F336E0">
              <w:rPr>
                <w:rFonts w:ascii="Arial" w:eastAsia="Times New Roman" w:hAnsi="Arial" w:cs="Arial"/>
                <w:kern w:val="0"/>
                <w:sz w:val="20"/>
                <w:szCs w:val="20"/>
                <w14:ligatures w14:val="none"/>
              </w:rPr>
              <w:t xml:space="preserve"> (limit </w:t>
            </w:r>
            <w:r w:rsidRPr="00F336E0">
              <w:rPr>
                <w:rFonts w:ascii="Arial" w:eastAsia="Times New Roman" w:hAnsi="Arial" w:cs="Arial"/>
                <w:b/>
                <w:bCs/>
                <w:kern w:val="0"/>
                <w:sz w:val="20"/>
                <w:szCs w:val="20"/>
                <w14:ligatures w14:val="none"/>
              </w:rPr>
              <w:t>1.0 mg/L</w:t>
            </w:r>
            <w:r w:rsidRPr="00F336E0">
              <w:rPr>
                <w:rFonts w:ascii="Arial" w:eastAsia="Times New Roman" w:hAnsi="Arial" w:cs="Arial"/>
                <w:kern w:val="0"/>
                <w:sz w:val="20"/>
                <w:szCs w:val="20"/>
                <w14:ligatures w14:val="none"/>
              </w:rPr>
              <w:t>)</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Plastic leakage rate</w:t>
            </w:r>
          </w:p>
        </w:tc>
        <w:tc>
          <w:tcPr>
            <w:tcW w:w="4677" w:type="dxa"/>
            <w:shd w:val="clear" w:color="auto" w:fill="E2EFD9" w:themeFill="accent6"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&gt;85,000 tonnes/year</w:t>
            </w:r>
            <w:r w:rsidRPr="00F336E0">
              <w:rPr>
                <w:rFonts w:ascii="Arial" w:eastAsia="Times New Roman" w:hAnsi="Arial" w:cs="Arial"/>
                <w:kern w:val="0"/>
                <w:sz w:val="20"/>
                <w:szCs w:val="20"/>
                <w14:ligatures w14:val="none"/>
              </w:rPr>
              <w:t xml:space="preserve">; national recycling rate </w:t>
            </w:r>
            <w:r w:rsidRPr="00F336E0">
              <w:rPr>
                <w:rFonts w:ascii="Arial" w:eastAsia="Times New Roman" w:hAnsi="Arial" w:cs="Arial"/>
                <w:b/>
                <w:bCs/>
                <w:kern w:val="0"/>
                <w:sz w:val="20"/>
                <w:szCs w:val="20"/>
                <w14:ligatures w14:val="none"/>
              </w:rPr>
              <w:t>10–12%</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Nutrient loads (TN/TP)</w:t>
            </w:r>
          </w:p>
        </w:tc>
        <w:tc>
          <w:tcPr>
            <w:tcW w:w="4677" w:type="dxa"/>
            <w:shd w:val="clear" w:color="auto" w:fill="E2EFD9" w:themeFill="accent6"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+40–70%</w:t>
            </w:r>
            <w:r w:rsidRPr="00F336E0">
              <w:rPr>
                <w:rFonts w:ascii="Arial" w:eastAsia="Times New Roman" w:hAnsi="Arial" w:cs="Arial"/>
                <w:kern w:val="0"/>
                <w:sz w:val="20"/>
                <w:szCs w:val="20"/>
                <w14:ligatures w14:val="none"/>
              </w:rPr>
              <w:t xml:space="preserve"> increase (2010–2023) in key estuaries and river–coast interfaces</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D5DCE4" w:themeFill="text2" w:themeFillTint="33"/>
            <w:vAlign w:val="center"/>
            <w:hideMark/>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Habitat Degradation</w:t>
            </w:r>
          </w:p>
        </w:tc>
        <w:tc>
          <w:tcPr>
            <w:tcW w:w="2268" w:type="dxa"/>
            <w:shd w:val="clear" w:color="auto" w:fill="D5DCE4" w:themeFill="tex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Mangrove loss</w:t>
            </w:r>
          </w:p>
        </w:tc>
        <w:tc>
          <w:tcPr>
            <w:tcW w:w="4677" w:type="dxa"/>
            <w:shd w:val="clear" w:color="auto" w:fill="D5DCE4" w:themeFill="tex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Loss of </w:t>
            </w:r>
            <w:r w:rsidRPr="00F336E0">
              <w:rPr>
                <w:rFonts w:ascii="Arial" w:eastAsia="Times New Roman" w:hAnsi="Arial" w:cs="Arial"/>
                <w:b/>
                <w:bCs/>
                <w:kern w:val="0"/>
                <w:sz w:val="20"/>
                <w:szCs w:val="20"/>
                <w14:ligatures w14:val="none"/>
              </w:rPr>
              <w:t>3,500–4,000 ha</w:t>
            </w:r>
            <w:r w:rsidRPr="00F336E0">
              <w:rPr>
                <w:rFonts w:ascii="Arial" w:eastAsia="Times New Roman" w:hAnsi="Arial" w:cs="Arial"/>
                <w:kern w:val="0"/>
                <w:sz w:val="20"/>
                <w:szCs w:val="20"/>
                <w14:ligatures w14:val="none"/>
              </w:rPr>
              <w:t xml:space="preserve"> since 2014; highest degradation in Koh Kong</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D5DCE4" w:themeFill="text2"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D5DCE4" w:themeFill="tex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Seagrass decline</w:t>
            </w:r>
          </w:p>
        </w:tc>
        <w:tc>
          <w:tcPr>
            <w:tcW w:w="4677" w:type="dxa"/>
            <w:shd w:val="clear" w:color="auto" w:fill="D5DCE4" w:themeFill="tex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Kampot–Kep meadows reduced by </w:t>
            </w:r>
            <w:r w:rsidRPr="00F336E0">
              <w:rPr>
                <w:rFonts w:ascii="Arial" w:eastAsia="Times New Roman" w:hAnsi="Arial" w:cs="Arial"/>
                <w:b/>
                <w:bCs/>
                <w:kern w:val="0"/>
                <w:sz w:val="20"/>
                <w:szCs w:val="20"/>
                <w14:ligatures w14:val="none"/>
              </w:rPr>
              <w:t>~20%</w:t>
            </w:r>
            <w:r w:rsidRPr="00F336E0">
              <w:rPr>
                <w:rFonts w:ascii="Arial" w:eastAsia="Times New Roman" w:hAnsi="Arial" w:cs="Arial"/>
                <w:kern w:val="0"/>
                <w:sz w:val="20"/>
                <w:szCs w:val="20"/>
                <w14:ligatures w14:val="none"/>
              </w:rPr>
              <w:t xml:space="preserve"> since 2010</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D5DCE4" w:themeFill="text2"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D5DCE4" w:themeFill="tex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Coral reef condition</w:t>
            </w:r>
          </w:p>
        </w:tc>
        <w:tc>
          <w:tcPr>
            <w:tcW w:w="4677" w:type="dxa"/>
            <w:shd w:val="clear" w:color="auto" w:fill="D5DCE4" w:themeFill="text2" w:themeFillTint="33"/>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Nearshore coral cover </w:t>
            </w:r>
            <w:r w:rsidRPr="00F336E0">
              <w:rPr>
                <w:rFonts w:ascii="Arial" w:eastAsia="Times New Roman" w:hAnsi="Arial" w:cs="Arial"/>
                <w:b/>
                <w:bCs/>
                <w:kern w:val="0"/>
                <w:sz w:val="20"/>
                <w:szCs w:val="20"/>
                <w14:ligatures w14:val="none"/>
              </w:rPr>
              <w:t>6–10%</w:t>
            </w:r>
            <w:r w:rsidRPr="00F336E0">
              <w:rPr>
                <w:rFonts w:ascii="Arial" w:eastAsia="Times New Roman" w:hAnsi="Arial" w:cs="Arial"/>
                <w:kern w:val="0"/>
                <w:sz w:val="20"/>
                <w:szCs w:val="20"/>
                <w14:ligatures w14:val="none"/>
              </w:rPr>
              <w:t xml:space="preserve">; offshore reefs </w:t>
            </w:r>
            <w:r w:rsidRPr="00F336E0">
              <w:rPr>
                <w:rFonts w:ascii="Arial" w:eastAsia="Times New Roman" w:hAnsi="Arial" w:cs="Arial"/>
                <w:b/>
                <w:bCs/>
                <w:kern w:val="0"/>
                <w:sz w:val="20"/>
                <w:szCs w:val="20"/>
                <w14:ligatures w14:val="none"/>
              </w:rPr>
              <w:t>20–30%</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D5DCE4" w:themeFill="text2" w:themeFillTint="33"/>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D5DCE4" w:themeFill="tex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Salinity intrusion</w:t>
            </w:r>
          </w:p>
        </w:tc>
        <w:tc>
          <w:tcPr>
            <w:tcW w:w="4677" w:type="dxa"/>
            <w:shd w:val="clear" w:color="auto" w:fill="D5DCE4" w:themeFill="text2" w:themeFillTint="33"/>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Dry-season intrusion </w:t>
            </w:r>
            <w:r w:rsidRPr="00F336E0">
              <w:rPr>
                <w:rFonts w:ascii="Arial" w:eastAsia="Times New Roman" w:hAnsi="Arial" w:cs="Arial"/>
                <w:b/>
                <w:bCs/>
                <w:kern w:val="0"/>
                <w:sz w:val="20"/>
                <w:szCs w:val="20"/>
                <w14:ligatures w14:val="none"/>
              </w:rPr>
              <w:t>5–7 km</w:t>
            </w:r>
            <w:r w:rsidRPr="00F336E0">
              <w:rPr>
                <w:rFonts w:ascii="Arial" w:eastAsia="Times New Roman" w:hAnsi="Arial" w:cs="Arial"/>
                <w:kern w:val="0"/>
                <w:sz w:val="20"/>
                <w:szCs w:val="20"/>
                <w14:ligatures w14:val="none"/>
              </w:rPr>
              <w:t xml:space="preserve"> inland in Kampot, affecting rice fields and water supply</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7CAAC" w:themeFill="accent2" w:themeFillTint="66"/>
            <w:vAlign w:val="center"/>
            <w:hideMark/>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Fisheries Decline &amp; Trophic Downgrading</w:t>
            </w:r>
          </w:p>
        </w:tc>
        <w:tc>
          <w:tcPr>
            <w:tcW w:w="2268" w:type="dxa"/>
            <w:shd w:val="clear" w:color="auto" w:fill="F7CAAC" w:themeFill="accent2" w:themeFillTint="66"/>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Marine CPUE trend</w:t>
            </w:r>
          </w:p>
        </w:tc>
        <w:tc>
          <w:tcPr>
            <w:tcW w:w="4677" w:type="dxa"/>
            <w:shd w:val="clear" w:color="auto" w:fill="F7CAAC" w:themeFill="accent2" w:themeFillTint="66"/>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Decline from </w:t>
            </w:r>
            <w:r w:rsidRPr="00F336E0">
              <w:rPr>
                <w:rFonts w:ascii="Arial" w:eastAsia="Times New Roman" w:hAnsi="Arial" w:cs="Arial"/>
                <w:b/>
                <w:bCs/>
                <w:kern w:val="0"/>
                <w:sz w:val="20"/>
                <w:szCs w:val="20"/>
                <w14:ligatures w14:val="none"/>
              </w:rPr>
              <w:t>&gt;170 kg/hour</w:t>
            </w:r>
            <w:r w:rsidRPr="00F336E0">
              <w:rPr>
                <w:rFonts w:ascii="Arial" w:eastAsia="Times New Roman" w:hAnsi="Arial" w:cs="Arial"/>
                <w:kern w:val="0"/>
                <w:sz w:val="20"/>
                <w:szCs w:val="20"/>
                <w14:ligatures w14:val="none"/>
              </w:rPr>
              <w:t xml:space="preserve"> (1960s) to </w:t>
            </w:r>
            <w:r w:rsidRPr="00F336E0">
              <w:rPr>
                <w:rFonts w:ascii="Arial" w:eastAsia="Times New Roman" w:hAnsi="Arial" w:cs="Arial"/>
                <w:b/>
                <w:bCs/>
                <w:kern w:val="0"/>
                <w:sz w:val="20"/>
                <w:szCs w:val="20"/>
                <w14:ligatures w14:val="none"/>
              </w:rPr>
              <w:t>~26 kg/hour</w:t>
            </w:r>
            <w:r w:rsidRPr="00F336E0">
              <w:rPr>
                <w:rFonts w:ascii="Arial" w:eastAsia="Times New Roman" w:hAnsi="Arial" w:cs="Arial"/>
                <w:kern w:val="0"/>
                <w:sz w:val="20"/>
                <w:szCs w:val="20"/>
                <w14:ligatures w14:val="none"/>
              </w:rPr>
              <w:t xml:space="preserve"> in recent years</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F7CAAC" w:themeFill="accent2" w:themeFillTint="66"/>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Catch composition shift</w:t>
            </w:r>
          </w:p>
        </w:tc>
        <w:tc>
          <w:tcPr>
            <w:tcW w:w="4677" w:type="dxa"/>
            <w:shd w:val="clear" w:color="auto" w:fill="F7CAAC" w:themeFill="accent2" w:themeFillTint="66"/>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High-value demersal species down </w:t>
            </w:r>
            <w:r w:rsidRPr="00F336E0">
              <w:rPr>
                <w:rFonts w:ascii="Arial" w:eastAsia="Times New Roman" w:hAnsi="Arial" w:cs="Arial"/>
                <w:b/>
                <w:bCs/>
                <w:kern w:val="0"/>
                <w:sz w:val="20"/>
                <w:szCs w:val="20"/>
                <w14:ligatures w14:val="none"/>
              </w:rPr>
              <w:t>&gt;50%</w:t>
            </w:r>
            <w:r w:rsidRPr="00F336E0">
              <w:rPr>
                <w:rFonts w:ascii="Arial" w:eastAsia="Times New Roman" w:hAnsi="Arial" w:cs="Arial"/>
                <w:kern w:val="0"/>
                <w:sz w:val="20"/>
                <w:szCs w:val="20"/>
                <w14:ligatures w14:val="none"/>
              </w:rPr>
              <w:t xml:space="preserve">; low-value/small pelagics now </w:t>
            </w:r>
            <w:r w:rsidRPr="00F336E0">
              <w:rPr>
                <w:rFonts w:ascii="Arial" w:eastAsia="Times New Roman" w:hAnsi="Arial" w:cs="Arial"/>
                <w:b/>
                <w:bCs/>
                <w:kern w:val="0"/>
                <w:sz w:val="20"/>
                <w:szCs w:val="20"/>
                <w14:ligatures w14:val="none"/>
              </w:rPr>
              <w:t>&gt;70%</w:t>
            </w:r>
            <w:r w:rsidRPr="00F336E0">
              <w:rPr>
                <w:rFonts w:ascii="Arial" w:eastAsia="Times New Roman" w:hAnsi="Arial" w:cs="Arial"/>
                <w:kern w:val="0"/>
                <w:sz w:val="20"/>
                <w:szCs w:val="20"/>
                <w14:ligatures w14:val="none"/>
              </w:rPr>
              <w:t xml:space="preserve"> of catch</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F7CAAC" w:themeFill="accent2" w:themeFillTint="66"/>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Exploitation rate (E)</w:t>
            </w:r>
          </w:p>
        </w:tc>
        <w:tc>
          <w:tcPr>
            <w:tcW w:w="4677" w:type="dxa"/>
            <w:shd w:val="clear" w:color="auto" w:fill="F7CAAC" w:themeFill="accent2" w:themeFillTint="66"/>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0.65–0.80</w:t>
            </w:r>
            <w:r w:rsidRPr="00F336E0">
              <w:rPr>
                <w:rFonts w:ascii="Arial" w:eastAsia="Times New Roman" w:hAnsi="Arial" w:cs="Arial"/>
                <w:kern w:val="0"/>
                <w:sz w:val="20"/>
                <w:szCs w:val="20"/>
                <w14:ligatures w14:val="none"/>
              </w:rPr>
              <w:t xml:space="preserve"> for many demersal species → overfished</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F7CAAC" w:themeFill="accent2" w:themeFillTint="66"/>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Mean Trophic Index (MTI)</w:t>
            </w:r>
          </w:p>
        </w:tc>
        <w:tc>
          <w:tcPr>
            <w:tcW w:w="4677" w:type="dxa"/>
            <w:shd w:val="clear" w:color="auto" w:fill="F7CAAC" w:themeFill="accent2" w:themeFillTint="66"/>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Declining, indicating progressive food-web simplification and loss of apex predators</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A8D08D" w:themeFill="accent6" w:themeFillTint="99"/>
            <w:vAlign w:val="center"/>
            <w:hideMark/>
          </w:tcPr>
          <w:p w:rsidR="00BB218B" w:rsidRPr="00F336E0" w:rsidRDefault="00BB218B" w:rsidP="006F3FE3">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Governance Gaps</w:t>
            </w:r>
          </w:p>
        </w:tc>
        <w:tc>
          <w:tcPr>
            <w:tcW w:w="2268" w:type="dxa"/>
            <w:shd w:val="clear" w:color="auto" w:fill="A8D08D" w:themeFill="accent6" w:themeFillTint="99"/>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NCCMD marine mandate</w:t>
            </w:r>
          </w:p>
        </w:tc>
        <w:tc>
          <w:tcPr>
            <w:tcW w:w="4677" w:type="dxa"/>
            <w:shd w:val="clear" w:color="auto" w:fill="A8D08D" w:themeFill="accent6" w:themeFillTint="99"/>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Draft mandate pending; offshore authority and cross-sector coordination not yet fully formalised</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Oil spill preparedness</w:t>
            </w:r>
          </w:p>
        </w:tc>
        <w:tc>
          <w:tcPr>
            <w:tcW w:w="4677" w:type="dxa"/>
            <w:shd w:val="clear" w:color="auto" w:fill="A8D08D" w:themeFill="accent6" w:themeFillTint="99"/>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National contingency plan drafted but not operational at full scale</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EIA compliance</w:t>
            </w:r>
          </w:p>
        </w:tc>
        <w:tc>
          <w:tcPr>
            <w:tcW w:w="4677" w:type="dxa"/>
            <w:shd w:val="clear" w:color="auto" w:fill="A8D08D" w:themeFill="accent6" w:themeFillTint="99"/>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Only </w:t>
            </w:r>
            <w:r w:rsidRPr="00F336E0">
              <w:rPr>
                <w:rFonts w:ascii="Arial" w:eastAsia="Times New Roman" w:hAnsi="Arial" w:cs="Arial"/>
                <w:b/>
                <w:bCs/>
                <w:kern w:val="0"/>
                <w:sz w:val="20"/>
                <w:szCs w:val="20"/>
                <w14:ligatures w14:val="none"/>
              </w:rPr>
              <w:t>60–70%</w:t>
            </w:r>
            <w:r w:rsidRPr="00F336E0">
              <w:rPr>
                <w:rFonts w:ascii="Arial" w:eastAsia="Times New Roman" w:hAnsi="Arial" w:cs="Arial"/>
                <w:kern w:val="0"/>
                <w:sz w:val="20"/>
                <w:szCs w:val="20"/>
                <w14:ligatures w14:val="none"/>
              </w:rPr>
              <w:t xml:space="preserve"> of EIA conditions are monitored and/or enforced</w:t>
            </w:r>
          </w:p>
        </w:tc>
      </w:tr>
      <w:tr w:rsidR="00BB218B" w:rsidRPr="00F336E0" w:rsidTr="002E1924">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Marine enforcement coverage</w:t>
            </w:r>
          </w:p>
        </w:tc>
        <w:tc>
          <w:tcPr>
            <w:tcW w:w="4677" w:type="dxa"/>
            <w:shd w:val="clear" w:color="auto" w:fill="A8D08D" w:themeFill="accent6" w:themeFillTint="99"/>
            <w:vAlign w:val="center"/>
            <w:hideMark/>
          </w:tcPr>
          <w:p w:rsidR="00BB218B" w:rsidRPr="00F336E0" w:rsidRDefault="00BB218B" w:rsidP="006F3F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Existing patrol assets cover </w:t>
            </w:r>
            <w:r w:rsidRPr="00F336E0">
              <w:rPr>
                <w:rFonts w:ascii="Arial" w:eastAsia="Times New Roman" w:hAnsi="Arial" w:cs="Arial"/>
                <w:b/>
                <w:bCs/>
                <w:kern w:val="0"/>
                <w:sz w:val="20"/>
                <w:szCs w:val="20"/>
                <w14:ligatures w14:val="none"/>
              </w:rPr>
              <w:t>&lt;20%</w:t>
            </w:r>
            <w:r w:rsidRPr="00F336E0">
              <w:rPr>
                <w:rFonts w:ascii="Arial" w:eastAsia="Times New Roman" w:hAnsi="Arial" w:cs="Arial"/>
                <w:kern w:val="0"/>
                <w:sz w:val="20"/>
                <w:szCs w:val="20"/>
                <w14:ligatures w14:val="none"/>
              </w:rPr>
              <w:t xml:space="preserve"> of the required marine area</w:t>
            </w:r>
          </w:p>
        </w:tc>
      </w:tr>
      <w:tr w:rsidR="00BB218B" w:rsidRPr="00F336E0" w:rsidTr="002E19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BB218B" w:rsidRPr="00F336E0" w:rsidRDefault="00BB218B" w:rsidP="006F3FE3">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Fisheries conservation financing</w:t>
            </w:r>
          </w:p>
        </w:tc>
        <w:tc>
          <w:tcPr>
            <w:tcW w:w="4677" w:type="dxa"/>
            <w:shd w:val="clear" w:color="auto" w:fill="A8D08D" w:themeFill="accent6" w:themeFillTint="99"/>
            <w:vAlign w:val="center"/>
            <w:hideMark/>
          </w:tcPr>
          <w:p w:rsidR="00BB218B" w:rsidRPr="00F336E0" w:rsidRDefault="00BB218B" w:rsidP="006F3F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FiA marine budget roughly </w:t>
            </w:r>
            <w:r w:rsidRPr="00F336E0">
              <w:rPr>
                <w:rFonts w:ascii="Arial" w:eastAsia="Times New Roman" w:hAnsi="Arial" w:cs="Arial"/>
                <w:b/>
                <w:bCs/>
                <w:kern w:val="0"/>
                <w:sz w:val="20"/>
                <w:szCs w:val="20"/>
                <w14:ligatures w14:val="none"/>
              </w:rPr>
              <w:t>US$150,000–440,000/year</w:t>
            </w:r>
            <w:r w:rsidRPr="00F336E0">
              <w:rPr>
                <w:rFonts w:ascii="Arial" w:eastAsia="Times New Roman" w:hAnsi="Arial" w:cs="Arial"/>
                <w:kern w:val="0"/>
                <w:sz w:val="20"/>
                <w:szCs w:val="20"/>
                <w14:ligatures w14:val="none"/>
              </w:rPr>
              <w:t>, limiting sustained enforcement and co-management</w:t>
            </w:r>
          </w:p>
        </w:tc>
      </w:tr>
    </w:tbl>
    <w:p w:rsidR="00BB218B" w:rsidRPr="00095F75" w:rsidRDefault="00BB218B" w:rsidP="00BB218B">
      <w:pPr>
        <w:jc w:val="both"/>
        <w:rPr>
          <w:rFonts w:ascii="Arial" w:eastAsia="Times New Roman" w:hAnsi="Arial" w:cs="Arial"/>
          <w:kern w:val="0"/>
          <w:sz w:val="22"/>
          <w:szCs w:val="22"/>
          <w14:ligatures w14:val="none"/>
        </w:rPr>
      </w:pPr>
    </w:p>
    <w:p w:rsidR="00BB218B" w:rsidRPr="00F336E0" w:rsidRDefault="00BB218B" w:rsidP="00BB218B">
      <w:pPr>
        <w:jc w:val="both"/>
        <w:rPr>
          <w:rFonts w:ascii="Arial" w:hAnsi="Arial" w:cs="Arial"/>
          <w:sz w:val="22"/>
          <w:szCs w:val="22"/>
        </w:rPr>
      </w:pPr>
      <w:r w:rsidRPr="003C370B">
        <w:rPr>
          <w:rFonts w:ascii="Arial" w:hAnsi="Arial" w:cs="Arial"/>
          <w:sz w:val="22"/>
          <w:szCs w:val="22"/>
        </w:rPr>
        <w:t>This evidence base underlines that Cambodia’s coastal challenges are not isolated sector issues, but interconnected dynamics that require integrated, climate-aware, and equity-focused responses in the subsequent SAP and investment planning.</w:t>
      </w:r>
    </w:p>
    <w:p w:rsidR="00095F75" w:rsidRPr="00F336E0" w:rsidRDefault="00095F75" w:rsidP="006477C6">
      <w:pPr>
        <w:keepNext/>
        <w:adjustRightInd w:val="0"/>
        <w:snapToGrid w:val="0"/>
        <w:spacing w:before="240" w:after="240"/>
        <w:rPr>
          <w:rFonts w:ascii="Arial" w:hAnsi="Arial" w:cs="Arial"/>
          <w:b/>
          <w:bCs/>
          <w:i/>
          <w:iCs/>
          <w:color w:val="0070C0"/>
          <w:sz w:val="22"/>
          <w:szCs w:val="22"/>
        </w:rPr>
      </w:pPr>
      <w:r w:rsidRPr="00F336E0">
        <w:rPr>
          <w:rFonts w:ascii="Arial" w:hAnsi="Arial" w:cs="Arial"/>
          <w:b/>
          <w:bCs/>
          <w:i/>
          <w:iCs/>
          <w:color w:val="0070C0"/>
          <w:sz w:val="22"/>
          <w:szCs w:val="22"/>
        </w:rPr>
        <w:t>7. Cross-sectoral feedback loops intensify degradation</w:t>
      </w:r>
    </w:p>
    <w:p w:rsidR="006477C6" w:rsidRDefault="00F336E0" w:rsidP="006477C6">
      <w:pPr>
        <w:pStyle w:val="NormalWeb"/>
        <w:jc w:val="both"/>
        <w:rPr>
          <w:rStyle w:val="Strong"/>
          <w:rFonts w:ascii="Arial" w:hAnsi="Arial" w:cs="Arial"/>
          <w:sz w:val="22"/>
          <w:szCs w:val="22"/>
        </w:rPr>
      </w:pPr>
      <w:r w:rsidRPr="00F336E0">
        <w:rPr>
          <w:rFonts w:ascii="Arial" w:hAnsi="Arial" w:cs="Arial"/>
          <w:sz w:val="22"/>
          <w:szCs w:val="22"/>
        </w:rPr>
        <w:t>Evidence from the preceding chapters points to reinforcing feedback loops that lock coastal systems into a downward trajectory. A typical negative cycle can be summari</w:t>
      </w:r>
      <w:r>
        <w:rPr>
          <w:rFonts w:ascii="Arial" w:hAnsi="Arial" w:cs="Arial"/>
          <w:sz w:val="22"/>
          <w:szCs w:val="22"/>
        </w:rPr>
        <w:t>z</w:t>
      </w:r>
      <w:r w:rsidRPr="00F336E0">
        <w:rPr>
          <w:rFonts w:ascii="Arial" w:hAnsi="Arial" w:cs="Arial"/>
          <w:sz w:val="22"/>
          <w:szCs w:val="22"/>
        </w:rPr>
        <w:t>ed</w:t>
      </w:r>
      <w:r w:rsidR="002E1924">
        <w:rPr>
          <w:rFonts w:ascii="Arial" w:hAnsi="Arial" w:cs="Arial"/>
          <w:sz w:val="22"/>
          <w:szCs w:val="22"/>
        </w:rPr>
        <w:t>, as shown in</w:t>
      </w:r>
      <w:r w:rsidR="005863DD">
        <w:rPr>
          <w:rFonts w:ascii="Arial" w:hAnsi="Arial" w:cs="Arial"/>
          <w:sz w:val="22"/>
          <w:szCs w:val="22"/>
        </w:rPr>
        <w:t xml:space="preserve"> </w:t>
      </w:r>
      <w:r w:rsidR="005863DD">
        <w:rPr>
          <w:rFonts w:ascii="Arial" w:hAnsi="Arial" w:cs="Arial"/>
          <w:sz w:val="22"/>
          <w:szCs w:val="22"/>
        </w:rPr>
        <w:fldChar w:fldCharType="begin"/>
      </w:r>
      <w:r w:rsidR="005863DD">
        <w:rPr>
          <w:rFonts w:ascii="Arial" w:hAnsi="Arial" w:cs="Arial"/>
          <w:sz w:val="22"/>
          <w:szCs w:val="22"/>
        </w:rPr>
        <w:instrText xml:space="preserve"> REF _Ref215128989 \h </w:instrText>
      </w:r>
      <w:r w:rsidR="005863DD">
        <w:rPr>
          <w:rFonts w:ascii="Arial" w:hAnsi="Arial" w:cs="Arial"/>
          <w:sz w:val="22"/>
          <w:szCs w:val="22"/>
        </w:rPr>
        <w:fldChar w:fldCharType="separate"/>
      </w:r>
      <w:r w:rsidR="00222093">
        <w:rPr>
          <w:rFonts w:ascii="Arial" w:hAnsi="Arial" w:cs="Arial"/>
          <w:b/>
          <w:bCs/>
          <w:sz w:val="22"/>
          <w:szCs w:val="22"/>
        </w:rPr>
        <w:t>Error! Reference source not found.</w:t>
      </w:r>
      <w:r w:rsidR="005863DD">
        <w:rPr>
          <w:rFonts w:ascii="Arial" w:hAnsi="Arial" w:cs="Arial"/>
          <w:sz w:val="22"/>
          <w:szCs w:val="22"/>
        </w:rPr>
        <w:fldChar w:fldCharType="end"/>
      </w:r>
      <w:r w:rsidR="005863DD">
        <w:rPr>
          <w:rFonts w:ascii="Arial" w:hAnsi="Arial" w:cs="Arial"/>
          <w:sz w:val="22"/>
          <w:szCs w:val="22"/>
        </w:rPr>
        <w:t xml:space="preserve"> </w:t>
      </w:r>
      <w:r w:rsidR="002E1924">
        <w:rPr>
          <w:rFonts w:ascii="Arial" w:hAnsi="Arial" w:cs="Arial"/>
          <w:sz w:val="22"/>
          <w:szCs w:val="22"/>
        </w:rPr>
        <w:t>below</w:t>
      </w:r>
      <w:r w:rsidRPr="00F336E0">
        <w:rPr>
          <w:rFonts w:ascii="Arial" w:hAnsi="Arial" w:cs="Arial"/>
          <w:sz w:val="22"/>
          <w:szCs w:val="22"/>
        </w:rPr>
        <w:t>:</w:t>
      </w:r>
    </w:p>
    <w:p w:rsidR="006477C6" w:rsidRDefault="006477C6" w:rsidP="00F336E0">
      <w:pPr>
        <w:pStyle w:val="NormalWeb"/>
        <w:rPr>
          <w:rStyle w:val="Strong"/>
          <w:rFonts w:ascii="Arial" w:hAnsi="Arial" w:cs="Arial"/>
          <w:sz w:val="22"/>
          <w:szCs w:val="22"/>
        </w:rPr>
      </w:pPr>
      <w:r>
        <w:rPr>
          <w:rFonts w:ascii="Arial" w:hAnsi="Arial" w:cs="Arial"/>
          <w:b/>
          <w:bCs/>
          <w:noProof/>
          <w:sz w:val="22"/>
          <w:szCs w:val="22"/>
          <w14:ligatures w14:val="standardContextual"/>
        </w:rPr>
        <w:drawing>
          <wp:inline distT="0" distB="0" distL="0" distR="0">
            <wp:extent cx="5486400" cy="2110902"/>
            <wp:effectExtent l="0" t="0" r="0" b="10160"/>
            <wp:docPr id="314510257"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5863DD" w:rsidRPr="005863DD" w:rsidRDefault="00D73747" w:rsidP="00D73747">
      <w:pPr>
        <w:pStyle w:val="Caption"/>
        <w:rPr>
          <w:rFonts w:ascii="Arial" w:hAnsi="Arial" w:cs="Arial"/>
          <w:i w:val="0"/>
          <w:iCs w:val="0"/>
          <w:color w:val="002060"/>
          <w:sz w:val="22"/>
          <w:szCs w:val="22"/>
        </w:rPr>
      </w:pPr>
      <w:bookmarkStart w:id="4" w:name="_Toc215343941"/>
      <w:r w:rsidRPr="00D73747">
        <w:rPr>
          <w:rFonts w:ascii="Arial" w:hAnsi="Arial" w:cs="Arial"/>
          <w:i w:val="0"/>
          <w:iCs w:val="0"/>
          <w:color w:val="002060"/>
          <w:sz w:val="22"/>
          <w:szCs w:val="22"/>
        </w:rPr>
        <w:t>Figure 7-</w:t>
      </w:r>
      <w:r w:rsidRPr="00D73747">
        <w:rPr>
          <w:rFonts w:ascii="Arial" w:hAnsi="Arial" w:cs="Arial"/>
          <w:i w:val="0"/>
          <w:iCs w:val="0"/>
          <w:color w:val="002060"/>
          <w:sz w:val="22"/>
          <w:szCs w:val="22"/>
        </w:rPr>
        <w:fldChar w:fldCharType="begin"/>
      </w:r>
      <w:r w:rsidRPr="00D73747">
        <w:rPr>
          <w:rFonts w:ascii="Arial" w:hAnsi="Arial" w:cs="Arial"/>
          <w:i w:val="0"/>
          <w:iCs w:val="0"/>
          <w:color w:val="002060"/>
          <w:sz w:val="22"/>
          <w:szCs w:val="22"/>
        </w:rPr>
        <w:instrText xml:space="preserve"> SEQ Figure_7- \* ARABIC </w:instrText>
      </w:r>
      <w:r w:rsidRPr="00D73747">
        <w:rPr>
          <w:rFonts w:ascii="Arial" w:hAnsi="Arial" w:cs="Arial"/>
          <w:i w:val="0"/>
          <w:iCs w:val="0"/>
          <w:color w:val="002060"/>
          <w:sz w:val="22"/>
          <w:szCs w:val="22"/>
        </w:rPr>
        <w:fldChar w:fldCharType="separate"/>
      </w:r>
      <w:r w:rsidR="00222093">
        <w:rPr>
          <w:rFonts w:ascii="Arial" w:hAnsi="Arial" w:cs="Arial"/>
          <w:i w:val="0"/>
          <w:iCs w:val="0"/>
          <w:noProof/>
          <w:color w:val="002060"/>
          <w:sz w:val="22"/>
          <w:szCs w:val="22"/>
        </w:rPr>
        <w:t>1</w:t>
      </w:r>
      <w:r w:rsidRPr="00D73747">
        <w:rPr>
          <w:rFonts w:ascii="Arial" w:hAnsi="Arial" w:cs="Arial"/>
          <w:i w:val="0"/>
          <w:iCs w:val="0"/>
          <w:color w:val="002060"/>
          <w:sz w:val="22"/>
          <w:szCs w:val="22"/>
        </w:rPr>
        <w:fldChar w:fldCharType="end"/>
      </w:r>
      <w:r w:rsidRPr="00D73747">
        <w:rPr>
          <w:rFonts w:ascii="Arial" w:hAnsi="Arial" w:cs="Arial"/>
          <w:i w:val="0"/>
          <w:iCs w:val="0"/>
          <w:color w:val="002060"/>
          <w:sz w:val="22"/>
          <w:szCs w:val="22"/>
        </w:rPr>
        <w:t xml:space="preserve"> </w:t>
      </w:r>
      <w:r w:rsidR="005863DD" w:rsidRPr="005863DD">
        <w:rPr>
          <w:rFonts w:ascii="Arial" w:hAnsi="Arial" w:cs="Arial"/>
          <w:i w:val="0"/>
          <w:iCs w:val="0"/>
          <w:color w:val="002060"/>
          <w:sz w:val="22"/>
          <w:szCs w:val="22"/>
        </w:rPr>
        <w:t>Cross-sectoral feedback loops intensify degradation</w:t>
      </w:r>
      <w:bookmarkEnd w:id="4"/>
    </w:p>
    <w:p w:rsidR="00F336E0" w:rsidRPr="00F336E0" w:rsidRDefault="00F336E0" w:rsidP="00F336E0">
      <w:pPr>
        <w:pStyle w:val="NormalWeb"/>
        <w:jc w:val="both"/>
        <w:rPr>
          <w:rFonts w:ascii="Arial" w:hAnsi="Arial" w:cs="Arial"/>
          <w:sz w:val="22"/>
          <w:szCs w:val="22"/>
        </w:rPr>
      </w:pPr>
      <w:r w:rsidRPr="00F336E0">
        <w:rPr>
          <w:rFonts w:ascii="Arial" w:hAnsi="Arial" w:cs="Arial"/>
          <w:sz w:val="22"/>
          <w:szCs w:val="22"/>
        </w:rPr>
        <w:t>Because poor households are most dependent on open-access resources and least able to relocate or invest in adaptation, these feedbacks translate into growing social inequity and conflict potential. At the same time, degraded ecosystems reduce the return on public and private investments in tourism, ports and aquaculture, undermining long-term growth prospects. Breaking these cycles requires coordinated action across sectors—wastewater, solid waste, fisheries, protected areas, land-</w:t>
      </w:r>
      <w:r w:rsidR="002E1924" w:rsidRPr="00F336E0">
        <w:rPr>
          <w:rFonts w:ascii="Arial" w:hAnsi="Arial" w:cs="Arial"/>
          <w:sz w:val="22"/>
          <w:szCs w:val="22"/>
        </w:rPr>
        <w:t>use,</w:t>
      </w:r>
      <w:r w:rsidRPr="00F336E0">
        <w:rPr>
          <w:rFonts w:ascii="Arial" w:hAnsi="Arial" w:cs="Arial"/>
          <w:sz w:val="22"/>
          <w:szCs w:val="22"/>
        </w:rPr>
        <w:t xml:space="preserve"> and climate policy—rather than isolated project interventions.</w:t>
      </w:r>
    </w:p>
    <w:p w:rsidR="00095F75" w:rsidRPr="00D73747" w:rsidRDefault="00095F75" w:rsidP="00B940AF">
      <w:pPr>
        <w:pStyle w:val="Heading2"/>
        <w:jc w:val="both"/>
        <w:rPr>
          <w:rFonts w:ascii="Arial" w:hAnsi="Arial" w:cs="Arial"/>
          <w:sz w:val="28"/>
          <w:szCs w:val="28"/>
        </w:rPr>
      </w:pPr>
      <w:bookmarkStart w:id="5" w:name="_Toc215343640"/>
      <w:r w:rsidRPr="00D73747">
        <w:rPr>
          <w:rFonts w:ascii="Arial" w:hAnsi="Arial" w:cs="Arial"/>
          <w:sz w:val="28"/>
          <w:szCs w:val="28"/>
        </w:rPr>
        <w:t>7.3 Patterns of Risk Among Spatial Units of Analyses and at Country Scale</w:t>
      </w:r>
      <w:bookmarkEnd w:id="5"/>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 xml:space="preserve">The spatial analysis conducted for the TDA shows that coastal–marine risk is highly uneven, concentrating in a limited number of </w:t>
      </w:r>
      <w:r w:rsidRPr="003C370B">
        <w:rPr>
          <w:rFonts w:ascii="Arial" w:eastAsia="Times New Roman" w:hAnsi="Arial" w:cs="Arial"/>
          <w:b/>
          <w:bCs/>
          <w:kern w:val="0"/>
          <w:sz w:val="22"/>
          <w:szCs w:val="22"/>
          <w14:ligatures w14:val="none"/>
        </w:rPr>
        <w:t>“hotspot”</w:t>
      </w:r>
      <w:r w:rsidRPr="003C370B">
        <w:rPr>
          <w:rFonts w:ascii="Arial" w:eastAsia="Times New Roman" w:hAnsi="Arial" w:cs="Arial"/>
          <w:kern w:val="0"/>
          <w:sz w:val="22"/>
          <w:szCs w:val="22"/>
          <w14:ligatures w14:val="none"/>
        </w:rPr>
        <w:t xml:space="preserve"> zones where intense pressures coincide with high ecological value and vulnerable populations. Five zones stand out as priority areas for management attention and coordinated investment.</w:t>
      </w:r>
    </w:p>
    <w:p w:rsidR="003C370B" w:rsidRPr="003C370B" w:rsidRDefault="003C370B" w:rsidP="003C370B">
      <w:pPr>
        <w:adjustRightInd w:val="0"/>
        <w:snapToGrid w:val="0"/>
        <w:spacing w:before="240" w:after="240"/>
        <w:rPr>
          <w:rFonts w:ascii="Arial" w:hAnsi="Arial" w:cs="Arial"/>
          <w:b/>
          <w:bCs/>
          <w:i/>
          <w:iCs/>
          <w:color w:val="0070C0"/>
          <w:sz w:val="22"/>
          <w:szCs w:val="22"/>
        </w:rPr>
      </w:pPr>
      <w:r>
        <w:rPr>
          <w:rFonts w:ascii="Arial" w:hAnsi="Arial" w:cs="Arial"/>
          <w:b/>
          <w:bCs/>
          <w:i/>
          <w:iCs/>
          <w:color w:val="0070C0"/>
          <w:sz w:val="22"/>
          <w:szCs w:val="22"/>
        </w:rPr>
        <w:t xml:space="preserve">1. </w:t>
      </w:r>
      <w:r w:rsidRPr="003C370B">
        <w:rPr>
          <w:rFonts w:ascii="Arial" w:hAnsi="Arial" w:cs="Arial"/>
          <w:b/>
          <w:bCs/>
          <w:i/>
          <w:iCs/>
          <w:color w:val="0070C0"/>
          <w:sz w:val="22"/>
          <w:szCs w:val="22"/>
        </w:rPr>
        <w:t>Koh Kong Complex (Peam Krasop–Koh Kapik–Botum Sakor)</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 Koh Kong coastline, including Peam Krasop and Koh Kapik Ramsar sites and the Botum Sakor peninsula, represents Cambodia’s single most important cluster of mangroves, peat-rich wetlands and nearshore seagrass (see Chapter 4). These ecosystems underpin coastal protection, blue-carbon storage and small-scale fisheries, while more than 65% of wetland-adjacent households derive the majority of their income from fishing, gleaning and related activities.</w:t>
      </w:r>
      <w:r w:rsidR="00C275AE">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 xml:space="preserve">Risk arises from the interaction of: </w:t>
      </w:r>
      <w:r w:rsidRPr="00940620">
        <w:rPr>
          <w:rFonts w:ascii="Arial" w:eastAsia="Times New Roman" w:hAnsi="Arial" w:cs="Arial"/>
          <w:i/>
          <w:iCs/>
          <w:kern w:val="0"/>
          <w:sz w:val="22"/>
          <w:szCs w:val="22"/>
          <w14:ligatures w14:val="none"/>
        </w:rPr>
        <w:t>(i) land concessions, roads and canalisation that fragment hydrology and increase sediment and nutrient inflows; (ii) peat oxidation and fire risk where mangroves and swamp forests are cleared or drained; (iii) nursery degradation for shrimp, crabs and finfish; (iv) salinity shifts under sea-level rise; and (v) high fishing pressure, including illegal trawl incursions into shallow nursery grounds.</w:t>
      </w:r>
      <w:r w:rsidRPr="003C370B">
        <w:rPr>
          <w:rFonts w:ascii="Arial" w:eastAsia="Times New Roman" w:hAnsi="Arial" w:cs="Arial"/>
          <w:kern w:val="0"/>
          <w:sz w:val="22"/>
          <w:szCs w:val="22"/>
          <w14:ligatures w14:val="none"/>
        </w:rPr>
        <w:t xml:space="preserve"> Without improved land-use controls and co-management, this zone could shift from a national resilience asset to a major source of emissions, erosion and livelihood loss.</w:t>
      </w:r>
    </w:p>
    <w:p w:rsidR="003C370B" w:rsidRPr="003C370B" w:rsidRDefault="003C370B" w:rsidP="003C370B">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2. Preah Sihanouk Urban–Industrial Coast</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 Sihanoukville–port corridor exhibits the highest concentration of built assets and the strongest land-based pollution signal (see Chapter 3). The zone combines international and domestic ports, SEZs, casinos, dense tourism infrastructure and expanding residential suburbs, but is served by limited and intermittently functioning wastewater systems. Monitoring shows recurrent exceedances of microbial standards (&gt;10⁵ CFU/100 mL at several bathing sites), elevated hydrocarbons and heavy metals in port-adjacent waters, and high plastic leakage from poorly managed solid waste.</w:t>
      </w:r>
      <w:r w:rsidR="00C275AE">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These pressures intersect with high exposure of people and infrastructure to coastal flooding and storm surges, as low-lying reclaimed land and canali</w:t>
      </w:r>
      <w:r w:rsidR="002E1924">
        <w:rPr>
          <w:rFonts w:ascii="Arial" w:eastAsia="Times New Roman" w:hAnsi="Arial" w:cs="Arial"/>
          <w:kern w:val="0"/>
          <w:sz w:val="22"/>
          <w:szCs w:val="22"/>
          <w14:ligatures w14:val="none"/>
        </w:rPr>
        <w:t>z</w:t>
      </w:r>
      <w:r w:rsidRPr="003C370B">
        <w:rPr>
          <w:rFonts w:ascii="Arial" w:eastAsia="Times New Roman" w:hAnsi="Arial" w:cs="Arial"/>
          <w:kern w:val="0"/>
          <w:sz w:val="22"/>
          <w:szCs w:val="22"/>
          <w14:ligatures w14:val="none"/>
        </w:rPr>
        <w:t>ed drains rapidly convey polluted runoff to beaches and nearshore reefs. Risk in this zone is therefore driven by the co-location of national-scale assets with weak environmental controls, making Sihanoukville a critical test case for integrated urban, industrial and coastal management.</w:t>
      </w:r>
    </w:p>
    <w:p w:rsidR="003C370B" w:rsidRPr="003C370B" w:rsidRDefault="003C370B" w:rsidP="003C370B">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3. Kampot Bay–Trapeang Ropov Estuary</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Kampot Bay and the Trapeang Ropov estuary form a nutrient-rich, mixed-use system where river inflows, bivalve and finfish aquaculture, salt pans and expanding peri-urban development interact. River-borne sediments and nutrients are amplified by farm effluents and inadequate sanitation, generating high turbidity and elevated TN/TP and BOD levels in the estuary.</w:t>
      </w:r>
      <w:r w:rsidR="00C275AE">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The resulting risks include eutrophication, episodic low dissolved oxygen events that affect cages and wild stocks, and fragmentation of mangroves and seagrass by ponds, roads and salt fields. Because Kampot also functions as a regional tourism and fisheries hub, degradation in this estuary has direct implications for food security, public health and the province’s growth trajectory.</w:t>
      </w:r>
    </w:p>
    <w:p w:rsidR="003C370B" w:rsidRPr="003C370B" w:rsidRDefault="003C370B" w:rsidP="003C370B">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4. Kep–Ha Tien Seagrass and Nearshore Corridor</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 Kep–Ha Tien corridor, spanning the Cambodia–Viet Nam border, contains the largest relatively continuous seagrass beds in the coastal zone, interspersed with patch reefs and mudflats. These habitats support transboundary fish and invertebrate populations and provide nursery grounds for at least 13 key commercial species.</w:t>
      </w:r>
      <w:r w:rsidR="00C275AE">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However, the corridor is highly sensitive to turbidity, sedimentation and bottom trawling. Trawl incursions into shallow areas, increased sediment from shoreline modification and nearshore construction, and nutrient inputs from aquaculture and agriculture raise risks of algal blooms and seagrass die-back. Because Kep’s local population is small but heavily dependent on marine resources, even moderate ecological degradation can translate into acute livelihood stress, while the transboundary nature of the corridor calls for coordinated management with Viet Nam.</w:t>
      </w:r>
    </w:p>
    <w:p w:rsidR="003C370B" w:rsidRPr="003C370B" w:rsidRDefault="003C370B" w:rsidP="003C370B">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5. Phnom Penh Confluence–Bassac–Mekong Flow Path</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Although far from the coast, the Phnom Penh confluence and downstream Bassac–Mekong channels are the dominant conduit for nutrient, microbial and solid-waste loads entering Cambodia’s coastal waters (see Chapter 3). High population density, limited wastewater treatment, and industrial and agricultural discharges in the MTB system generate large pollutant loads that are transported through the delta to the Gulf of Thailand and the Viet Nam coast.</w:t>
      </w:r>
      <w:r w:rsidR="00C275AE">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This flow path is therefore a critical “upstream risk zone,” where interventions in urban sanitation, industrial effluent control and agricultural nutrient management will directly influence coastal water quality and transboundary impacts in the Mekong delta and nearshore fisheries.</w:t>
      </w:r>
    </w:p>
    <w:p w:rsidR="003C370B" w:rsidRPr="003C370B" w:rsidRDefault="003C370B" w:rsidP="005863DD">
      <w:pPr>
        <w:keepNext/>
        <w:adjustRightInd w:val="0"/>
        <w:snapToGrid w:val="0"/>
        <w:spacing w:before="240" w:after="240"/>
        <w:rPr>
          <w:rFonts w:ascii="Arial" w:hAnsi="Arial" w:cs="Arial"/>
          <w:b/>
          <w:bCs/>
          <w:i/>
          <w:iCs/>
          <w:color w:val="0070C0"/>
          <w:sz w:val="22"/>
          <w:szCs w:val="22"/>
        </w:rPr>
      </w:pPr>
      <w:r>
        <w:rPr>
          <w:rFonts w:ascii="Arial" w:hAnsi="Arial" w:cs="Arial"/>
          <w:b/>
          <w:bCs/>
          <w:i/>
          <w:iCs/>
          <w:color w:val="0070C0"/>
          <w:sz w:val="22"/>
          <w:szCs w:val="22"/>
        </w:rPr>
        <w:t xml:space="preserve">6. </w:t>
      </w:r>
      <w:r w:rsidRPr="003C370B">
        <w:rPr>
          <w:rFonts w:ascii="Arial" w:hAnsi="Arial" w:cs="Arial"/>
          <w:b/>
          <w:bCs/>
          <w:i/>
          <w:iCs/>
          <w:color w:val="0070C0"/>
          <w:sz w:val="22"/>
          <w:szCs w:val="22"/>
        </w:rPr>
        <w:t>National-Scale Risk Pattern</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Across these zones, a consistent national pattern emerges. Coastal–marine risk peaks where:</w:t>
      </w:r>
    </w:p>
    <w:p w:rsidR="003C370B" w:rsidRPr="003C370B" w:rsidRDefault="003C370B" w:rsidP="005863DD">
      <w:pPr>
        <w:numPr>
          <w:ilvl w:val="0"/>
          <w:numId w:val="37"/>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High population density and economic assets</w:t>
      </w:r>
      <w:r w:rsidRPr="003C370B">
        <w:rPr>
          <w:rFonts w:ascii="Arial" w:eastAsia="Times New Roman" w:hAnsi="Arial" w:cs="Arial"/>
          <w:kern w:val="0"/>
          <w:sz w:val="22"/>
          <w:szCs w:val="22"/>
          <w14:ligatures w14:val="none"/>
        </w:rPr>
        <w:t xml:space="preserve"> (urban centres, ports, SEZs, tourism hubs) overlap with</w:t>
      </w:r>
    </w:p>
    <w:p w:rsidR="003C370B" w:rsidRPr="003C370B" w:rsidRDefault="003C370B" w:rsidP="005863DD">
      <w:pPr>
        <w:numPr>
          <w:ilvl w:val="0"/>
          <w:numId w:val="37"/>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Weak or absent wastewater and solid-waste treatment</w:t>
      </w:r>
      <w:r w:rsidRPr="003C370B">
        <w:rPr>
          <w:rFonts w:ascii="Arial" w:eastAsia="Times New Roman" w:hAnsi="Arial" w:cs="Arial"/>
          <w:kern w:val="0"/>
          <w:sz w:val="22"/>
          <w:szCs w:val="22"/>
          <w14:ligatures w14:val="none"/>
        </w:rPr>
        <w:t>, leading to high microbial, nutrient and plastic loads;</w:t>
      </w:r>
    </w:p>
    <w:p w:rsidR="003C370B" w:rsidRPr="003C370B" w:rsidRDefault="003C370B" w:rsidP="005863DD">
      <w:pPr>
        <w:numPr>
          <w:ilvl w:val="0"/>
          <w:numId w:val="37"/>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High fishing pressure and limited livelihood diversification</w:t>
      </w:r>
      <w:r w:rsidRPr="003C370B">
        <w:rPr>
          <w:rFonts w:ascii="Arial" w:eastAsia="Times New Roman" w:hAnsi="Arial" w:cs="Arial"/>
          <w:kern w:val="0"/>
          <w:sz w:val="22"/>
          <w:szCs w:val="22"/>
          <w14:ligatures w14:val="none"/>
        </w:rPr>
        <w:t xml:space="preserve"> drive overexploitation and destructive practices;</w:t>
      </w:r>
    </w:p>
    <w:p w:rsidR="003C370B" w:rsidRPr="003C370B" w:rsidRDefault="003C370B" w:rsidP="005863DD">
      <w:pPr>
        <w:numPr>
          <w:ilvl w:val="0"/>
          <w:numId w:val="37"/>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Sensitive ecosystems</w:t>
      </w:r>
      <w:r w:rsidRPr="003C370B">
        <w:rPr>
          <w:rFonts w:ascii="Arial" w:eastAsia="Times New Roman" w:hAnsi="Arial" w:cs="Arial"/>
          <w:kern w:val="0"/>
          <w:sz w:val="22"/>
          <w:szCs w:val="22"/>
          <w14:ligatures w14:val="none"/>
        </w:rPr>
        <w:t>—mangroves, seagrass meadows, coral reefs and peat wetlands—are already fragmented or degraded; and</w:t>
      </w:r>
    </w:p>
    <w:p w:rsidR="003C370B" w:rsidRPr="003C370B" w:rsidRDefault="003C370B" w:rsidP="005863DD">
      <w:pPr>
        <w:numPr>
          <w:ilvl w:val="0"/>
          <w:numId w:val="37"/>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High exposure to storms, floods, coastal erosion and salinity intrusion</w:t>
      </w:r>
      <w:r w:rsidRPr="003C370B">
        <w:rPr>
          <w:rFonts w:ascii="Arial" w:eastAsia="Times New Roman" w:hAnsi="Arial" w:cs="Arial"/>
          <w:kern w:val="0"/>
          <w:sz w:val="22"/>
          <w:szCs w:val="22"/>
          <w14:ligatures w14:val="none"/>
        </w:rPr>
        <w:t xml:space="preserve"> coincides with low adaptive capacity.</w:t>
      </w:r>
    </w:p>
    <w:p w:rsidR="003C370B" w:rsidRPr="003C370B" w:rsidRDefault="003C370B" w:rsidP="003C370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 xml:space="preserve">This risk constellation is most pronounced in </w:t>
      </w:r>
      <w:r w:rsidRPr="003C370B">
        <w:rPr>
          <w:rFonts w:ascii="Arial" w:eastAsia="Times New Roman" w:hAnsi="Arial" w:cs="Arial"/>
          <w:b/>
          <w:bCs/>
          <w:kern w:val="0"/>
          <w:sz w:val="22"/>
          <w:szCs w:val="22"/>
          <w14:ligatures w14:val="none"/>
        </w:rPr>
        <w:t>Preah Sihanouk</w:t>
      </w:r>
      <w:r w:rsidRPr="003C370B">
        <w:rPr>
          <w:rFonts w:ascii="Arial" w:eastAsia="Times New Roman" w:hAnsi="Arial" w:cs="Arial"/>
          <w:kern w:val="0"/>
          <w:sz w:val="22"/>
          <w:szCs w:val="22"/>
          <w14:ligatures w14:val="none"/>
        </w:rPr>
        <w:t xml:space="preserve">, </w:t>
      </w:r>
      <w:r w:rsidRPr="003C370B">
        <w:rPr>
          <w:rFonts w:ascii="Arial" w:eastAsia="Times New Roman" w:hAnsi="Arial" w:cs="Arial"/>
          <w:b/>
          <w:bCs/>
          <w:kern w:val="0"/>
          <w:sz w:val="22"/>
          <w:szCs w:val="22"/>
          <w14:ligatures w14:val="none"/>
        </w:rPr>
        <w:t>Kampot Bay–Trapeang Ropov</w:t>
      </w:r>
      <w:r w:rsidRPr="003C370B">
        <w:rPr>
          <w:rFonts w:ascii="Arial" w:eastAsia="Times New Roman" w:hAnsi="Arial" w:cs="Arial"/>
          <w:kern w:val="0"/>
          <w:sz w:val="22"/>
          <w:szCs w:val="22"/>
          <w14:ligatures w14:val="none"/>
        </w:rPr>
        <w:t xml:space="preserve"> and the </w:t>
      </w:r>
      <w:r w:rsidRPr="003C370B">
        <w:rPr>
          <w:rFonts w:ascii="Arial" w:eastAsia="Times New Roman" w:hAnsi="Arial" w:cs="Arial"/>
          <w:b/>
          <w:bCs/>
          <w:kern w:val="0"/>
          <w:sz w:val="22"/>
          <w:szCs w:val="22"/>
          <w14:ligatures w14:val="none"/>
        </w:rPr>
        <w:t>Koh Kong complex</w:t>
      </w:r>
      <w:r w:rsidRPr="003C370B">
        <w:rPr>
          <w:rFonts w:ascii="Arial" w:eastAsia="Times New Roman" w:hAnsi="Arial" w:cs="Arial"/>
          <w:kern w:val="0"/>
          <w:sz w:val="22"/>
          <w:szCs w:val="22"/>
          <w14:ligatures w14:val="none"/>
        </w:rPr>
        <w:t xml:space="preserve">, where intense development and ecosystem value are tightly interwoven. </w:t>
      </w:r>
      <w:r w:rsidRPr="003C370B">
        <w:rPr>
          <w:rFonts w:ascii="Arial" w:eastAsia="Times New Roman" w:hAnsi="Arial" w:cs="Arial"/>
          <w:b/>
          <w:bCs/>
          <w:kern w:val="0"/>
          <w:sz w:val="22"/>
          <w:szCs w:val="22"/>
          <w14:ligatures w14:val="none"/>
        </w:rPr>
        <w:t>Kep–Ha Tien</w:t>
      </w:r>
      <w:r w:rsidRPr="003C370B">
        <w:rPr>
          <w:rFonts w:ascii="Arial" w:eastAsia="Times New Roman" w:hAnsi="Arial" w:cs="Arial"/>
          <w:kern w:val="0"/>
          <w:sz w:val="22"/>
          <w:szCs w:val="22"/>
          <w14:ligatures w14:val="none"/>
        </w:rPr>
        <w:t xml:space="preserve"> stands out as a zone of high ecological sensitivity and transboundary importance despite its small population, while the </w:t>
      </w:r>
      <w:r w:rsidRPr="003C370B">
        <w:rPr>
          <w:rFonts w:ascii="Arial" w:eastAsia="Times New Roman" w:hAnsi="Arial" w:cs="Arial"/>
          <w:b/>
          <w:bCs/>
          <w:kern w:val="0"/>
          <w:sz w:val="22"/>
          <w:szCs w:val="22"/>
          <w14:ligatures w14:val="none"/>
        </w:rPr>
        <w:t>Phnom Penh–Bassac–Mekong corridor</w:t>
      </w:r>
      <w:r w:rsidRPr="003C370B">
        <w:rPr>
          <w:rFonts w:ascii="Arial" w:eastAsia="Times New Roman" w:hAnsi="Arial" w:cs="Arial"/>
          <w:kern w:val="0"/>
          <w:sz w:val="22"/>
          <w:szCs w:val="22"/>
          <w14:ligatures w14:val="none"/>
        </w:rPr>
        <w:t xml:space="preserve"> illustrates how inland development trajectories shape coastal and regional marine risks.</w:t>
      </w:r>
    </w:p>
    <w:p w:rsidR="00095F75" w:rsidRPr="00095F75" w:rsidRDefault="003C370B" w:rsidP="00BB218B">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These patterns confirm that effective responses must operate at multiple spatial scales: strengthening upstream pollution control in the MTB basin; targeting coastal hotspots with integrated urban, industrial and ecosystem management; and safeguarding remaining high-value habitats such as Koh Kong’s mangroves and the Kep–Ha Tien seagrass corridor through co-management and regional cooperation.</w:t>
      </w:r>
    </w:p>
    <w:p w:rsidR="00095F75" w:rsidRPr="00D73747" w:rsidRDefault="00095F75" w:rsidP="00B940AF">
      <w:pPr>
        <w:pStyle w:val="Heading2"/>
        <w:jc w:val="both"/>
        <w:rPr>
          <w:rFonts w:ascii="Arial" w:hAnsi="Arial" w:cs="Arial"/>
          <w:sz w:val="28"/>
          <w:szCs w:val="28"/>
        </w:rPr>
      </w:pPr>
      <w:bookmarkStart w:id="6" w:name="_Toc215343641"/>
      <w:r w:rsidRPr="00D73747">
        <w:rPr>
          <w:rFonts w:ascii="Arial" w:hAnsi="Arial" w:cs="Arial"/>
          <w:sz w:val="28"/>
          <w:szCs w:val="28"/>
        </w:rPr>
        <w:t>7.4 Target Audience</w:t>
      </w:r>
      <w:bookmarkEnd w:id="6"/>
    </w:p>
    <w:p w:rsidR="00BB218B" w:rsidRPr="00C275AE" w:rsidRDefault="00BB218B" w:rsidP="00BB218B">
      <w:pPr>
        <w:pStyle w:val="NormalWeb"/>
        <w:jc w:val="both"/>
        <w:rPr>
          <w:rFonts w:ascii="Arial" w:hAnsi="Arial" w:cs="Arial"/>
          <w:sz w:val="22"/>
          <w:szCs w:val="22"/>
        </w:rPr>
      </w:pPr>
      <w:r w:rsidRPr="00C275AE">
        <w:rPr>
          <w:rFonts w:ascii="Arial" w:hAnsi="Arial" w:cs="Arial"/>
          <w:sz w:val="22"/>
          <w:szCs w:val="22"/>
        </w:rPr>
        <w:t>The TDA is intended as a shared evidence base for a wide community of decision-makers and stakeholders who influence Cambodia’s coastal and marine futures. It provides both a diagnostic of current conditions and a platform for dialogue on priorities, trade-offs and investment options. Key user groups include:</w:t>
      </w:r>
    </w:p>
    <w:p w:rsidR="00BB218B" w:rsidRPr="00C275AE" w:rsidRDefault="00BB218B" w:rsidP="005863DD">
      <w:pPr>
        <w:keepNext/>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1. National Decision-Makers</w:t>
      </w:r>
    </w:p>
    <w:p w:rsidR="00BB218B" w:rsidRPr="00C275AE" w:rsidRDefault="00C275AE" w:rsidP="00BB218B">
      <w:pPr>
        <w:pStyle w:val="NormalWeb"/>
        <w:jc w:val="both"/>
        <w:rPr>
          <w:rFonts w:ascii="Arial" w:hAnsi="Arial" w:cs="Arial"/>
          <w:sz w:val="22"/>
          <w:szCs w:val="22"/>
        </w:rPr>
      </w:pPr>
      <w:r w:rsidRPr="00C275AE">
        <w:rPr>
          <w:rStyle w:val="Strong"/>
          <w:rFonts w:ascii="Arial" w:hAnsi="Arial" w:cs="Arial"/>
          <w:sz w:val="22"/>
          <w:szCs w:val="22"/>
        </w:rPr>
        <w:t>National decision-makers</w:t>
      </w:r>
      <w:r>
        <w:rPr>
          <w:rFonts w:ascii="Arial" w:hAnsi="Arial" w:cs="Arial"/>
          <w:sz w:val="22"/>
          <w:szCs w:val="22"/>
        </w:rPr>
        <w:t xml:space="preserve">, </w:t>
      </w:r>
      <w:r w:rsidRPr="00C275AE">
        <w:rPr>
          <w:rFonts w:ascii="Arial" w:hAnsi="Arial" w:cs="Arial"/>
          <w:sz w:val="22"/>
          <w:szCs w:val="22"/>
        </w:rPr>
        <w:t>including NCSD, NCCMD, MAFF/FiA, MoE, MPWT, MLMUPC, MoT, and other line ministries—can use the TDA to guide national policy reforms and the roll-out of MSP and ICZM, support NDC implementation, and integrate coastal and marine priorities into wider climate, land-use, and blue-economy strategies. The report also provides an evidence base to inform national budgeting, public investment programming, and regulatory updates such as EIA requirements, effluent standards, protected-area instruments, and fisheries management measures.</w:t>
      </w:r>
    </w:p>
    <w:p w:rsidR="00BB218B" w:rsidRPr="00C275AE" w:rsidRDefault="00BB218B" w:rsidP="00BB218B">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2. Sub-National Authorities</w:t>
      </w:r>
    </w:p>
    <w:p w:rsidR="00BB218B" w:rsidRPr="00C275AE" w:rsidRDefault="00C275AE" w:rsidP="00C275AE">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Sub-national authorities</w:t>
      </w:r>
      <w:r w:rsidRPr="00C275AE">
        <w:rPr>
          <w:rFonts w:ascii="Arial" w:hAnsi="Arial" w:cs="Arial"/>
          <w:sz w:val="22"/>
          <w:szCs w:val="22"/>
        </w:rPr>
        <w:t>, including provincial governors, PCCMDs, and district and commune administrations in coastal provinces and across the Mekong–Tonle Sap–Bassac basin, can apply the TDA to strengthen provincial spatial planning, coastal zoning, and investment screening for ports, tourism, aquaculture, and infrastructure. The findings also support more coordinated enforcement of environmental regulations and joint actions across districts—for example, aligned patrol operations, targeted pollution control, and participatory mechanisms that engage local communities in planning and compliance.</w:t>
      </w:r>
      <w:r w:rsidR="00BB218B" w:rsidRPr="00C275AE">
        <w:rPr>
          <w:rFonts w:ascii="Arial" w:hAnsi="Arial" w:cs="Arial"/>
          <w:sz w:val="22"/>
          <w:szCs w:val="22"/>
        </w:rPr>
        <w:t>.</w:t>
      </w:r>
    </w:p>
    <w:p w:rsidR="00BB218B" w:rsidRPr="00C275AE" w:rsidRDefault="00BB218B" w:rsidP="00BB218B">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3. Sectoral Agencies &amp; Technical Departments</w:t>
      </w:r>
    </w:p>
    <w:p w:rsidR="00BB218B" w:rsidRPr="00C275AE" w:rsidRDefault="00C275AE" w:rsidP="00C275AE">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Sectoral agencies and technical departments</w:t>
      </w:r>
      <w:r>
        <w:rPr>
          <w:rFonts w:ascii="Arial" w:hAnsi="Arial" w:cs="Arial"/>
          <w:sz w:val="22"/>
          <w:szCs w:val="22"/>
        </w:rPr>
        <w:t xml:space="preserve">, </w:t>
      </w:r>
      <w:r w:rsidRPr="00C275AE">
        <w:rPr>
          <w:rFonts w:ascii="Arial" w:hAnsi="Arial" w:cs="Arial"/>
          <w:sz w:val="22"/>
          <w:szCs w:val="22"/>
        </w:rPr>
        <w:t>such as fisheries research centres, port and maritime authorities, water and sanitation utilities, and technical departments responsible for tourism, environment, and planning—can translate TDA indicators into operational standards, monitoring protocols, and compliance programmes for fisheries, water quality, dredging, shipping, solid waste, and tourism operations. The TDA also helps prioritize critical data gaps, strengthen environmental information systems, and design targeted interventions such as wastewater upgrades, trawl-control actions, and habitat restoration in the highest-risk zones.</w:t>
      </w:r>
      <w:r w:rsidR="00BB218B" w:rsidRPr="00C275AE">
        <w:rPr>
          <w:rFonts w:ascii="Arial" w:hAnsi="Arial" w:cs="Arial"/>
          <w:sz w:val="22"/>
          <w:szCs w:val="22"/>
        </w:rPr>
        <w:t>.</w:t>
      </w:r>
    </w:p>
    <w:p w:rsidR="00BB218B" w:rsidRPr="00C275AE" w:rsidRDefault="00BB218B" w:rsidP="00BB218B">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4. Development Partners &amp; Regional Institutions</w:t>
      </w:r>
    </w:p>
    <w:p w:rsidR="00BB218B" w:rsidRPr="00C275AE" w:rsidRDefault="00C275AE" w:rsidP="00C275AE">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Development partners and regional institutions</w:t>
      </w:r>
      <w:r w:rsidRPr="00C275AE">
        <w:rPr>
          <w:rFonts w:ascii="Arial" w:hAnsi="Arial" w:cs="Arial"/>
          <w:sz w:val="22"/>
          <w:szCs w:val="22"/>
        </w:rPr>
        <w:t>, including PEMSEA, COBSEA, ASEAN bodies, and major bilateral and multilateral partners (ADB, FAO, UNDP, World Bank, and others), can use the TDA as a common reference to align country strategies, shape GEF and green-climate pipelines, and coordinate programmatic support for ICZM, MSP, wastewater investments, biodiversity protection, and fisheries reforms. The report also strengthens the basis for regional action on marine litter, oil-spill preparedness, fisheries management, and climate resilience across the Gulf of Thailand and the wider South China Sea.</w:t>
      </w:r>
      <w:r w:rsidR="00BB218B" w:rsidRPr="00C275AE">
        <w:rPr>
          <w:rFonts w:ascii="Arial" w:hAnsi="Arial" w:cs="Arial"/>
          <w:sz w:val="22"/>
          <w:szCs w:val="22"/>
        </w:rPr>
        <w:t>.</w:t>
      </w:r>
    </w:p>
    <w:p w:rsidR="00BB218B" w:rsidRPr="00C275AE" w:rsidRDefault="00BB218B" w:rsidP="00BB218B">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5. Academic &amp; Research Institutions</w:t>
      </w:r>
    </w:p>
    <w:p w:rsidR="00BB218B" w:rsidRPr="00C275AE" w:rsidRDefault="00C275AE" w:rsidP="00C275AE">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Academic and research institutions</w:t>
      </w:r>
      <w:r>
        <w:rPr>
          <w:rFonts w:ascii="Arial" w:hAnsi="Arial" w:cs="Arial"/>
          <w:sz w:val="22"/>
          <w:szCs w:val="22"/>
        </w:rPr>
        <w:t xml:space="preserve">, </w:t>
      </w:r>
      <w:r w:rsidRPr="00C275AE">
        <w:rPr>
          <w:rFonts w:ascii="Arial" w:hAnsi="Arial" w:cs="Arial"/>
          <w:sz w:val="22"/>
          <w:szCs w:val="22"/>
        </w:rPr>
        <w:t>including universities, national research centres, observatories, and mapping initiatives—can build on the TDA’s datasets, maps, and indicator framework to improve long-term monitoring, ecosystem and hydrodynamic modelling, socioeconomic analysis, and scenario development. The TDA also supports co-designed research with government and communities to fill priority knowledge gaps such as blue-carbon stocks, trophic dynamics, and pollution pathways.</w:t>
      </w:r>
      <w:r w:rsidR="00BB218B" w:rsidRPr="00C275AE">
        <w:rPr>
          <w:rFonts w:ascii="Arial" w:hAnsi="Arial" w:cs="Arial"/>
          <w:sz w:val="22"/>
          <w:szCs w:val="22"/>
        </w:rPr>
        <w:t>.</w:t>
      </w:r>
    </w:p>
    <w:p w:rsidR="00BB218B" w:rsidRPr="00C275AE" w:rsidRDefault="00BB218B" w:rsidP="00BB218B">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6. CFis/CPAs, Civil Society &amp; Community Networks</w:t>
      </w:r>
    </w:p>
    <w:p w:rsidR="00BB218B" w:rsidRPr="00C275AE" w:rsidRDefault="00C275AE" w:rsidP="00C275AE">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Community Fisheries (CFis), CPAs, civil society, and community networks</w:t>
      </w:r>
      <w:r w:rsidRPr="00C275AE">
        <w:rPr>
          <w:rFonts w:ascii="Arial" w:hAnsi="Arial" w:cs="Arial"/>
          <w:sz w:val="22"/>
          <w:szCs w:val="22"/>
        </w:rPr>
        <w:t xml:space="preserve"> can use the evidence to advocate for stronger safeguards, equitable benefit-sharing, and recognition of community rights. The TDA also provides practical grounding to strengthen co-management arrangements, community patrols, ecosystem restoration initiatives, and locally led blue-economy innovations such as low-impact tourism and improved practices in aquaculture.</w:t>
      </w:r>
      <w:r w:rsidR="00BB218B" w:rsidRPr="00C275AE">
        <w:rPr>
          <w:rFonts w:ascii="Arial" w:hAnsi="Arial" w:cs="Arial"/>
          <w:sz w:val="22"/>
          <w:szCs w:val="22"/>
        </w:rPr>
        <w:t>.</w:t>
      </w:r>
    </w:p>
    <w:p w:rsidR="00BB218B" w:rsidRPr="00C275AE" w:rsidRDefault="00BB218B" w:rsidP="00B940AF">
      <w:pPr>
        <w:keepNext/>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7. Private Sector</w:t>
      </w:r>
    </w:p>
    <w:p w:rsidR="00BB218B" w:rsidRPr="00C275AE" w:rsidRDefault="00C275AE" w:rsidP="00C275AE">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Private-sector actors</w:t>
      </w:r>
      <w:r w:rsidRPr="00C275AE">
        <w:rPr>
          <w:rFonts w:ascii="Arial" w:hAnsi="Arial" w:cs="Arial"/>
          <w:sz w:val="22"/>
          <w:szCs w:val="22"/>
        </w:rPr>
        <w:t>—including port and shipping companies, SEZs, industrial facilities, aquaculture operators, real-estate developers, tourism enterprises, and financial institutions—can draw on the TDA to assess environmental and climate risks, strengthen ESG and corporate sustainability strategies, and identify priority investments in pollution reduction, resource efficiency, and habitat conservation. The report also helps inform green and blue finance products, public–private partnerships, and voluntary commitments that support the forthcoming SAP and associated coastal investment programme.</w:t>
      </w:r>
    </w:p>
    <w:p w:rsidR="00095F75" w:rsidRPr="00C275AE" w:rsidRDefault="00BB218B" w:rsidP="00BB218B">
      <w:pPr>
        <w:pStyle w:val="NormalWeb"/>
        <w:jc w:val="both"/>
        <w:rPr>
          <w:rFonts w:ascii="Arial" w:hAnsi="Arial" w:cs="Arial"/>
          <w:sz w:val="22"/>
          <w:szCs w:val="22"/>
        </w:rPr>
      </w:pPr>
      <w:r w:rsidRPr="00C275AE">
        <w:rPr>
          <w:rFonts w:ascii="Arial" w:hAnsi="Arial" w:cs="Arial"/>
          <w:sz w:val="22"/>
          <w:szCs w:val="22"/>
        </w:rPr>
        <w:t>By serving these diverse audiences, the TDA aims to function not only as a technical report but as a living reference that underpins the development, implementation and periodic revision of Cambodia’s National Strategic Action Programme for coastal and marine management.</w:t>
      </w:r>
    </w:p>
    <w:p w:rsidR="00095F75" w:rsidRPr="00D73747" w:rsidRDefault="00095F75" w:rsidP="00B940AF">
      <w:pPr>
        <w:pStyle w:val="Heading2"/>
        <w:jc w:val="both"/>
        <w:rPr>
          <w:rFonts w:ascii="Arial" w:hAnsi="Arial" w:cs="Arial"/>
          <w:sz w:val="28"/>
          <w:szCs w:val="28"/>
        </w:rPr>
      </w:pPr>
      <w:bookmarkStart w:id="7" w:name="_Toc215343642"/>
      <w:r w:rsidRPr="00D73747">
        <w:rPr>
          <w:rFonts w:ascii="Arial" w:hAnsi="Arial" w:cs="Arial"/>
          <w:sz w:val="28"/>
          <w:szCs w:val="28"/>
        </w:rPr>
        <w:t>7.5 Future Indicator-Based Environmental Assessments</w:t>
      </w:r>
      <w:bookmarkEnd w:id="7"/>
    </w:p>
    <w:p w:rsidR="005863DD" w:rsidRPr="00940620" w:rsidRDefault="005863DD" w:rsidP="005863DD">
      <w:pPr>
        <w:pStyle w:val="NormalWeb"/>
        <w:jc w:val="both"/>
        <w:rPr>
          <w:rFonts w:ascii="Arial" w:hAnsi="Arial" w:cs="Arial"/>
          <w:sz w:val="22"/>
          <w:szCs w:val="22"/>
        </w:rPr>
      </w:pPr>
      <w:r w:rsidRPr="00940620">
        <w:rPr>
          <w:rFonts w:ascii="Arial" w:hAnsi="Arial" w:cs="Arial"/>
          <w:sz w:val="22"/>
          <w:szCs w:val="22"/>
        </w:rPr>
        <w:t>The TDA provides an initial, integrated set of biophysical and socioeconomic indicators that can be used to track change in Cambodia’s coastal and marine systems. To transform this one-off assessment into a living monitoring framework that supports adaptive management, several follow-up actions are recommended.</w:t>
      </w:r>
      <w:r w:rsidR="00940620" w:rsidRPr="00940620">
        <w:rPr>
          <w:rFonts w:ascii="Arial" w:hAnsi="Arial" w:cs="Arial"/>
          <w:sz w:val="22"/>
          <w:szCs w:val="22"/>
        </w:rPr>
        <w:t xml:space="preserve"> If implemented, these actions would transform the TDA from a one-time diagnostic into the foundation of an ongoing, indicator-based environmental assessment system that supports evidence-driven governance of Cambodia’s coastal and marine resources.</w:t>
      </w:r>
    </w:p>
    <w:p w:rsidR="005863DD" w:rsidRPr="00940620" w:rsidRDefault="005863DD" w:rsidP="005863DD">
      <w:pPr>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1. Institutionalize a national coastal–marine indicator framework</w:t>
      </w:r>
    </w:p>
    <w:p w:rsidR="005863DD" w:rsidRPr="00940620" w:rsidRDefault="00C275AE" w:rsidP="00C275AE">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 xml:space="preserve">A concise set of core indicators should be formally adopted and updated under NCSD and the future NCCMD marine mandate, drawing directly from the TDA. This would include water-quality parameters (BOD, COD, TSS, TN/TP, microbial counts), land-cover metrics (mangroves, seagrass, reefs, built-up area), fisheries indicators (CPUE, catch composition, exploitation rates, Mean Trophic Index), human-pressure indices (e.g., Human Footprint, port and vessel density), and socioeconomic metrics (HDI, poverty rates, livelihood dependence, and ICZM implementation scores) </w:t>
      </w:r>
      <w:r w:rsidR="005863DD" w:rsidRPr="00940620">
        <w:rPr>
          <w:rFonts w:ascii="Arial" w:hAnsi="Arial" w:cs="Arial"/>
          <w:sz w:val="22"/>
          <w:szCs w:val="22"/>
        </w:rPr>
        <w:t>These indicators should be embedded in national reporting processes—such as State of the Environment reports, NDC and SDG tracking, and marine spatial planning (MSP) reviews—so that coastal performance is routinely measured alongside economic and social targets.</w:t>
      </w:r>
    </w:p>
    <w:p w:rsidR="005863DD" w:rsidRPr="00940620" w:rsidRDefault="005863DD" w:rsidP="00940620">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2. Expand spatial and temporal monitoring coverage</w:t>
      </w:r>
    </w:p>
    <w:p w:rsidR="005863DD" w:rsidRPr="00940620" w:rsidRDefault="00940620" w:rsidP="00940620">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Current monitoring remains fragmented and uneven across provinces and ecosystems, requiring a progressive expansion plan to achieve representative coverage. Priority measures include deploying continuous or high-frequency water-quality sensors in key estuaries and port areas (such as Sihanoukville, Kampot Bay, and Koh Kong mangrove channels); conducting annual or biennial mapping of mangroves, seagrass, and coral reefs using remote sensing and field validation to support loss/gain tracking and blue-carbon accounting; maintaining regular CPUE, effort, and trophic-level monitoring through FiA and partners harmonized with regional fisheries systems; and requiring real-time or near–real-time pollution reporting from ports, SEZs, municipal wastewater plants, and major industrial facilities, linked to compliance dashboards for regulators.</w:t>
      </w:r>
      <w:r w:rsidR="005863DD" w:rsidRPr="00940620">
        <w:rPr>
          <w:rFonts w:ascii="Arial" w:hAnsi="Arial" w:cs="Arial"/>
          <w:sz w:val="22"/>
          <w:szCs w:val="22"/>
        </w:rPr>
        <w:t>.</w:t>
      </w:r>
    </w:p>
    <w:p w:rsidR="005863DD" w:rsidRPr="00940620" w:rsidRDefault="005863DD" w:rsidP="005863DD">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3. Move toward full Marine Spatial Planning (MSP)</w:t>
      </w:r>
    </w:p>
    <w:p w:rsidR="005863DD" w:rsidRPr="00940620" w:rsidRDefault="00940620" w:rsidP="00940620">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The TDA’s risk maps and hotspot analyses can serve as the analytical backbone for MSP. Indicator trends—such as CPUE decline, eutrophication hotspots, and shoreline erosion—should be systematically overlaid with existing and proposed uses including ports, aquaculture zones, tourism developments, shipping lanes, and conservation areas. This integration can help define no-go or high-precaution zones for new infrastructure, set and periodically revise coastal setback rules and erosion buffers, determine trawl-exclusion areas and gear restrictions aligned with habitat sensitivity, and prioritize critical habitats and blue-carbon areas for strict protection and restoration under MFMAs, MPAs, and community-managed areas.</w:t>
      </w:r>
      <w:r w:rsidR="005863DD" w:rsidRPr="00940620">
        <w:rPr>
          <w:rFonts w:ascii="Arial" w:hAnsi="Arial" w:cs="Arial"/>
          <w:sz w:val="22"/>
          <w:szCs w:val="22"/>
        </w:rPr>
        <w:t>.</w:t>
      </w:r>
    </w:p>
    <w:p w:rsidR="005863DD" w:rsidRPr="00940620" w:rsidRDefault="005863DD" w:rsidP="005863DD">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4. Integrate climate-risk indicators</w:t>
      </w:r>
    </w:p>
    <w:p w:rsidR="005863DD" w:rsidRPr="00940620" w:rsidRDefault="00940620" w:rsidP="00940620">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 xml:space="preserve">Future assessments should explicitly link environmental status with climate hazards and adaptive capacity. In addition to conventional water-quality and habitat parameters, monitoring should include salinity-intrusion length and frequency in key rivers and irrigation canals; shoreline-change and erosion-rate indicators; storm-surge and flood exposure for people and critical infrastructure; SST anomalies and coral-bleaching alerts; and drought–flood cycle indices relevant to the Mekong–Tonle Sap–Bassac system. </w:t>
      </w:r>
      <w:r w:rsidR="005863DD" w:rsidRPr="00940620">
        <w:rPr>
          <w:rFonts w:ascii="Arial" w:hAnsi="Arial" w:cs="Arial"/>
          <w:sz w:val="22"/>
          <w:szCs w:val="22"/>
        </w:rPr>
        <w:t>Tracking these indicators will support climate-smart ICZM, prioritisation of nature-based solutions, and integration of coastal risk into disaster management and land-use planning.</w:t>
      </w:r>
    </w:p>
    <w:p w:rsidR="005863DD" w:rsidRPr="00940620" w:rsidRDefault="005863DD" w:rsidP="005863DD">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5. Develop a shared regional indicator platform</w:t>
      </w:r>
    </w:p>
    <w:p w:rsidR="005863DD" w:rsidRPr="00940620" w:rsidRDefault="00940620" w:rsidP="00940620">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 xml:space="preserve">Cambodia’s coastal systems are tightly connected to the Gulf of Thailand and the wider South China Sea, so indicator frameworks should be interoperable with neighboring countries and regional bodies. Priority areas for harmonization with Viet Nam and Thailand include nutrient and sediment loads from shared basins, marine-litter and plastic-leakage indicators including riverine inputs, IUU fishing indicators (vessel activity, infractions, sanctions), habitat connectivity metrics for mangroves, seagrass, and reefs, and oceanographic parameters (currents, temperature, salinity) relevant to pollution dispersion and larval transport. </w:t>
      </w:r>
      <w:r w:rsidR="005863DD" w:rsidRPr="00940620">
        <w:rPr>
          <w:rFonts w:ascii="Arial" w:hAnsi="Arial" w:cs="Arial"/>
          <w:sz w:val="22"/>
          <w:szCs w:val="22"/>
        </w:rPr>
        <w:t>A shared platform—potentially under PEMSEA, COBSEA or ASEAN mechanisms—would enable joint assessments, early-warning systems and coordinated responses to transboundary risks.</w:t>
      </w:r>
    </w:p>
    <w:p w:rsidR="005863DD" w:rsidRPr="00940620" w:rsidRDefault="005863DD" w:rsidP="005863DD">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6. Establish a national data-sharing and transparency mechanism</w:t>
      </w:r>
    </w:p>
    <w:p w:rsidR="005863DD" w:rsidRPr="00940620" w:rsidRDefault="00940620" w:rsidP="00940620">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To maximize the policy value of indicators and strengthen public accountability, Cambodia should move toward open, interoperable coastal–marine information systems. Key steps include establishing a national coastal and marine data portal where MoE, FiA/MAFF, MPWT and port authorities, water utilities, and other agencies upload validated datasets in common formats; standardizing metadata, quality-control procedures, and data-sharing agreements to enable cross-sector integration; providing user-friendly visualizations such as maps, dashboards, and trend graphs for planners, communities, researchers, and private investors; and embedding feedback loops so monitoring results trigger management actions—for example, compliance inspections when thresholds are exceeded, or adaptive zoning updates when environmental conditions deteriorate.</w:t>
      </w:r>
    </w:p>
    <w:p w:rsidR="00095F75" w:rsidRPr="00D73747" w:rsidRDefault="00B940AF" w:rsidP="00B940AF">
      <w:pPr>
        <w:pStyle w:val="Heading2"/>
        <w:jc w:val="both"/>
        <w:rPr>
          <w:rFonts w:ascii="Arial" w:hAnsi="Arial" w:cs="Arial"/>
          <w:sz w:val="28"/>
          <w:szCs w:val="28"/>
        </w:rPr>
      </w:pPr>
      <w:bookmarkStart w:id="8" w:name="_Toc215343643"/>
      <w:r w:rsidRPr="00D73747">
        <w:rPr>
          <w:rFonts w:ascii="Arial" w:hAnsi="Arial" w:cs="Arial"/>
          <w:sz w:val="28"/>
          <w:szCs w:val="28"/>
        </w:rPr>
        <w:t xml:space="preserve">7.6. </w:t>
      </w:r>
      <w:r w:rsidR="00095F75" w:rsidRPr="00D73747">
        <w:rPr>
          <w:rFonts w:ascii="Arial" w:hAnsi="Arial" w:cs="Arial"/>
          <w:sz w:val="28"/>
          <w:szCs w:val="28"/>
        </w:rPr>
        <w:t xml:space="preserve">Overall </w:t>
      </w:r>
      <w:r w:rsidR="003D7DCB" w:rsidRPr="00D73747">
        <w:rPr>
          <w:rFonts w:ascii="Arial" w:hAnsi="Arial" w:cs="Arial"/>
          <w:sz w:val="28"/>
          <w:szCs w:val="28"/>
        </w:rPr>
        <w:t>Conclusion</w:t>
      </w:r>
      <w:bookmarkEnd w:id="8"/>
    </w:p>
    <w:p w:rsidR="00B940AF" w:rsidRPr="00B940AF" w:rsidRDefault="00B940AF" w:rsidP="00B940AF">
      <w:pPr>
        <w:pStyle w:val="NormalWeb"/>
        <w:jc w:val="both"/>
        <w:rPr>
          <w:rFonts w:ascii="Arial" w:hAnsi="Arial" w:cs="Arial"/>
          <w:sz w:val="22"/>
          <w:szCs w:val="22"/>
        </w:rPr>
      </w:pPr>
      <w:r w:rsidRPr="00B940AF">
        <w:rPr>
          <w:rFonts w:ascii="Arial" w:hAnsi="Arial" w:cs="Arial"/>
          <w:sz w:val="22"/>
          <w:szCs w:val="22"/>
        </w:rPr>
        <w:t>Cambodia’s coastal and marine systems remain ecologically rich and economically important, yet they are now subject to rapid, cumulative and increasingly interconnected pressures. The TDA demonstrates that land-based pollution, habitat degradation, overfishing and climate change no longer operate as separate problems; they interact in ways that accelerate decline and concentrate risks in a limited number of hotspots. Where weak wastewater treatment, destructive fishing, fragile ecosystems and high exposure to floods and salinity intrusion coincide, the system is already close to a tipping point toward chronic degradation.</w:t>
      </w:r>
    </w:p>
    <w:p w:rsidR="00B940AF" w:rsidRPr="00B940AF" w:rsidRDefault="00B940AF" w:rsidP="00B940AF">
      <w:pPr>
        <w:pStyle w:val="NormalWeb"/>
        <w:jc w:val="both"/>
        <w:rPr>
          <w:rFonts w:ascii="Arial" w:hAnsi="Arial" w:cs="Arial"/>
          <w:sz w:val="22"/>
          <w:szCs w:val="22"/>
        </w:rPr>
      </w:pPr>
      <w:r w:rsidRPr="00B940AF">
        <w:rPr>
          <w:rFonts w:ascii="Arial" w:hAnsi="Arial" w:cs="Arial"/>
          <w:sz w:val="22"/>
          <w:szCs w:val="22"/>
        </w:rPr>
        <w:t>At the same time, the analysis highlights substantial assets and opportunities. Cambodia still retains extensive mangrove, seagrass and wetland complexes with high blue-carbon value and nursery functions; a vibrant small-scale fisheries sector that can recover under improved management; and growing national commitments to climate action, ICZM and MSP. Investments in wastewater and solid-waste management, fisheries reform, habitat restoration and nature-based coastal protection can therefore deliver multiple dividends—reducing pollution, rebuilding stocks, protecting communities and securing carbon and biodiversity benefits.</w:t>
      </w:r>
    </w:p>
    <w:p w:rsidR="00B940AF" w:rsidRPr="00B940AF" w:rsidRDefault="00B940AF" w:rsidP="00B940AF">
      <w:pPr>
        <w:pStyle w:val="NormalWeb"/>
        <w:jc w:val="both"/>
        <w:rPr>
          <w:rFonts w:ascii="Arial" w:hAnsi="Arial" w:cs="Arial"/>
          <w:sz w:val="22"/>
          <w:szCs w:val="22"/>
        </w:rPr>
      </w:pPr>
      <w:r w:rsidRPr="00B940AF">
        <w:rPr>
          <w:rFonts w:ascii="Arial" w:hAnsi="Arial" w:cs="Arial"/>
          <w:sz w:val="22"/>
          <w:szCs w:val="22"/>
        </w:rPr>
        <w:t>The TDA also underscores that governance is the decisive factor that will determine future trajectories. Emerging institutions such as NCCMD, the expansion of MFMAs and MPAs, updated environmental and climate policies, and stronger participation of communities and civil society provide a platform for more integrated, equitable and climate-responsive management. However, this potential will only be realized if indicator-based monitoring, enforcement, spatial planning and financing are scaled up and better coordinated across ministries, provinces and development partners.</w:t>
      </w:r>
    </w:p>
    <w:p w:rsidR="00E06BEC" w:rsidRDefault="00B940AF" w:rsidP="00B940AF">
      <w:pPr>
        <w:pStyle w:val="NormalWeb"/>
        <w:jc w:val="both"/>
        <w:rPr>
          <w:rFonts w:ascii="Arial" w:hAnsi="Arial" w:cs="Arial"/>
          <w:sz w:val="22"/>
          <w:szCs w:val="22"/>
        </w:rPr>
      </w:pPr>
      <w:r w:rsidRPr="00B940AF">
        <w:rPr>
          <w:rFonts w:ascii="Arial" w:hAnsi="Arial" w:cs="Arial"/>
          <w:sz w:val="22"/>
          <w:szCs w:val="22"/>
        </w:rPr>
        <w:t xml:space="preserve">Overall, the chapter confirms that Cambodia is now positioned to move from </w:t>
      </w:r>
      <w:r w:rsidRPr="00B940AF">
        <w:rPr>
          <w:rStyle w:val="Emphasis"/>
          <w:rFonts w:ascii="Arial" w:hAnsi="Arial" w:cs="Arial"/>
          <w:sz w:val="22"/>
          <w:szCs w:val="22"/>
        </w:rPr>
        <w:t>diagnosis</w:t>
      </w:r>
      <w:r w:rsidRPr="00B940AF">
        <w:rPr>
          <w:rFonts w:ascii="Arial" w:hAnsi="Arial" w:cs="Arial"/>
          <w:sz w:val="22"/>
          <w:szCs w:val="22"/>
        </w:rPr>
        <w:t xml:space="preserve"> (TDA) to </w:t>
      </w:r>
      <w:r w:rsidRPr="00B940AF">
        <w:rPr>
          <w:rStyle w:val="Emphasis"/>
          <w:rFonts w:ascii="Arial" w:hAnsi="Arial" w:cs="Arial"/>
          <w:sz w:val="22"/>
          <w:szCs w:val="22"/>
        </w:rPr>
        <w:t>action</w:t>
      </w:r>
      <w:r w:rsidRPr="00B940AF">
        <w:rPr>
          <w:rFonts w:ascii="Arial" w:hAnsi="Arial" w:cs="Arial"/>
          <w:sz w:val="22"/>
          <w:szCs w:val="22"/>
        </w:rPr>
        <w:t xml:space="preserve"> through a National Strategic Action Programme (SAP) that is spatially explicit, evidence-driven and aligned with national development and climate goals. The risk maps, indicators and priority hotspots identified here offer a clear basis for sequencing interventions, targeting finance and tracking results over time. If these insights are translated into coherent policies, investments and co-management arrangements, Cambodia can shift from a path of incremental degradation toward one of resilient, inclusive, and sustainable use of its coastal and marine resources.</w:t>
      </w:r>
    </w:p>
    <w:p w:rsidR="00D73747" w:rsidRDefault="00D73747" w:rsidP="00D73747">
      <w:pPr>
        <w:pStyle w:val="Heading2"/>
        <w:jc w:val="both"/>
        <w:rPr>
          <w:rFonts w:ascii="Arial" w:hAnsi="Arial" w:cs="Arial"/>
          <w:sz w:val="28"/>
          <w:szCs w:val="28"/>
        </w:rPr>
      </w:pPr>
      <w:r>
        <w:rPr>
          <w:rFonts w:ascii="Arial" w:hAnsi="Arial" w:cs="Arial"/>
          <w:sz w:val="22"/>
          <w:szCs w:val="22"/>
        </w:rPr>
        <w:br w:type="column"/>
      </w:r>
      <w:r w:rsidRPr="00D73747">
        <w:rPr>
          <w:rFonts w:ascii="Arial" w:hAnsi="Arial" w:cs="Arial"/>
          <w:sz w:val="28"/>
          <w:szCs w:val="28"/>
        </w:rPr>
        <w:t xml:space="preserve">Reference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ActionAid, 2021. </w:t>
      </w:r>
      <w:r w:rsidRPr="00256C25">
        <w:rPr>
          <w:rStyle w:val="Emphasis"/>
          <w:rFonts w:ascii="Arial" w:hAnsi="Arial" w:cs="Arial"/>
          <w:sz w:val="20"/>
          <w:szCs w:val="20"/>
        </w:rPr>
        <w:t>Environmental and Social Impact Assessment, “Impacts of Development Projects on Marine Environmental Resources in Kampot and Kep,”.</w:t>
      </w:r>
      <w:r w:rsidRPr="00256C25">
        <w:rPr>
          <w:rFonts w:ascii="Arial" w:hAnsi="Arial" w:cs="Arial"/>
          <w:sz w:val="20"/>
          <w:szCs w:val="20"/>
        </w:rPr>
        <w:t xml:space="preserve"> </w:t>
      </w:r>
      <w:hyperlink r:id="rId15" w:tgtFrame="_new" w:history="1">
        <w:r w:rsidRPr="00256C25">
          <w:rPr>
            <w:rStyle w:val="Hyperlink"/>
            <w:rFonts w:ascii="Arial" w:hAnsi="Arial" w:cs="Arial"/>
            <w:sz w:val="20"/>
            <w:szCs w:val="20"/>
          </w:rPr>
          <w:t>https://cambodia.actionaid.org/publications/2021/report-environmental-and-social-impact-assessment</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Arias, M. E. et al., 2019. Impacts of hydropower and climate change on fisheries in the Lower Mekong Basin. Ambio, 48(12), 1412–1423.</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Arias, M. E., Holtgrieve, G. W., &amp; Dang, T. D. (2019). Hydrological alterations and hydropower development in the Lower Mekong Basin: Implications for fish productivity. </w:t>
      </w:r>
      <w:r w:rsidRPr="00256C25">
        <w:rPr>
          <w:rStyle w:val="Emphasis"/>
          <w:rFonts w:ascii="Arial" w:hAnsi="Arial" w:cs="Arial"/>
          <w:sz w:val="20"/>
          <w:szCs w:val="20"/>
        </w:rPr>
        <w:t>Science of the Total Environment, 660</w:t>
      </w:r>
      <w:r w:rsidRPr="00256C25">
        <w:rPr>
          <w:rFonts w:ascii="Arial" w:hAnsi="Arial" w:cs="Arial"/>
          <w:sz w:val="20"/>
          <w:szCs w:val="20"/>
        </w:rPr>
        <w:t xml:space="preserve">, 127–139.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ASEAN Secretariat, 2008/2012. ASEAN Marine Water Quality: Management Guidelines and Monitoring Manual. </w:t>
      </w:r>
      <w:hyperlink r:id="rId16" w:history="1">
        <w:r w:rsidRPr="00256C25">
          <w:rPr>
            <w:rStyle w:val="Hyperlink"/>
            <w:rFonts w:ascii="Arial" w:hAnsi="Arial" w:cs="Arial"/>
            <w:sz w:val="20"/>
            <w:szCs w:val="20"/>
          </w:rPr>
          <w:t>https://environment.asean.org/fresources/detail/asean-marine-water-quality-management-guidelines-and-monitoring-manual</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ASEAN Secretariat, 2019. </w:t>
      </w:r>
      <w:r w:rsidRPr="00256C25">
        <w:rPr>
          <w:rStyle w:val="Emphasis"/>
          <w:rFonts w:ascii="Arial" w:hAnsi="Arial" w:cs="Arial"/>
          <w:sz w:val="20"/>
          <w:szCs w:val="20"/>
        </w:rPr>
        <w:t>ASEAN framework of action on marine debris.</w:t>
      </w:r>
      <w:r w:rsidRPr="00256C25">
        <w:rPr>
          <w:rFonts w:ascii="Arial" w:hAnsi="Arial" w:cs="Arial"/>
          <w:sz w:val="20"/>
          <w:szCs w:val="20"/>
        </w:rPr>
        <w:t xml:space="preserve"> ASEAN. </w:t>
      </w:r>
      <w:hyperlink r:id="rId17" w:history="1">
        <w:r w:rsidRPr="00256C25">
          <w:rPr>
            <w:rStyle w:val="Hyperlink"/>
            <w:rFonts w:ascii="Arial" w:hAnsi="Arial" w:cs="Arial"/>
            <w:sz w:val="20"/>
            <w:szCs w:val="20"/>
          </w:rPr>
          <w:t>https://asean.org/wp-content/uploads/2021/01/3.-ASEAN-Framework-of-Action-on-Marine-Debris-FINAL.pdf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ASEAN, 2014. </w:t>
      </w:r>
      <w:r w:rsidRPr="00256C25">
        <w:rPr>
          <w:rStyle w:val="Emphasis"/>
          <w:rFonts w:ascii="Arial" w:hAnsi="Arial" w:cs="Arial"/>
          <w:sz w:val="20"/>
          <w:szCs w:val="20"/>
        </w:rPr>
        <w:t>Memorandum of understanding on ASEAN cooperation mechanism for joint oil spill preparedness and response.</w:t>
      </w:r>
      <w:r w:rsidRPr="00256C25">
        <w:rPr>
          <w:rFonts w:ascii="Arial" w:hAnsi="Arial" w:cs="Arial"/>
          <w:sz w:val="20"/>
          <w:szCs w:val="20"/>
        </w:rPr>
        <w:t xml:space="preserve"> ASEAN Secretariat. </w:t>
      </w:r>
      <w:hyperlink r:id="rId18" w:history="1">
        <w:r w:rsidRPr="00256C25">
          <w:rPr>
            <w:rStyle w:val="Hyperlink"/>
            <w:rFonts w:ascii="Arial" w:hAnsi="Arial" w:cs="Arial"/>
            <w:sz w:val="20"/>
            <w:szCs w:val="20"/>
          </w:rPr>
          <w:t>https://asean.org/wp-content/uploads/images/pdf/2014_upload/MOU%20on%20ASEAN%20OSRAP.pdf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Asian Development Bank, 2014. </w:t>
      </w:r>
      <w:r w:rsidRPr="00256C25">
        <w:rPr>
          <w:rStyle w:val="Emphasis"/>
          <w:rFonts w:ascii="Arial" w:hAnsi="Arial" w:cs="Arial"/>
          <w:sz w:val="20"/>
          <w:szCs w:val="20"/>
        </w:rPr>
        <w:t>Cambodia: Integrated Urban Environmental Management in the Tonle Sap Basin Project—Kampong Chhnang Urban Area Environmental Improvements: Initial environmental examination (IEE).</w:t>
      </w:r>
      <w:r w:rsidRPr="00256C25">
        <w:rPr>
          <w:rFonts w:ascii="Arial" w:hAnsi="Arial" w:cs="Arial"/>
          <w:sz w:val="20"/>
          <w:szCs w:val="20"/>
        </w:rPr>
        <w:t xml:space="preserve"> Asian Development Bank. </w:t>
      </w:r>
      <w:hyperlink r:id="rId19" w:history="1">
        <w:r w:rsidRPr="00256C25">
          <w:rPr>
            <w:rStyle w:val="Hyperlink"/>
            <w:rFonts w:ascii="Arial" w:hAnsi="Arial" w:cs="Arial"/>
            <w:sz w:val="20"/>
            <w:szCs w:val="20"/>
          </w:rPr>
          <w:t>https://www.adb.org/projects/42285-012/main</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Asian Development Bank, 2021. Climate Risk Country Profile: Cambodia. </w:t>
      </w:r>
      <w:hyperlink r:id="rId20" w:anchor=":~:text=Publication%20%7C%20August%202021" w:history="1">
        <w:r w:rsidRPr="00256C25">
          <w:rPr>
            <w:rStyle w:val="Hyperlink"/>
            <w:rFonts w:ascii="Arial" w:hAnsi="Arial" w:cs="Arial"/>
            <w:sz w:val="20"/>
            <w:szCs w:val="20"/>
          </w:rPr>
          <w:t>https://www.adb.org/publications/climate-risk-country-profile-cambodia#:~:text=Publication%20%7C%20August%202021</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Asian Development Bank, 2022. </w:t>
      </w:r>
      <w:r w:rsidRPr="00256C25">
        <w:rPr>
          <w:rStyle w:val="Emphasis"/>
          <w:rFonts w:ascii="Arial" w:hAnsi="Arial" w:cs="Arial"/>
          <w:sz w:val="20"/>
          <w:szCs w:val="20"/>
        </w:rPr>
        <w:t>Cambodia: Sustainable coastal and marine fisheries project (Project 53261-001).</w:t>
      </w:r>
      <w:r w:rsidRPr="00256C25">
        <w:rPr>
          <w:rFonts w:ascii="Arial" w:hAnsi="Arial" w:cs="Arial"/>
          <w:sz w:val="20"/>
          <w:szCs w:val="20"/>
        </w:rPr>
        <w:t xml:space="preserve"> Asian Development Bank. </w:t>
      </w:r>
      <w:hyperlink r:id="rId21" w:tgtFrame="_new" w:history="1">
        <w:r w:rsidRPr="00256C25">
          <w:rPr>
            <w:rStyle w:val="Hyperlink"/>
            <w:rFonts w:ascii="Arial" w:hAnsi="Arial" w:cs="Arial"/>
            <w:sz w:val="20"/>
            <w:szCs w:val="20"/>
          </w:rPr>
          <w:t>https://www.adb.org/projects/53261-001/main</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Asian Development Bank, 2023. </w:t>
      </w:r>
      <w:r w:rsidRPr="00256C25">
        <w:rPr>
          <w:rStyle w:val="Emphasis"/>
          <w:rFonts w:ascii="Arial" w:hAnsi="Arial" w:cs="Arial"/>
          <w:sz w:val="20"/>
          <w:szCs w:val="20"/>
        </w:rPr>
        <w:t>Sustainable coastal and marine fisheries project: Technical assistance completion report (53261-001).</w:t>
      </w:r>
      <w:r w:rsidRPr="00256C25">
        <w:rPr>
          <w:rFonts w:ascii="Arial" w:hAnsi="Arial" w:cs="Arial"/>
          <w:sz w:val="20"/>
          <w:szCs w:val="20"/>
        </w:rPr>
        <w:t xml:space="preserve"> Asian Development Bank. </w:t>
      </w:r>
      <w:hyperlink r:id="rId22" w:tgtFrame="_new" w:history="1">
        <w:r w:rsidRPr="00256C25">
          <w:rPr>
            <w:rStyle w:val="Hyperlink"/>
            <w:rFonts w:ascii="Arial" w:hAnsi="Arial" w:cs="Arial"/>
            <w:sz w:val="20"/>
            <w:szCs w:val="20"/>
          </w:rPr>
          <w:t>https://www.adb.org/sites/default/files/project-documents/53261/53261-001-tacr-en_3.pdf</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Asian Disaster Preparedness Center (ADPC), 2023. Readiness Assessment for Impact-Based Forecasting and Warning (IbFW) in Cambodia: Final Report. </w:t>
      </w:r>
      <w:hyperlink r:id="rId23" w:history="1">
        <w:r w:rsidRPr="00256C25">
          <w:rPr>
            <w:rStyle w:val="Hyperlink"/>
            <w:rFonts w:ascii="Arial" w:hAnsi="Arial" w:cs="Arial"/>
            <w:sz w:val="20"/>
            <w:szCs w:val="20"/>
          </w:rPr>
          <w:t>https://adpc.net/igo/category/ID1877/doc/2023-nRIu4Y-ADPC-Readiness_Assessment_for_IbFW_in_Cambodia.pdf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Association of Banks in Cambodia (ABC), 2019. </w:t>
      </w:r>
      <w:r w:rsidRPr="00256C25">
        <w:rPr>
          <w:rStyle w:val="Emphasis"/>
          <w:rFonts w:ascii="Arial" w:hAnsi="Arial" w:cs="Arial"/>
          <w:sz w:val="20"/>
          <w:szCs w:val="20"/>
        </w:rPr>
        <w:t>Cambodian sustainable finance principles &amp; implementation guidelines.</w:t>
      </w:r>
      <w:r w:rsidRPr="00256C25">
        <w:rPr>
          <w:rFonts w:ascii="Arial" w:hAnsi="Arial" w:cs="Arial"/>
          <w:sz w:val="20"/>
          <w:szCs w:val="20"/>
        </w:rPr>
        <w:t xml:space="preserve"> Association of Banks in Cambodia. </w:t>
      </w:r>
      <w:hyperlink r:id="rId24" w:history="1">
        <w:r w:rsidRPr="00256C25">
          <w:rPr>
            <w:rStyle w:val="Hyperlink"/>
            <w:rFonts w:ascii="Arial" w:hAnsi="Arial" w:cs="Arial"/>
            <w:sz w:val="20"/>
            <w:szCs w:val="20"/>
          </w:rPr>
          <w:t>https://www.abc.org.kh/cambodian-sustainable-finance-principles</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Barange, M., Bahri, T., Beveridge, M. C. M., Cochrane, K. L., Funge-Smith, S., &amp; Poulain, F. (Eds.), 2018. </w:t>
      </w:r>
      <w:r w:rsidRPr="00256C25">
        <w:rPr>
          <w:rStyle w:val="Emphasis"/>
          <w:rFonts w:ascii="Arial" w:hAnsi="Arial" w:cs="Arial"/>
          <w:sz w:val="20"/>
          <w:szCs w:val="20"/>
        </w:rPr>
        <w:t>Impacts of climate change on fisheries and aquaculture: Synthesis of current knowledge, adaptation and mitigation options</w:t>
      </w:r>
      <w:r w:rsidRPr="00256C25">
        <w:rPr>
          <w:rFonts w:ascii="Arial" w:hAnsi="Arial" w:cs="Arial"/>
          <w:sz w:val="20"/>
          <w:szCs w:val="20"/>
        </w:rPr>
        <w:t xml:space="preserve"> (FAO Fisheries and Aquaculture Technical Paper No. 627). Rome: FAO. </w:t>
      </w:r>
      <w:hyperlink r:id="rId25" w:tgtFrame="_new" w:history="1">
        <w:r w:rsidRPr="00256C25">
          <w:rPr>
            <w:rStyle w:val="Hyperlink"/>
            <w:rFonts w:ascii="Arial" w:hAnsi="Arial" w:cs="Arial"/>
            <w:sz w:val="20"/>
            <w:szCs w:val="20"/>
          </w:rPr>
          <w:t>https://www.fao.org/3/I9705EN/i9705en.pdf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Basel Convention Secretariat, 2024. </w:t>
      </w:r>
      <w:r w:rsidRPr="00256C25">
        <w:rPr>
          <w:rStyle w:val="Emphasis"/>
          <w:rFonts w:ascii="Arial" w:hAnsi="Arial" w:cs="Arial"/>
          <w:sz w:val="20"/>
          <w:szCs w:val="20"/>
        </w:rPr>
        <w:t>Status of ratifications: Parties &amp; signatories – Cambodia.</w:t>
      </w:r>
      <w:r w:rsidRPr="00256C25">
        <w:rPr>
          <w:rFonts w:ascii="Arial" w:hAnsi="Arial" w:cs="Arial"/>
          <w:sz w:val="20"/>
          <w:szCs w:val="20"/>
        </w:rPr>
        <w:t xml:space="preserve"> Basel Convention. </w:t>
      </w:r>
      <w:hyperlink r:id="rId26" w:tgtFrame="_new" w:history="1">
        <w:r w:rsidRPr="00256C25">
          <w:rPr>
            <w:rStyle w:val="Hyperlink"/>
            <w:rFonts w:ascii="Arial" w:hAnsi="Arial" w:cs="Arial"/>
            <w:sz w:val="20"/>
            <w:szCs w:val="20"/>
          </w:rPr>
          <w:t>http://www.basel.int/Countries/StatusofRatifications/PartiesSignatories/tabid/4499/Default.aspx</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Brinkhoff, T., 2019. Cambodia: Provinces—population statistics, charts and map (Koh Kong, Preah Sihanouk, Kampot, Kep pages). CityPopulation.de. </w:t>
      </w:r>
      <w:hyperlink r:id="rId27" w:history="1">
        <w:r w:rsidRPr="00256C25">
          <w:rPr>
            <w:rStyle w:val="Hyperlink"/>
            <w:rFonts w:ascii="Arial" w:hAnsi="Arial" w:cs="Arial"/>
            <w:sz w:val="20"/>
            <w:szCs w:val="20"/>
          </w:rPr>
          <w:t>https://www.citypopulation.de</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Bunting, P., Lucas, R., Jones, G., et al., 2022. Global Mangrove Extent Change 1996–2020: Global Mangrove Watch v3.0. Remote Sensing, 14(15), 3657. </w:t>
      </w:r>
      <w:hyperlink r:id="rId28" w:history="1">
        <w:r w:rsidRPr="00256C25">
          <w:rPr>
            <w:rStyle w:val="Hyperlink"/>
            <w:rFonts w:ascii="Arial" w:hAnsi="Arial" w:cs="Arial"/>
            <w:sz w:val="20"/>
            <w:szCs w:val="20"/>
          </w:rPr>
          <w:t>https://www.mdpi.com/2072-4292/14/15/3657</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Burke, L., Reytar, K., Spalding, M., &amp; Perry, A., 2011. Reefs at Risk Revisited. World Resources Institute. </w:t>
      </w:r>
      <w:hyperlink r:id="rId29" w:history="1">
        <w:r w:rsidRPr="00256C25">
          <w:rPr>
            <w:rStyle w:val="Hyperlink"/>
            <w:rFonts w:ascii="Arial" w:hAnsi="Arial" w:cs="Arial"/>
            <w:sz w:val="20"/>
            <w:szCs w:val="20"/>
          </w:rPr>
          <w:t>https://www.researchgate.net/publication/263705424_Reefs_at_Risk_Revisited</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Business Scouts for Development, 2020. </w:t>
      </w:r>
      <w:r w:rsidRPr="00256C25">
        <w:rPr>
          <w:rStyle w:val="Emphasis"/>
          <w:rFonts w:ascii="Arial" w:hAnsi="Arial" w:cs="Arial"/>
          <w:sz w:val="20"/>
          <w:szCs w:val="20"/>
        </w:rPr>
        <w:t>Sector brief Cambodia: Waste management.</w:t>
      </w:r>
      <w:r w:rsidRPr="00256C25">
        <w:rPr>
          <w:rFonts w:ascii="Arial" w:hAnsi="Arial" w:cs="Arial"/>
          <w:sz w:val="20"/>
          <w:szCs w:val="20"/>
        </w:rPr>
        <w:t xml:space="preserve"> Deutsche Gesellschaft für Internationale Zusammenarbeit (GIZ) GmbH. </w:t>
      </w:r>
      <w:hyperlink r:id="rId30" w:history="1">
        <w:r w:rsidRPr="00256C25">
          <w:rPr>
            <w:rStyle w:val="Hyperlink"/>
            <w:rFonts w:ascii="Arial" w:hAnsi="Arial" w:cs="Arial"/>
            <w:sz w:val="20"/>
            <w:szCs w:val="20"/>
          </w:rPr>
          <w:t>https://gb-cambodia.com/wp-content/uploads/2021/04/BSfD_SectorBrief_Cambodia_WasteManagement_WEB-1.pdf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Cambodianess, 2025. </w:t>
      </w:r>
      <w:r w:rsidRPr="00256C25">
        <w:rPr>
          <w:rStyle w:val="Emphasis"/>
          <w:rFonts w:ascii="Arial" w:hAnsi="Arial" w:cs="Arial"/>
          <w:sz w:val="20"/>
          <w:szCs w:val="20"/>
        </w:rPr>
        <w:t>Campaign Begins to Clean National Road.</w:t>
      </w:r>
      <w:r w:rsidRPr="00256C25">
        <w:rPr>
          <w:rFonts w:ascii="Arial" w:hAnsi="Arial" w:cs="Arial"/>
          <w:sz w:val="20"/>
          <w:szCs w:val="20"/>
        </w:rPr>
        <w:t xml:space="preserve"> Cambodianess. </w:t>
      </w:r>
      <w:hyperlink r:id="rId31" w:history="1">
        <w:r w:rsidRPr="00256C25">
          <w:rPr>
            <w:rStyle w:val="Hyperlink"/>
            <w:rFonts w:ascii="Arial" w:hAnsi="Arial" w:cs="Arial"/>
            <w:sz w:val="20"/>
            <w:szCs w:val="20"/>
          </w:rPr>
          <w:t>https://cambodianess.com/article/campaign-begins-to-clean-national-road</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CBD &amp; IUCN, 2001. </w:t>
      </w:r>
      <w:r w:rsidRPr="00256C25">
        <w:rPr>
          <w:rStyle w:val="Emphasis"/>
          <w:rFonts w:ascii="Arial" w:hAnsi="Arial" w:cs="Arial"/>
          <w:sz w:val="20"/>
          <w:szCs w:val="20"/>
        </w:rPr>
        <w:t>Ream National Park case study.</w:t>
      </w:r>
      <w:r w:rsidRPr="00256C25">
        <w:rPr>
          <w:rFonts w:ascii="Arial" w:hAnsi="Arial" w:cs="Arial"/>
          <w:sz w:val="20"/>
          <w:szCs w:val="20"/>
        </w:rPr>
        <w:t xml:space="preserve"> </w:t>
      </w:r>
      <w:hyperlink r:id="rId32" w:tgtFrame="_new" w:history="1">
        <w:r w:rsidRPr="00256C25">
          <w:rPr>
            <w:rStyle w:val="Hyperlink"/>
            <w:rFonts w:ascii="Arial" w:hAnsi="Arial" w:cs="Arial"/>
            <w:sz w:val="20"/>
            <w:szCs w:val="20"/>
          </w:rPr>
          <w:t>https://www.cbd.int/financial/values/cambodia-valueream.pdf</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Center for Excellence in Disaster Management &amp; Humanitarian Assistance (CFE-DMHA), 2024. Cambodia: Disaster Management Reference Handbook (ISBN 978-1-955429-54-2). </w:t>
      </w:r>
      <w:hyperlink r:id="rId33" w:history="1">
        <w:r w:rsidRPr="00256C25">
          <w:rPr>
            <w:rStyle w:val="Hyperlink"/>
            <w:rFonts w:ascii="Arial" w:hAnsi="Arial" w:cs="Arial"/>
            <w:sz w:val="20"/>
            <w:szCs w:val="20"/>
          </w:rPr>
          <w:t>https://www.cfe-dmha.org/LinkClick.aspx?fileticket=F9BAtubIqM0%3d&amp;portalid=0</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Centre for Research on the Epidemiology of Disasters (CRED), UCLouvain, 2025. EM-DAT: The International Disaster Database [dataset]. Brussels, Belgium: CRED/UCLouvain. Retrieved October 08, 2025, from </w:t>
      </w:r>
      <w:hyperlink r:id="rId34" w:history="1">
        <w:r w:rsidRPr="00256C25">
          <w:rPr>
            <w:rStyle w:val="Hyperlink"/>
            <w:rFonts w:ascii="Arial" w:hAnsi="Arial" w:cs="Arial"/>
            <w:sz w:val="20"/>
            <w:szCs w:val="20"/>
          </w:rPr>
          <w:t>https://public.emdat.be/data</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Cheung, W. W. L., Reygondeau, G., &amp; Frölicher, T. L., 2016. Large benefits to marine fisheries of meeting the 1.5 °C global warming target. </w:t>
      </w:r>
      <w:r w:rsidRPr="00256C25">
        <w:rPr>
          <w:rStyle w:val="Emphasis"/>
          <w:rFonts w:ascii="Arial" w:hAnsi="Arial" w:cs="Arial"/>
          <w:sz w:val="20"/>
          <w:szCs w:val="20"/>
        </w:rPr>
        <w:t>Science, 354</w:t>
      </w:r>
      <w:r w:rsidRPr="00256C25">
        <w:rPr>
          <w:rFonts w:ascii="Arial" w:hAnsi="Arial" w:cs="Arial"/>
          <w:sz w:val="20"/>
          <w:szCs w:val="20"/>
        </w:rPr>
        <w:t xml:space="preserve">(6319), 1591–1594. </w:t>
      </w:r>
      <w:hyperlink r:id="rId35" w:history="1">
        <w:r w:rsidRPr="00256C25">
          <w:rPr>
            <w:rStyle w:val="Hyperlink"/>
            <w:rFonts w:ascii="Arial" w:hAnsi="Arial" w:cs="Arial"/>
            <w:sz w:val="20"/>
            <w:szCs w:val="20"/>
          </w:rPr>
          <w:t>https://doi.org/10.1126/science.aag2331</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CITES Secretariat, 2025. </w:t>
      </w:r>
      <w:r w:rsidRPr="00256C25">
        <w:rPr>
          <w:rStyle w:val="Emphasis"/>
          <w:rFonts w:ascii="Arial" w:hAnsi="Arial" w:cs="Arial"/>
          <w:sz w:val="20"/>
          <w:szCs w:val="20"/>
        </w:rPr>
        <w:t>Chronological list of parties.</w:t>
      </w:r>
      <w:r w:rsidRPr="00256C25">
        <w:rPr>
          <w:rFonts w:ascii="Arial" w:hAnsi="Arial" w:cs="Arial"/>
          <w:sz w:val="20"/>
          <w:szCs w:val="20"/>
        </w:rPr>
        <w:t xml:space="preserve"> Convention on International Trade in Endangered Species of Wild Fauna and Flora. </w:t>
      </w:r>
      <w:hyperlink r:id="rId36" w:tgtFrame="_new" w:history="1">
        <w:r w:rsidRPr="00256C25">
          <w:rPr>
            <w:rStyle w:val="Hyperlink"/>
            <w:rFonts w:ascii="Arial" w:hAnsi="Arial" w:cs="Arial"/>
            <w:sz w:val="20"/>
            <w:szCs w:val="20"/>
          </w:rPr>
          <w:t>https://www.cites.org/eng/disc/parties/chronolo.php</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ClientEarth, 2020. </w:t>
      </w:r>
      <w:r w:rsidRPr="00256C25">
        <w:rPr>
          <w:rStyle w:val="Emphasis"/>
          <w:rFonts w:ascii="Arial" w:hAnsi="Arial" w:cs="Arial"/>
          <w:sz w:val="20"/>
          <w:szCs w:val="20"/>
        </w:rPr>
        <w:t xml:space="preserve">Community Protected Areas in Cambodia: Analysis of Legal Framework, Practice and Recommendations. </w:t>
      </w:r>
      <w:r w:rsidRPr="00256C25">
        <w:rPr>
          <w:rFonts w:ascii="Arial" w:hAnsi="Arial" w:cs="Arial"/>
          <w:sz w:val="20"/>
          <w:szCs w:val="20"/>
        </w:rPr>
        <w:t xml:space="preserve">ClientEarth. </w:t>
      </w:r>
      <w:hyperlink r:id="rId37" w:tgtFrame="_new" w:history="1">
        <w:r w:rsidRPr="00256C25">
          <w:rPr>
            <w:rStyle w:val="Hyperlink"/>
            <w:rFonts w:ascii="Arial" w:hAnsi="Arial" w:cs="Arial"/>
            <w:sz w:val="20"/>
            <w:szCs w:val="20"/>
          </w:rPr>
          <w:t>https://www.clientearth.org/media/cbzoeazp/clientearth_cpa-report-cambodia_en.pdf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Convention on Biological Diversity Secretariat, 2024. </w:t>
      </w:r>
      <w:r w:rsidRPr="00256C25">
        <w:rPr>
          <w:rStyle w:val="Emphasis"/>
          <w:rFonts w:ascii="Arial" w:hAnsi="Arial" w:cs="Arial"/>
          <w:sz w:val="20"/>
          <w:szCs w:val="20"/>
        </w:rPr>
        <w:t>Parties to the Convention on Biological Diversity.</w:t>
      </w:r>
      <w:r w:rsidRPr="00256C25">
        <w:rPr>
          <w:rFonts w:ascii="Arial" w:hAnsi="Arial" w:cs="Arial"/>
          <w:sz w:val="20"/>
          <w:szCs w:val="20"/>
        </w:rPr>
        <w:t xml:space="preserve"> Convention on Biological Diversity. </w:t>
      </w:r>
      <w:hyperlink r:id="rId38" w:tgtFrame="_new" w:history="1">
        <w:r w:rsidRPr="00256C25">
          <w:rPr>
            <w:rStyle w:val="Hyperlink"/>
            <w:rFonts w:ascii="Arial" w:hAnsi="Arial" w:cs="Arial"/>
            <w:sz w:val="20"/>
            <w:szCs w:val="20"/>
          </w:rPr>
          <w:t>https://www.cbd.int/information/parties.shtml</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Coordinating Body on the Seas of East Asia, 2021. </w:t>
      </w:r>
      <w:r w:rsidRPr="00256C25">
        <w:rPr>
          <w:rStyle w:val="Emphasis"/>
          <w:rFonts w:ascii="Arial" w:hAnsi="Arial" w:cs="Arial"/>
          <w:sz w:val="20"/>
          <w:szCs w:val="20"/>
        </w:rPr>
        <w:t>Regional action plan on marine litter (RAP MALI).</w:t>
      </w:r>
      <w:r w:rsidRPr="00256C25">
        <w:rPr>
          <w:rFonts w:ascii="Arial" w:hAnsi="Arial" w:cs="Arial"/>
          <w:sz w:val="20"/>
          <w:szCs w:val="20"/>
        </w:rPr>
        <w:t xml:space="preserve"> COBSEA/UNEP.</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Council for the Development of Cambodia. (2008). </w:t>
      </w:r>
      <w:r w:rsidRPr="00256C25">
        <w:rPr>
          <w:rStyle w:val="Emphasis"/>
          <w:rFonts w:ascii="Arial" w:hAnsi="Arial" w:cs="Arial"/>
          <w:sz w:val="20"/>
          <w:szCs w:val="20"/>
        </w:rPr>
        <w:t>Law on nature protection area (protected areas law) (English translation).</w:t>
      </w:r>
      <w:r w:rsidRPr="00256C25">
        <w:rPr>
          <w:rFonts w:ascii="Arial" w:hAnsi="Arial" w:cs="Arial"/>
          <w:sz w:val="20"/>
          <w:szCs w:val="20"/>
        </w:rPr>
        <w:t xml:space="preserve"> Council for the Development of Cambodia. </w:t>
      </w:r>
      <w:hyperlink r:id="rId39" w:tgtFrame="_new" w:history="1">
        <w:r w:rsidRPr="00256C25">
          <w:rPr>
            <w:rStyle w:val="Hyperlink"/>
            <w:rFonts w:ascii="Arial" w:hAnsi="Arial" w:cs="Arial"/>
            <w:sz w:val="20"/>
            <w:szCs w:val="20"/>
          </w:rPr>
          <w:t>https://cdc.gov.kh/wp-content/uploads/2022/05/LAW-ON-NATURE-PROTECTION-AREA-PROTECTED-AREAS-LAW_080104_080104-.pdf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Dialogue Earth, 2023. </w:t>
      </w:r>
      <w:r w:rsidRPr="00256C25">
        <w:rPr>
          <w:rStyle w:val="Emphasis"/>
          <w:rFonts w:ascii="Arial" w:hAnsi="Arial" w:cs="Arial"/>
          <w:sz w:val="20"/>
          <w:szCs w:val="20"/>
        </w:rPr>
        <w:t>Cambodia’s Ream National Park transformed from wildlife haven to development zone.</w:t>
      </w:r>
      <w:r w:rsidRPr="00256C25">
        <w:rPr>
          <w:rFonts w:ascii="Arial" w:hAnsi="Arial" w:cs="Arial"/>
          <w:sz w:val="20"/>
          <w:szCs w:val="20"/>
        </w:rPr>
        <w:t xml:space="preserve"> </w:t>
      </w:r>
      <w:hyperlink r:id="rId40" w:tgtFrame="_new" w:history="1">
        <w:r w:rsidRPr="00256C25">
          <w:rPr>
            <w:rStyle w:val="Hyperlink"/>
            <w:rFonts w:ascii="Arial" w:hAnsi="Arial" w:cs="Arial"/>
            <w:sz w:val="20"/>
            <w:szCs w:val="20"/>
          </w:rPr>
          <w:t>https://dialogue.earth/en/nature/cambodias-ream-national-park-transformed-from-wildlife-haven-to-development-zone/</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Duffy, H. S., et al., 2023. </w:t>
      </w:r>
      <w:r w:rsidRPr="00256C25">
        <w:rPr>
          <w:rStyle w:val="Emphasis"/>
          <w:rFonts w:ascii="Arial" w:hAnsi="Arial" w:cs="Arial"/>
          <w:sz w:val="20"/>
          <w:szCs w:val="20"/>
        </w:rPr>
        <w:t>An assessment of marine turtle population status and conservation in Cambodia.</w:t>
      </w:r>
      <w:r w:rsidRPr="00256C25">
        <w:rPr>
          <w:rFonts w:ascii="Arial" w:hAnsi="Arial" w:cs="Arial"/>
          <w:b/>
          <w:bCs/>
          <w:sz w:val="20"/>
          <w:szCs w:val="20"/>
        </w:rPr>
        <w:t xml:space="preserve"> </w:t>
      </w:r>
      <w:r w:rsidRPr="00256C25">
        <w:rPr>
          <w:rStyle w:val="Strong"/>
          <w:rFonts w:ascii="Arial" w:hAnsi="Arial" w:cs="Arial"/>
          <w:sz w:val="20"/>
          <w:szCs w:val="20"/>
        </w:rPr>
        <w:t>Oryx</w:t>
      </w:r>
      <w:r w:rsidRPr="00256C25">
        <w:rPr>
          <w:rFonts w:ascii="Arial" w:hAnsi="Arial" w:cs="Arial"/>
          <w:b/>
          <w:bCs/>
          <w:sz w:val="20"/>
          <w:szCs w:val="20"/>
        </w:rPr>
        <w:t xml:space="preserve">. </w:t>
      </w:r>
      <w:hyperlink r:id="rId41" w:tgtFrame="_new" w:history="1">
        <w:r w:rsidRPr="00256C25">
          <w:rPr>
            <w:rStyle w:val="Hyperlink"/>
            <w:rFonts w:ascii="Arial" w:hAnsi="Arial" w:cs="Arial"/>
            <w:sz w:val="20"/>
            <w:szCs w:val="20"/>
          </w:rPr>
          <w:t>https://www.cambridge.org/core/journals/oryx/article/an-assessment-of-marine-turtle-population-status-and-conservation-in-cambodia/D34D3CA2C04E4742F553199F5658B0CF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East Asian–Australasian Flyway Partnership (EAAFP). (2019). </w:t>
      </w:r>
      <w:r w:rsidRPr="00256C25">
        <w:rPr>
          <w:rStyle w:val="Emphasis"/>
          <w:rFonts w:ascii="Arial" w:hAnsi="Arial" w:cs="Arial"/>
          <w:sz w:val="20"/>
          <w:szCs w:val="20"/>
        </w:rPr>
        <w:t>Anlung Pring site information sheet.</w:t>
      </w:r>
      <w:r w:rsidRPr="00256C25">
        <w:rPr>
          <w:rFonts w:ascii="Arial" w:hAnsi="Arial" w:cs="Arial"/>
          <w:sz w:val="20"/>
          <w:szCs w:val="20"/>
        </w:rPr>
        <w:t xml:space="preserve"> </w:t>
      </w:r>
      <w:hyperlink r:id="rId42" w:tgtFrame="_new" w:history="1">
        <w:r w:rsidRPr="00256C25">
          <w:rPr>
            <w:rStyle w:val="Hyperlink"/>
            <w:rFonts w:ascii="Arial" w:hAnsi="Arial" w:cs="Arial"/>
            <w:sz w:val="20"/>
            <w:szCs w:val="20"/>
          </w:rPr>
          <w:t>https://www.eaaflyway.net/fns-anlung-pring/</w:t>
        </w:r>
      </w:hyperlink>
    </w:p>
    <w:p w:rsidR="00F313D2"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DA70B2">
        <w:rPr>
          <w:rFonts w:ascii="Arial" w:hAnsi="Arial" w:cs="Arial"/>
          <w:sz w:val="20"/>
          <w:szCs w:val="20"/>
        </w:rPr>
        <w:t>Environmental Performance Index (EPI)</w:t>
      </w:r>
      <w:r>
        <w:rPr>
          <w:rFonts w:ascii="Arial" w:hAnsi="Arial" w:cs="Arial"/>
          <w:sz w:val="20"/>
          <w:szCs w:val="20"/>
        </w:rPr>
        <w:t xml:space="preserve">, </w:t>
      </w:r>
      <w:r w:rsidRPr="00DA70B2">
        <w:rPr>
          <w:rFonts w:ascii="Arial" w:hAnsi="Arial" w:cs="Arial"/>
          <w:sz w:val="20"/>
          <w:szCs w:val="20"/>
        </w:rPr>
        <w:t>2024</w:t>
      </w:r>
      <w:r>
        <w:rPr>
          <w:rFonts w:ascii="Arial" w:hAnsi="Arial" w:cs="Arial"/>
          <w:sz w:val="20"/>
          <w:szCs w:val="20"/>
        </w:rPr>
        <w:t xml:space="preserve">. </w:t>
      </w:r>
      <w:r w:rsidRPr="00DA70B2">
        <w:rPr>
          <w:rFonts w:ascii="Arial" w:hAnsi="Arial" w:cs="Arial"/>
          <w:sz w:val="20"/>
          <w:szCs w:val="20"/>
        </w:rPr>
        <w:t>2024 Environmental Performance Index: Cambodia country profile. Yale Center for Environmental Law &amp; Policy, and Center for International Earth Science Information Network.</w:t>
      </w:r>
      <w:r>
        <w:rPr>
          <w:rFonts w:ascii="Arial" w:hAnsi="Arial" w:cs="Arial"/>
          <w:sz w:val="20"/>
          <w:szCs w:val="20"/>
        </w:rPr>
        <w:t xml:space="preserve"> </w:t>
      </w:r>
      <w:hyperlink r:id="rId43" w:history="1">
        <w:r w:rsidRPr="006600ED">
          <w:rPr>
            <w:rStyle w:val="Hyperlink"/>
            <w:rFonts w:ascii="Arial" w:hAnsi="Arial" w:cs="Arial"/>
            <w:sz w:val="20"/>
            <w:szCs w:val="20"/>
          </w:rPr>
          <w:t>https://epi.yale.edu/country/2024/KHM</w:t>
        </w:r>
      </w:hyperlink>
      <w:r>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European Commission, Joint Research Centre (JRC), &amp; Inter-Agency Standing Committee (IASC), 2025. INFORM Risk Index: Results and data (Mid-2025 update) [dataset]. Retrieved Oct 10, 2025, from </w:t>
      </w:r>
      <w:hyperlink r:id="rId44" w:history="1">
        <w:r w:rsidRPr="00256C25">
          <w:rPr>
            <w:rStyle w:val="Hyperlink"/>
            <w:rFonts w:ascii="Arial" w:hAnsi="Arial" w:cs="Arial"/>
            <w:sz w:val="20"/>
            <w:szCs w:val="20"/>
          </w:rPr>
          <w:t>https://drmkc.jrc.ec.europa.eu/inform-index/INFORM-Risk/Results-and-data</w:t>
        </w:r>
      </w:hyperlink>
      <w:r w:rsidRPr="00256C25">
        <w:rPr>
          <w:rFonts w:ascii="Arial" w:hAnsi="Arial" w:cs="Arial"/>
          <w:sz w:val="20"/>
          <w:szCs w:val="20"/>
        </w:rPr>
        <w:t xml:space="preserve"> </w:t>
      </w:r>
    </w:p>
    <w:p w:rsidR="00F313D2"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DA70B2">
        <w:rPr>
          <w:rFonts w:ascii="Arial" w:hAnsi="Arial" w:cs="Arial"/>
          <w:sz w:val="20"/>
          <w:szCs w:val="20"/>
        </w:rPr>
        <w:t>Fanning, L., Mahon, R., &amp; McConney, P</w:t>
      </w:r>
      <w:r>
        <w:rPr>
          <w:rFonts w:ascii="Arial" w:hAnsi="Arial" w:cs="Arial"/>
          <w:sz w:val="20"/>
          <w:szCs w:val="20"/>
        </w:rPr>
        <w:t xml:space="preserve">, </w:t>
      </w:r>
      <w:r w:rsidRPr="00DA70B2">
        <w:rPr>
          <w:rFonts w:ascii="Arial" w:hAnsi="Arial" w:cs="Arial"/>
          <w:sz w:val="20"/>
          <w:szCs w:val="20"/>
        </w:rPr>
        <w:t>2017).</w:t>
      </w:r>
      <w:r>
        <w:rPr>
          <w:rFonts w:ascii="Arial" w:hAnsi="Arial" w:cs="Arial"/>
          <w:sz w:val="20"/>
          <w:szCs w:val="20"/>
        </w:rPr>
        <w:t xml:space="preserve"> </w:t>
      </w:r>
      <w:r w:rsidRPr="00DA70B2">
        <w:rPr>
          <w:rFonts w:ascii="Arial" w:hAnsi="Arial" w:cs="Arial"/>
          <w:sz w:val="20"/>
          <w:szCs w:val="20"/>
        </w:rPr>
        <w:t>Assessing Governance Performance in Transboundary Water Systems.</w:t>
      </w:r>
      <w:r>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FAO FishStatJ, 2024. Global Capture Production – Marine Fishery Production Value for Cambodia, 1950–2022. </w:t>
      </w:r>
      <w:hyperlink r:id="rId45" w:history="1">
        <w:r w:rsidRPr="00256C25">
          <w:rPr>
            <w:rStyle w:val="Hyperlink"/>
            <w:rFonts w:ascii="Arial" w:hAnsi="Arial" w:cs="Arial"/>
            <w:sz w:val="20"/>
            <w:szCs w:val="20"/>
          </w:rPr>
          <w:t>https://www.fao.org/fishery/statistics</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FAO, 2020. </w:t>
      </w:r>
      <w:r w:rsidRPr="00256C25">
        <w:rPr>
          <w:rStyle w:val="Emphasis"/>
          <w:rFonts w:ascii="Arial" w:hAnsi="Arial" w:cs="Arial"/>
          <w:sz w:val="20"/>
          <w:szCs w:val="20"/>
        </w:rPr>
        <w:t>How is COVID-19 affecting the fisheries and aquaculture food systems?</w:t>
      </w:r>
      <w:r w:rsidRPr="00256C25">
        <w:rPr>
          <w:rFonts w:ascii="Arial" w:hAnsi="Arial" w:cs="Arial"/>
          <w:sz w:val="20"/>
          <w:szCs w:val="20"/>
        </w:rPr>
        <w:t xml:space="preserve"> (Policy/Impact Brief). Rome: Food and Agriculture Organization of the United Nations. </w:t>
      </w:r>
      <w:hyperlink r:id="rId46" w:tgtFrame="_new" w:history="1">
        <w:r w:rsidRPr="00256C25">
          <w:rPr>
            <w:rStyle w:val="Hyperlink"/>
            <w:rFonts w:ascii="Arial" w:hAnsi="Arial" w:cs="Arial"/>
            <w:sz w:val="20"/>
            <w:szCs w:val="20"/>
          </w:rPr>
          <w:t>https://www.fao.org/3/ca8637en/ca8637en.pdf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FAO, 2024. </w:t>
      </w:r>
      <w:r w:rsidRPr="00256C25">
        <w:rPr>
          <w:rStyle w:val="Emphasis"/>
          <w:rFonts w:ascii="Arial" w:hAnsi="Arial" w:cs="Arial"/>
          <w:sz w:val="20"/>
          <w:szCs w:val="20"/>
        </w:rPr>
        <w:t>FishStatJ: Global production by production source (1950–2022).</w:t>
      </w:r>
      <w:r w:rsidRPr="00256C25">
        <w:rPr>
          <w:rFonts w:ascii="Arial" w:hAnsi="Arial" w:cs="Arial"/>
          <w:sz w:val="20"/>
          <w:szCs w:val="20"/>
        </w:rPr>
        <w:t xml:space="preserve"> Accessed 29 March 2024. </w:t>
      </w:r>
      <w:hyperlink r:id="rId47" w:tgtFrame="_new" w:history="1">
        <w:r w:rsidRPr="00256C25">
          <w:rPr>
            <w:rStyle w:val="Hyperlink"/>
            <w:rFonts w:ascii="Arial" w:hAnsi="Arial" w:cs="Arial"/>
            <w:sz w:val="20"/>
            <w:szCs w:val="20"/>
          </w:rPr>
          <w:t>https://www.fao.org/fishery/en/statistics/software/fishstatj</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FAO, 2024. Global capture production (1950–2022), FishStat. </w:t>
      </w:r>
      <w:hyperlink r:id="rId48" w:history="1">
        <w:r w:rsidRPr="00256C25">
          <w:rPr>
            <w:rStyle w:val="Hyperlink"/>
            <w:rFonts w:ascii="Arial" w:hAnsi="Arial" w:cs="Arial"/>
            <w:sz w:val="20"/>
            <w:szCs w:val="20"/>
          </w:rPr>
          <w:t>https://www.fao.org/fishery/statistics-query/en/capture</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FAO, 2024. </w:t>
      </w:r>
      <w:r w:rsidRPr="00256C25">
        <w:rPr>
          <w:rStyle w:val="Emphasis"/>
          <w:rFonts w:ascii="Arial" w:hAnsi="Arial" w:cs="Arial"/>
          <w:sz w:val="20"/>
          <w:szCs w:val="20"/>
        </w:rPr>
        <w:t>The State of World Fisheries and Aquaculture (SOFIA) 2024 — Global overview and “Blue Transformation.”</w:t>
      </w:r>
      <w:r w:rsidRPr="00256C25">
        <w:rPr>
          <w:rFonts w:ascii="Arial" w:hAnsi="Arial" w:cs="Arial"/>
          <w:sz w:val="20"/>
          <w:szCs w:val="20"/>
        </w:rPr>
        <w:t xml:space="preserve"> Rome: FAO. </w:t>
      </w:r>
      <w:hyperlink r:id="rId49" w:tgtFrame="_new" w:history="1">
        <w:r w:rsidRPr="00256C25">
          <w:rPr>
            <w:rStyle w:val="Hyperlink"/>
            <w:rFonts w:ascii="Arial" w:hAnsi="Arial" w:cs="Arial"/>
            <w:sz w:val="20"/>
            <w:szCs w:val="20"/>
          </w:rPr>
          <w:t>https://www.fao.org/sofia</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FAO. (n.d.). Measuring the status of fishery resources (historic Gulf of Thailand trawl surveys). </w:t>
      </w:r>
      <w:hyperlink r:id="rId50" w:history="1">
        <w:r w:rsidRPr="00256C25">
          <w:rPr>
            <w:rStyle w:val="Hyperlink"/>
            <w:rFonts w:ascii="Arial" w:hAnsi="Arial" w:cs="Arial"/>
            <w:sz w:val="20"/>
            <w:szCs w:val="20"/>
          </w:rPr>
          <w:t>https://www.fao.org/4/ad514e/ad514e06.htm</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Fauna &amp; Flora, 2020. Assessing the influence of four years of Marine Protected Area status in the Koh Rong Marine National Park. FFI Cambodia. </w:t>
      </w:r>
      <w:hyperlink r:id="rId51" w:history="1">
        <w:r w:rsidRPr="00256C25">
          <w:rPr>
            <w:rStyle w:val="Hyperlink"/>
            <w:rFonts w:ascii="Arial" w:hAnsi="Arial" w:cs="Arial"/>
            <w:sz w:val="20"/>
            <w:szCs w:val="20"/>
          </w:rPr>
          <w:t>https://www.fauna-flora.org/wp-content/uploads/2023/05/FFI_2020_Koh-Rong-MPA.pdf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Fauna &amp; Flora, 2024. </w:t>
      </w:r>
      <w:r w:rsidRPr="00256C25">
        <w:rPr>
          <w:rStyle w:val="Emphasis"/>
          <w:rFonts w:ascii="Arial" w:hAnsi="Arial" w:cs="Arial"/>
          <w:sz w:val="20"/>
          <w:szCs w:val="20"/>
        </w:rPr>
        <w:t>Mangrove biodiversity survey report: Peam Krasop &amp; Koh Kapik Ramsar Site, Cambodia 2023.</w:t>
      </w:r>
      <w:r w:rsidRPr="00256C25">
        <w:rPr>
          <w:rFonts w:ascii="Arial" w:hAnsi="Arial" w:cs="Arial"/>
          <w:sz w:val="20"/>
          <w:szCs w:val="20"/>
        </w:rPr>
        <w:t xml:space="preserve"> </w:t>
      </w:r>
      <w:hyperlink r:id="rId52" w:tgtFrame="_new" w:history="1">
        <w:r w:rsidRPr="00256C25">
          <w:rPr>
            <w:rStyle w:val="Hyperlink"/>
            <w:rFonts w:ascii="Arial" w:hAnsi="Arial" w:cs="Arial"/>
            <w:sz w:val="20"/>
            <w:szCs w:val="20"/>
          </w:rPr>
          <w:t>https://www.fauna-flora.org/wp-content/uploads/2024/04/Mangrove-Biodiversity-Survey-Report.pdf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FiA/MAFF, 2015. </w:t>
      </w:r>
      <w:r w:rsidRPr="00256C25">
        <w:rPr>
          <w:rStyle w:val="Emphasis"/>
          <w:rFonts w:ascii="Arial" w:hAnsi="Arial" w:cs="Arial"/>
          <w:sz w:val="20"/>
          <w:szCs w:val="20"/>
        </w:rPr>
        <w:t>The strategic planning framework for fisheries: Update 2015–2024.</w:t>
      </w:r>
      <w:r w:rsidRPr="00256C25">
        <w:rPr>
          <w:rFonts w:ascii="Arial" w:hAnsi="Arial" w:cs="Arial"/>
          <w:sz w:val="20"/>
          <w:szCs w:val="20"/>
        </w:rPr>
        <w:t xml:space="preserve"> FAO &amp; Fisheries Administration. </w:t>
      </w:r>
      <w:hyperlink r:id="rId53" w:tgtFrame="_new" w:history="1">
        <w:r w:rsidRPr="00256C25">
          <w:rPr>
            <w:rStyle w:val="Hyperlink"/>
            <w:rFonts w:ascii="Arial" w:hAnsi="Arial" w:cs="Arial"/>
            <w:sz w:val="20"/>
            <w:szCs w:val="20"/>
          </w:rPr>
          <w:t>https://data.opendevelopmentmekong.net/library_record/the-strategic-planning-framework-for-fisheries-2015-2024</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FiA/MAFF, 2016. </w:t>
      </w:r>
      <w:r w:rsidRPr="00256C25">
        <w:rPr>
          <w:rStyle w:val="Emphasis"/>
          <w:rFonts w:ascii="Arial" w:hAnsi="Arial" w:cs="Arial"/>
          <w:sz w:val="20"/>
          <w:szCs w:val="20"/>
        </w:rPr>
        <w:t>Action plan for the protection of sea turtles in Cambodia 2016–2026.</w:t>
      </w:r>
      <w:r w:rsidRPr="00256C25">
        <w:rPr>
          <w:rFonts w:ascii="Arial" w:hAnsi="Arial" w:cs="Arial"/>
          <w:sz w:val="20"/>
          <w:szCs w:val="20"/>
        </w:rPr>
        <w:t xml:space="preserve"> FAO &amp; Fisheries Administration. </w:t>
      </w:r>
      <w:hyperlink r:id="rId54" w:tgtFrame="_new" w:history="1">
        <w:r w:rsidRPr="00256C25">
          <w:rPr>
            <w:rStyle w:val="Hyperlink"/>
            <w:rFonts w:ascii="Arial" w:hAnsi="Arial" w:cs="Arial"/>
            <w:sz w:val="20"/>
            <w:szCs w:val="20"/>
          </w:rPr>
          <w:t>https://data.opendevelopmentmekong.net/en/laws_record/action-plan-for-the-protection-of-sea-turtles-in-cambodia-2016-2026</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FiA/MAFF, 2020a. National Plan of Action to Prevent, Deter and Eliminate IUU Fishing (2020–2024). </w:t>
      </w:r>
      <w:hyperlink r:id="rId55" w:history="1">
        <w:r w:rsidRPr="00256C25">
          <w:rPr>
            <w:rStyle w:val="Hyperlink"/>
            <w:rFonts w:ascii="Arial" w:hAnsi="Arial" w:cs="Arial"/>
            <w:sz w:val="20"/>
            <w:szCs w:val="20"/>
          </w:rPr>
          <w:t>https://server.maff.gov.kh/parse/files/myAppId5hD7ypUYw61sTqML/63351774d0db6c6f8968fe4dde13f96e_1639471811.pdf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FiA/MAFF, 2020b. National Plan of Control and Inspection for Marine Fisheries (2020–2024). </w:t>
      </w:r>
      <w:hyperlink r:id="rId56" w:history="1">
        <w:r w:rsidRPr="00256C25">
          <w:rPr>
            <w:rStyle w:val="Hyperlink"/>
            <w:rFonts w:ascii="Arial" w:hAnsi="Arial" w:cs="Arial"/>
            <w:sz w:val="20"/>
            <w:szCs w:val="20"/>
          </w:rPr>
          <w:t>https://faolex.fao.org/docs/pdf/cam219304.pdf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FiA/MAFF, 2023. </w:t>
      </w:r>
      <w:r w:rsidRPr="00256C25">
        <w:rPr>
          <w:rStyle w:val="Emphasis"/>
          <w:rFonts w:ascii="Arial" w:hAnsi="Arial" w:cs="Arial"/>
          <w:sz w:val="20"/>
          <w:szCs w:val="20"/>
        </w:rPr>
        <w:t>Seagrass and Coral Reef distribution and monitoring in Cambodia.</w:t>
      </w:r>
      <w:r w:rsidRPr="00256C25">
        <w:rPr>
          <w:rFonts w:ascii="Arial" w:hAnsi="Arial" w:cs="Arial"/>
          <w:sz w:val="20"/>
          <w:szCs w:val="20"/>
        </w:rPr>
        <w:t xml:space="preserve"> </w:t>
      </w:r>
      <w:hyperlink r:id="rId57" w:tgtFrame="_new" w:history="1">
        <w:r w:rsidRPr="00256C25">
          <w:rPr>
            <w:rStyle w:val="Hyperlink"/>
            <w:rFonts w:ascii="Arial" w:hAnsi="Arial" w:cs="Arial"/>
            <w:sz w:val="20"/>
            <w:szCs w:val="20"/>
          </w:rPr>
          <w:t>https://data.opendevelopmentcambodia.net/en/dataset/de33097a-d9ad-44de-9ad3-3bcee8d4fb1e/resource/899515b9-590a-4566-b5c9-b06c4bdd9c25/download/01hym7xp4q9kwbvxm1kh5e1nfr.pdf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Fiorella, K. J., Hickey, G. M., Salinas, R. A., &amp; Thilsted, S. H., 2019. Analyzing drivers of fish biomass and biodiversity within community fish refuges in Cambodia. </w:t>
      </w:r>
      <w:r w:rsidRPr="00256C25">
        <w:rPr>
          <w:rStyle w:val="Emphasis"/>
          <w:rFonts w:ascii="Arial" w:hAnsi="Arial" w:cs="Arial"/>
          <w:sz w:val="20"/>
          <w:szCs w:val="20"/>
        </w:rPr>
        <w:t>Ecology and Society, 24</w:t>
      </w:r>
      <w:r w:rsidRPr="00256C25">
        <w:rPr>
          <w:rFonts w:ascii="Arial" w:hAnsi="Arial" w:cs="Arial"/>
          <w:sz w:val="20"/>
          <w:szCs w:val="20"/>
        </w:rPr>
        <w:t xml:space="preserve">(3), 18. </w:t>
      </w:r>
      <w:hyperlink r:id="rId58" w:tgtFrame="_new" w:history="1">
        <w:r w:rsidRPr="00256C25">
          <w:rPr>
            <w:rStyle w:val="Hyperlink"/>
            <w:rFonts w:ascii="Arial" w:hAnsi="Arial" w:cs="Arial"/>
            <w:sz w:val="20"/>
            <w:szCs w:val="20"/>
          </w:rPr>
          <w:t>https://doi.org/10.5751/ES-11053-240318</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Fisheries Administration, 2021. </w:t>
      </w:r>
      <w:r w:rsidRPr="00256C25">
        <w:rPr>
          <w:rStyle w:val="Emphasis"/>
          <w:rFonts w:ascii="Arial" w:hAnsi="Arial" w:cs="Arial"/>
          <w:sz w:val="20"/>
          <w:szCs w:val="20"/>
        </w:rPr>
        <w:t>Manual for Fish Catch Monitoring Assessment for Marine Fisheries in Cambodia.</w:t>
      </w:r>
      <w:r w:rsidRPr="00256C25">
        <w:rPr>
          <w:rFonts w:ascii="Arial" w:hAnsi="Arial" w:cs="Arial"/>
          <w:sz w:val="20"/>
          <w:szCs w:val="20"/>
        </w:rPr>
        <w:t xml:space="preserve"> Marine Fisheries Research and Development Institute (MaFReDI), Phnom Penh.</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Fisheries Administration, 2023. </w:t>
      </w:r>
      <w:r w:rsidRPr="00256C25">
        <w:rPr>
          <w:rStyle w:val="Emphasis"/>
          <w:rFonts w:ascii="Arial" w:hAnsi="Arial" w:cs="Arial"/>
          <w:sz w:val="20"/>
          <w:szCs w:val="20"/>
        </w:rPr>
        <w:t>Catch Monitoring Survey at Marine Landing Sites, Cambodia (June 2023): Gear-specific catch/day.</w:t>
      </w:r>
      <w:r w:rsidRPr="00256C25">
        <w:rPr>
          <w:rFonts w:ascii="Arial" w:hAnsi="Arial" w:cs="Arial"/>
          <w:sz w:val="20"/>
          <w:szCs w:val="20"/>
        </w:rPr>
        <w:t xml:space="preserve"> Phnom Penh: MAFF.</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i/>
          <w:iCs/>
          <w:sz w:val="20"/>
          <w:szCs w:val="20"/>
        </w:rPr>
      </w:pPr>
      <w:r w:rsidRPr="00256C25">
        <w:rPr>
          <w:rFonts w:ascii="Arial" w:hAnsi="Arial" w:cs="Arial"/>
          <w:sz w:val="20"/>
          <w:szCs w:val="20"/>
        </w:rPr>
        <w:t xml:space="preserve">Fisheries Administration, 2023. </w:t>
      </w:r>
      <w:r w:rsidRPr="00256C25">
        <w:rPr>
          <w:rStyle w:val="Emphasis"/>
          <w:rFonts w:ascii="Arial" w:hAnsi="Arial" w:cs="Arial"/>
          <w:sz w:val="20"/>
          <w:szCs w:val="20"/>
        </w:rPr>
        <w:t>Catch Monitoring Survey at Marine Landing Sites, Cambodia MaFReDI Technical Repor.</w:t>
      </w:r>
      <w:r w:rsidRPr="00256C25">
        <w:rPr>
          <w:rFonts w:ascii="Arial" w:hAnsi="Arial" w:cs="Arial"/>
          <w:sz w:val="20"/>
          <w:szCs w:val="20"/>
        </w:rPr>
        <w:t xml:space="preserve"> Ministry of Agriculture, Forestry and Fisheries. </w:t>
      </w:r>
      <w:hyperlink r:id="rId59" w:tgtFrame="_new" w:history="1">
        <w:r w:rsidRPr="00256C25">
          <w:rPr>
            <w:rStyle w:val="Hyperlink"/>
            <w:rFonts w:ascii="Arial" w:hAnsi="Arial" w:cs="Arial"/>
            <w:sz w:val="20"/>
            <w:szCs w:val="20"/>
          </w:rPr>
          <w:t>https://fia.maff.gov.kh/storage/publications/01J5WJNC45F2B1YXNABNYDVJ6K.pdf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Fisheries Administration, 2025. </w:t>
      </w:r>
      <w:r w:rsidRPr="00256C25">
        <w:rPr>
          <w:rStyle w:val="Emphasis"/>
          <w:rFonts w:ascii="Arial" w:hAnsi="Arial" w:cs="Arial"/>
          <w:sz w:val="20"/>
          <w:szCs w:val="20"/>
        </w:rPr>
        <w:t>Annual Fisheries Statistical Report (2012–2024).</w:t>
      </w:r>
      <w:r w:rsidRPr="00256C25">
        <w:rPr>
          <w:rFonts w:ascii="Arial" w:hAnsi="Arial" w:cs="Arial"/>
          <w:sz w:val="20"/>
          <w:szCs w:val="20"/>
        </w:rPr>
        <w:t xml:space="preserve"> Phnom Penh: MAFF. </w:t>
      </w:r>
      <w:hyperlink r:id="rId60" w:tgtFrame="_new" w:history="1">
        <w:r w:rsidRPr="00256C25">
          <w:rPr>
            <w:rStyle w:val="Hyperlink"/>
            <w:rFonts w:ascii="Arial" w:hAnsi="Arial" w:cs="Arial"/>
            <w:sz w:val="20"/>
            <w:szCs w:val="20"/>
          </w:rPr>
          <w:t>https://fia.maff.gov.kh/fimsfrontend/article/1</w:t>
        </w:r>
      </w:hyperlink>
    </w:p>
    <w:p w:rsidR="00F313D2" w:rsidRPr="00256C25" w:rsidRDefault="00F313D2" w:rsidP="00F313D2">
      <w:pPr>
        <w:adjustRightInd w:val="0"/>
        <w:snapToGrid w:val="0"/>
        <w:ind w:left="720" w:hanging="720"/>
        <w:rPr>
          <w:rStyle w:val="Hyperlink"/>
          <w:rFonts w:ascii="Arial" w:hAnsi="Arial" w:cs="Arial"/>
          <w:sz w:val="20"/>
          <w:szCs w:val="20"/>
        </w:rPr>
      </w:pPr>
      <w:r w:rsidRPr="00256C25">
        <w:rPr>
          <w:rFonts w:ascii="Arial" w:hAnsi="Arial" w:cs="Arial"/>
          <w:sz w:val="20"/>
          <w:szCs w:val="20"/>
        </w:rPr>
        <w:t xml:space="preserve">Fisheries Administration, MAFF, 2020. National plan of control and inspection for marine fisheries, 2020–2024. Phnom Penh: MAFF. </w:t>
      </w:r>
      <w:hyperlink r:id="rId61" w:history="1">
        <w:r w:rsidRPr="00256C25">
          <w:rPr>
            <w:rStyle w:val="Hyperlink"/>
            <w:rFonts w:ascii="Arial" w:hAnsi="Arial" w:cs="Arial"/>
            <w:sz w:val="20"/>
            <w:szCs w:val="20"/>
          </w:rPr>
          <w:t>https://server.maff.gov.kh/parse/files/myAppId5hD7ypUYw61sTqML/fd69caa3c49d2963151a11e244ec4af6_1639468965.pdf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Fisheries Administration/MAFF, 2024. </w:t>
      </w:r>
      <w:r w:rsidRPr="00256C25">
        <w:rPr>
          <w:rStyle w:val="Emphasis"/>
          <w:rFonts w:ascii="Arial" w:hAnsi="Arial" w:cs="Arial"/>
          <w:sz w:val="20"/>
          <w:szCs w:val="20"/>
        </w:rPr>
        <w:t>Marine Fishing Vessel and Licensing Database – Vessel Census 2018.</w:t>
      </w:r>
      <w:r w:rsidRPr="00256C25">
        <w:rPr>
          <w:rFonts w:ascii="Arial" w:hAnsi="Arial" w:cs="Arial"/>
          <w:sz w:val="20"/>
          <w:szCs w:val="20"/>
        </w:rPr>
        <w:t xml:space="preserve"> Phnom Penh: MAFF. </w:t>
      </w:r>
      <w:hyperlink r:id="rId62" w:tgtFrame="_new" w:history="1">
        <w:r w:rsidRPr="00256C25">
          <w:rPr>
            <w:rStyle w:val="Hyperlink"/>
            <w:rFonts w:ascii="Arial" w:hAnsi="Arial" w:cs="Arial"/>
            <w:sz w:val="20"/>
            <w:szCs w:val="20"/>
          </w:rPr>
          <w:t>https://www.maff.gov.kh/fia/systemdetail/8Rf4C8IQAq?lang=en</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Food and Agriculture Organization of the United Nations, 202. </w:t>
      </w:r>
      <w:r w:rsidRPr="00256C25">
        <w:rPr>
          <w:rStyle w:val="Emphasis"/>
          <w:rFonts w:ascii="Arial" w:hAnsi="Arial" w:cs="Arial"/>
          <w:sz w:val="20"/>
          <w:szCs w:val="20"/>
        </w:rPr>
        <w:t>World aquaculture performance indicators (WAPI): National aquaculture sector overview—Cambodia.</w:t>
      </w:r>
      <w:r w:rsidRPr="00256C25">
        <w:rPr>
          <w:rFonts w:ascii="Arial" w:hAnsi="Arial" w:cs="Arial"/>
          <w:sz w:val="20"/>
          <w:szCs w:val="20"/>
        </w:rPr>
        <w:t xml:space="preserve"> FAO.</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Food and Agriculture Organization of the United Nations, 2023. </w:t>
      </w:r>
      <w:r w:rsidRPr="00256C25">
        <w:rPr>
          <w:rStyle w:val="Emphasis"/>
          <w:rFonts w:ascii="Arial" w:hAnsi="Arial" w:cs="Arial"/>
          <w:sz w:val="20"/>
          <w:szCs w:val="20"/>
        </w:rPr>
        <w:t>Cambodia climate-resilient coastal fisheries (CamAdapt) project document.</w:t>
      </w:r>
      <w:r w:rsidRPr="00256C25">
        <w:rPr>
          <w:rFonts w:ascii="Arial" w:hAnsi="Arial" w:cs="Arial"/>
          <w:sz w:val="20"/>
          <w:szCs w:val="20"/>
        </w:rPr>
        <w:t xml:space="preserve"> FAO. </w:t>
      </w:r>
      <w:hyperlink r:id="rId63" w:tgtFrame="_new" w:history="1">
        <w:r w:rsidRPr="00256C25">
          <w:rPr>
            <w:rStyle w:val="Hyperlink"/>
            <w:rFonts w:ascii="Arial" w:hAnsi="Arial" w:cs="Arial"/>
            <w:sz w:val="20"/>
            <w:szCs w:val="20"/>
          </w:rPr>
          <w:t>https://openknowledge.fao.org/server/api/core/bitstreams/f2d3b9a7-ce34-403a-af3f-eff4e0db7eac/content</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Food and Agriculture Organization of the United Nations, 2023. </w:t>
      </w:r>
      <w:r w:rsidRPr="00256C25">
        <w:rPr>
          <w:rStyle w:val="Emphasis"/>
          <w:rFonts w:ascii="Arial" w:hAnsi="Arial" w:cs="Arial"/>
          <w:sz w:val="20"/>
          <w:szCs w:val="20"/>
        </w:rPr>
        <w:t>FAOSTAT: Pesticides use database – Cambodia.</w:t>
      </w:r>
      <w:r w:rsidRPr="00256C25">
        <w:rPr>
          <w:rFonts w:ascii="Arial" w:hAnsi="Arial" w:cs="Arial"/>
          <w:sz w:val="20"/>
          <w:szCs w:val="20"/>
        </w:rPr>
        <w:t xml:space="preserve"> FAO. </w:t>
      </w:r>
      <w:hyperlink r:id="rId64" w:anchor="data/RP" w:tgtFrame="_new" w:history="1">
        <w:r w:rsidRPr="00256C25">
          <w:rPr>
            <w:rStyle w:val="Hyperlink"/>
            <w:rFonts w:ascii="Arial" w:eastAsiaTheme="majorEastAsia" w:hAnsi="Arial" w:cs="Arial"/>
            <w:sz w:val="20"/>
            <w:szCs w:val="20"/>
          </w:rPr>
          <w:t>https://www.fao.org/faostat/en/#data/RP</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Food and Agriculture Organization of the United Nations, 2024a. </w:t>
      </w:r>
      <w:r w:rsidRPr="00256C25">
        <w:rPr>
          <w:rStyle w:val="Emphasis"/>
          <w:rFonts w:ascii="Arial" w:hAnsi="Arial" w:cs="Arial"/>
          <w:sz w:val="20"/>
          <w:szCs w:val="20"/>
        </w:rPr>
        <w:t>EU–FAO complementary support to CAPFISH-Capture.</w:t>
      </w:r>
      <w:r w:rsidRPr="00256C25">
        <w:rPr>
          <w:rFonts w:ascii="Arial" w:hAnsi="Arial" w:cs="Arial"/>
          <w:sz w:val="20"/>
          <w:szCs w:val="20"/>
        </w:rPr>
        <w:t xml:space="preserve"> FAO. </w:t>
      </w:r>
      <w:hyperlink r:id="rId65" w:history="1">
        <w:r w:rsidRPr="00256C25">
          <w:rPr>
            <w:rStyle w:val="Hyperlink"/>
            <w:rFonts w:ascii="Arial" w:hAnsi="Arial" w:cs="Arial"/>
            <w:sz w:val="20"/>
            <w:szCs w:val="20"/>
          </w:rPr>
          <w:t>https://www.fao.org/europeanunion/projects/projects-detail/fao-complementary-support-to-the-cambodia-programme-for-sustainable-and-inclusive-growth-in-the-fisheries-sector--capture-component-(capfish-capture)---gcp-cmb-043-ec/en</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Food and Agriculture Organization of the United Nations, 2024b. </w:t>
      </w:r>
      <w:r w:rsidRPr="00256C25">
        <w:rPr>
          <w:rStyle w:val="Emphasis"/>
          <w:rFonts w:ascii="Arial" w:hAnsi="Arial" w:cs="Arial"/>
          <w:sz w:val="20"/>
          <w:szCs w:val="20"/>
        </w:rPr>
        <w:t>SDG indicator 14.6.1 – Degree of implementation of international instruments to combat IUU fishing (metadata and country data).</w:t>
      </w:r>
      <w:r w:rsidRPr="00256C25">
        <w:rPr>
          <w:rFonts w:ascii="Arial" w:hAnsi="Arial" w:cs="Arial"/>
          <w:sz w:val="20"/>
          <w:szCs w:val="20"/>
        </w:rPr>
        <w:t xml:space="preserve"> FAO. </w:t>
      </w:r>
      <w:hyperlink r:id="rId66" w:tgtFrame="_new" w:history="1">
        <w:r w:rsidRPr="00256C25">
          <w:rPr>
            <w:rStyle w:val="Hyperlink"/>
            <w:rFonts w:ascii="Arial" w:hAnsi="Arial" w:cs="Arial"/>
            <w:sz w:val="20"/>
            <w:szCs w:val="20"/>
          </w:rPr>
          <w:t>https://www.fao.org/sustainable-development-goals-data-portal/data/indicators/1461-illegal-unreported-unregulated-fishing/en</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Food and Agriculture Organization of the United Nations, 2025. Policy Support and Governance Gateway</w:t>
      </w:r>
      <w:r w:rsidRPr="00256C25">
        <w:rPr>
          <w:rStyle w:val="Emphasis"/>
          <w:rFonts w:ascii="Arial" w:hAnsi="Arial" w:cs="Arial"/>
          <w:sz w:val="20"/>
          <w:szCs w:val="20"/>
        </w:rPr>
        <w:t>: Cambodia’s fisheries rebound through bold governance reform.</w:t>
      </w:r>
      <w:r w:rsidRPr="00256C25">
        <w:rPr>
          <w:rFonts w:ascii="Arial" w:hAnsi="Arial" w:cs="Arial"/>
          <w:sz w:val="20"/>
          <w:szCs w:val="20"/>
        </w:rPr>
        <w:t xml:space="preserve"> FAO Policy Support. </w:t>
      </w:r>
      <w:hyperlink r:id="rId67" w:tgtFrame="_new" w:history="1">
        <w:r w:rsidRPr="00256C25">
          <w:rPr>
            <w:rStyle w:val="Hyperlink"/>
            <w:rFonts w:ascii="Arial" w:hAnsi="Arial" w:cs="Arial"/>
            <w:sz w:val="20"/>
            <w:szCs w:val="20"/>
          </w:rPr>
          <w:t>https://www.fao.org/policy-support/news/detail/cambodia-s-fisheries-rebound-through-bold-governance-reform/en</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Fourqurean, J. W., Duarte, C. M., Kennedy, H., et al., 2012. Seagrass ecosystems as globally significant carbon stocks. Nature Geoscience, 5(7), 505–509. </w:t>
      </w:r>
      <w:hyperlink r:id="rId68" w:history="1">
        <w:r w:rsidRPr="00256C25">
          <w:rPr>
            <w:rStyle w:val="Hyperlink"/>
            <w:rFonts w:ascii="Arial" w:hAnsi="Arial" w:cs="Arial"/>
            <w:sz w:val="20"/>
            <w:szCs w:val="20"/>
          </w:rPr>
          <w:t>https://doi.org/10.1038/ngeo1477</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Girkin, N. T., et al., 2022. </w:t>
      </w:r>
      <w:r w:rsidRPr="00256C25">
        <w:rPr>
          <w:rStyle w:val="Emphasis"/>
          <w:rFonts w:ascii="Arial" w:hAnsi="Arial" w:cs="Arial"/>
          <w:sz w:val="20"/>
          <w:szCs w:val="20"/>
        </w:rPr>
        <w:t>Tropical peatlands in the Anthropocene: The present and the future.</w:t>
      </w:r>
      <w:r w:rsidRPr="00256C25">
        <w:rPr>
          <w:rFonts w:ascii="Arial" w:hAnsi="Arial" w:cs="Arial"/>
          <w:sz w:val="20"/>
          <w:szCs w:val="20"/>
        </w:rPr>
        <w:t xml:space="preserve"> </w:t>
      </w:r>
      <w:hyperlink r:id="rId69" w:tgtFrame="_new" w:history="1">
        <w:r w:rsidRPr="00256C25">
          <w:rPr>
            <w:rStyle w:val="Hyperlink"/>
            <w:rFonts w:ascii="Arial" w:hAnsi="Arial" w:cs="Arial"/>
            <w:sz w:val="20"/>
            <w:szCs w:val="20"/>
          </w:rPr>
          <w:t>https://research-portal.st-andrews.ac.uk/files/282360347/Girkin_2022_Anthropocene_Tropical_peatlands_CC.pdf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Girkin, N. T., Lo, V., Quoi, L. P., &amp; Visal, S. (2022). Blue carbon ecosystems and fish biodiversity in the Gulf of Thailand. </w:t>
      </w:r>
      <w:r w:rsidRPr="00256C25">
        <w:rPr>
          <w:rStyle w:val="Emphasis"/>
          <w:rFonts w:ascii="Arial" w:hAnsi="Arial" w:cs="Arial"/>
          <w:sz w:val="20"/>
          <w:szCs w:val="20"/>
        </w:rPr>
        <w:t>Marine Ecology Progress Series, 687</w:t>
      </w:r>
      <w:r w:rsidRPr="00256C25">
        <w:rPr>
          <w:rFonts w:ascii="Arial" w:hAnsi="Arial" w:cs="Arial"/>
          <w:sz w:val="20"/>
          <w:szCs w:val="20"/>
        </w:rPr>
        <w:t>, 49–62. https://doi.org/10.3354/meps14083</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GIZ, 2024. Baseline study on microplastics in ASEAN. </w:t>
      </w:r>
      <w:hyperlink r:id="rId70" w:history="1">
        <w:r w:rsidRPr="00256C25">
          <w:rPr>
            <w:rStyle w:val="Hyperlink"/>
            <w:rFonts w:ascii="Arial" w:hAnsi="Arial" w:cs="Arial"/>
            <w:sz w:val="20"/>
            <w:szCs w:val="20"/>
          </w:rPr>
          <w:t>https://www.giz.de/en/downloads/giz2024-en-baseline-study-on-microplastics.pdf</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Global Alliance Against Hunger and Poverty. (2023). Cambodia: Cash Transfer for the Poor and Vulnerable Households During COVID-19 (CTP-COVID). </w:t>
      </w:r>
      <w:hyperlink r:id="rId71" w:history="1">
        <w:r w:rsidRPr="00256C25">
          <w:rPr>
            <w:rStyle w:val="Hyperlink"/>
            <w:rFonts w:ascii="Arial" w:hAnsi="Arial" w:cs="Arial"/>
            <w:sz w:val="20"/>
            <w:szCs w:val="20"/>
          </w:rPr>
          <w:t>https://globalallianceagainsthungerandpoverty.org/country-example/cambodia-cash-transfer-for-the-poor-and-vulnerable-households-during-covid-19-ctp-covid/</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Global Data Lab, 2025. Subnational Human Development Index (SHDI) database: Cambodia. </w:t>
      </w:r>
      <w:hyperlink r:id="rId72" w:history="1">
        <w:r w:rsidRPr="00256C25">
          <w:rPr>
            <w:rStyle w:val="Hyperlink"/>
            <w:rFonts w:ascii="Arial" w:hAnsi="Arial" w:cs="Arial"/>
            <w:sz w:val="20"/>
            <w:szCs w:val="20"/>
          </w:rPr>
          <w:t>https://globaldatalab.org/shdi/table/shdi/KHM/</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Global Environment Facility (GEF), 2023. </w:t>
      </w:r>
      <w:r w:rsidRPr="00256C25">
        <w:rPr>
          <w:rStyle w:val="Emphasis"/>
          <w:rFonts w:ascii="Arial" w:hAnsi="Arial" w:cs="Arial"/>
          <w:sz w:val="20"/>
          <w:szCs w:val="20"/>
        </w:rPr>
        <w:t>Promoting the blue economy and strengthening fisheries governance of the Gulf of Thailand through the Ecosystem Approach to Fisheries (GoTFish).</w:t>
      </w:r>
      <w:r w:rsidRPr="00256C25">
        <w:rPr>
          <w:rFonts w:ascii="Arial" w:hAnsi="Arial" w:cs="Arial"/>
          <w:sz w:val="20"/>
          <w:szCs w:val="20"/>
        </w:rPr>
        <w:t xml:space="preserve"> Global Environment Facility. </w:t>
      </w:r>
      <w:hyperlink r:id="rId73" w:tgtFrame="_new" w:history="1">
        <w:r w:rsidRPr="00256C25">
          <w:rPr>
            <w:rStyle w:val="Hyperlink"/>
            <w:rFonts w:ascii="Arial" w:hAnsi="Arial" w:cs="Arial"/>
            <w:sz w:val="20"/>
            <w:szCs w:val="20"/>
          </w:rPr>
          <w:t>https://www.thegef.org/projects-operations/projects/10703</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Global Water Partnership – Southeast Asia, 2023. </w:t>
      </w:r>
      <w:r w:rsidRPr="00256C25">
        <w:rPr>
          <w:rStyle w:val="Emphasis"/>
          <w:rFonts w:ascii="Arial" w:hAnsi="Arial" w:cs="Arial"/>
          <w:sz w:val="20"/>
          <w:szCs w:val="20"/>
        </w:rPr>
        <w:t>Result from the 2023 SDG 6.5.1 Stakeholder Consultation Process in Cambodia.</w:t>
      </w:r>
      <w:r w:rsidRPr="00256C25">
        <w:rPr>
          <w:rFonts w:ascii="Arial" w:hAnsi="Arial" w:cs="Arial"/>
          <w:sz w:val="20"/>
          <w:szCs w:val="20"/>
        </w:rPr>
        <w:t xml:space="preserve"> Global Water Partnership. </w:t>
      </w:r>
      <w:hyperlink r:id="rId74" w:history="1">
        <w:r w:rsidRPr="00256C25">
          <w:rPr>
            <w:rStyle w:val="Hyperlink"/>
            <w:rFonts w:ascii="Arial" w:hAnsi="Arial" w:cs="Arial"/>
            <w:sz w:val="20"/>
            <w:szCs w:val="20"/>
          </w:rPr>
          <w:t>https://www.gwp.org/en/GWP-South-East-Asia/WE-ACT/keep-updated/News-and-Activities/2023/result-from-the-2023-sdg-6.5.1-stakeholder-consultation-process-in-cambodia/</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Government of Cambodia (RGC), 2025. Cambodia’s Nationally Determined Contribution 3.0. UNFCCC. https://unfccc.int/sites/default/files/2025-08/Cambodia-NDC%203.0_0.pdf</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ICON-INSTITUT GmbH, 2023. Desk study of the nexus on climate, nutrition and social security in Cambodia. Bonn: GIZ. Retrieved from </w:t>
      </w:r>
      <w:hyperlink r:id="rId75" w:history="1">
        <w:r w:rsidRPr="00256C25">
          <w:rPr>
            <w:rStyle w:val="Hyperlink"/>
            <w:rFonts w:ascii="Arial" w:hAnsi="Arial" w:cs="Arial"/>
            <w:sz w:val="20"/>
            <w:szCs w:val="20"/>
          </w:rPr>
          <w:t>https://www.giz.de/de/downloads/giz2023-en-study-cambodia-climate-nutrition-social-security.pdf</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Intergovernmental Panel on Climate Change, 2021–2022. Sixth Assessment Report (AR6): Regional fact sheets and WGII Chapter 10—Asia. </w:t>
      </w:r>
      <w:hyperlink r:id="rId76" w:history="1">
        <w:r w:rsidRPr="00256C25">
          <w:rPr>
            <w:rStyle w:val="Hyperlink"/>
            <w:rFonts w:ascii="Arial" w:hAnsi="Arial" w:cs="Arial"/>
            <w:sz w:val="20"/>
            <w:szCs w:val="20"/>
          </w:rPr>
          <w:t>https://www.ipcc.ch/assessment-report/ar6/</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International Maritime Organization, 2023a. </w:t>
      </w:r>
      <w:r w:rsidRPr="00256C25">
        <w:rPr>
          <w:rStyle w:val="Emphasis"/>
          <w:rFonts w:ascii="Arial" w:hAnsi="Arial" w:cs="Arial"/>
          <w:sz w:val="20"/>
          <w:szCs w:val="20"/>
        </w:rPr>
        <w:t>Member states – Status and regional preparedness context.</w:t>
      </w:r>
      <w:r w:rsidRPr="00256C25">
        <w:rPr>
          <w:rFonts w:ascii="Arial" w:hAnsi="Arial" w:cs="Arial"/>
          <w:sz w:val="20"/>
          <w:szCs w:val="20"/>
        </w:rPr>
        <w:t xml:space="preserve"> International Maritime Organization. </w:t>
      </w:r>
      <w:hyperlink r:id="rId77" w:tgtFrame="_new" w:history="1">
        <w:r w:rsidRPr="00256C25">
          <w:rPr>
            <w:rStyle w:val="Hyperlink"/>
            <w:rFonts w:ascii="Arial" w:hAnsi="Arial" w:cs="Arial"/>
            <w:sz w:val="20"/>
            <w:szCs w:val="20"/>
          </w:rPr>
          <w:t>https://www.imo.org/en/ourwork/ero/pages/memberstates.aspx</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International Maritime Organization, 2023b. </w:t>
      </w:r>
      <w:r w:rsidRPr="00256C25">
        <w:rPr>
          <w:rStyle w:val="Emphasis"/>
          <w:rFonts w:ascii="Arial" w:hAnsi="Arial" w:cs="Arial"/>
          <w:sz w:val="20"/>
          <w:szCs w:val="20"/>
        </w:rPr>
        <w:t>Towards a national oil spill contingency plan for Cambodia.</w:t>
      </w:r>
      <w:r w:rsidRPr="00256C25">
        <w:rPr>
          <w:rFonts w:ascii="Arial" w:hAnsi="Arial" w:cs="Arial"/>
          <w:sz w:val="20"/>
          <w:szCs w:val="20"/>
        </w:rPr>
        <w:t xml:space="preserve"> International Maritime Organization. </w:t>
      </w:r>
      <w:hyperlink r:id="rId78" w:tgtFrame="_new" w:history="1">
        <w:r w:rsidRPr="00256C25">
          <w:rPr>
            <w:rStyle w:val="Hyperlink"/>
            <w:rFonts w:ascii="Arial" w:hAnsi="Arial" w:cs="Arial"/>
            <w:sz w:val="20"/>
            <w:szCs w:val="20"/>
          </w:rPr>
          <w:t>https://www.imo.org/en/MediaCentre/Pages/WhatsNew-1987.aspx</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International Monetary Fund, 2025a. </w:t>
      </w:r>
      <w:r w:rsidRPr="00256C25">
        <w:rPr>
          <w:rStyle w:val="Emphasis"/>
          <w:rFonts w:ascii="Arial" w:hAnsi="Arial" w:cs="Arial"/>
          <w:sz w:val="20"/>
          <w:szCs w:val="20"/>
        </w:rPr>
        <w:t>Cambodia – Country profile (IMF DataMapper).</w:t>
      </w:r>
      <w:r w:rsidRPr="00256C25">
        <w:rPr>
          <w:rFonts w:ascii="Arial" w:hAnsi="Arial" w:cs="Arial"/>
          <w:sz w:val="20"/>
          <w:szCs w:val="20"/>
        </w:rPr>
        <w:t xml:space="preserve"> International Monetary Fund. </w:t>
      </w:r>
      <w:hyperlink r:id="rId79" w:tgtFrame="_new" w:history="1">
        <w:r w:rsidRPr="00256C25">
          <w:rPr>
            <w:rStyle w:val="Hyperlink"/>
            <w:rFonts w:ascii="Arial" w:hAnsi="Arial" w:cs="Arial"/>
            <w:sz w:val="20"/>
            <w:szCs w:val="20"/>
          </w:rPr>
          <w:t>https://www.imf.org/external/datamapper/profile/KHM</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International Monetary Fund, 2025b. </w:t>
      </w:r>
      <w:r w:rsidRPr="00256C25">
        <w:rPr>
          <w:rStyle w:val="Emphasis"/>
          <w:rFonts w:ascii="Arial" w:hAnsi="Arial" w:cs="Arial"/>
          <w:sz w:val="20"/>
          <w:szCs w:val="20"/>
        </w:rPr>
        <w:t>World economic outlook database: General government gross debt (% of GDP), Cambodia.</w:t>
      </w:r>
      <w:r w:rsidRPr="00256C25">
        <w:rPr>
          <w:rFonts w:ascii="Arial" w:hAnsi="Arial" w:cs="Arial"/>
          <w:sz w:val="20"/>
          <w:szCs w:val="20"/>
        </w:rPr>
        <w:t xml:space="preserve"> International Monetary Fund. </w:t>
      </w:r>
      <w:hyperlink r:id="rId80" w:history="1">
        <w:r w:rsidRPr="00256C25">
          <w:rPr>
            <w:rStyle w:val="Hyperlink"/>
            <w:rFonts w:ascii="Arial" w:hAnsi="Arial" w:cs="Arial"/>
            <w:sz w:val="20"/>
            <w:szCs w:val="20"/>
          </w:rPr>
          <w:t>https://www.imf.org/external/datamapper/GGXWDG_NGDP@WEO/OEMDC/ADVEC/WEOWORLD/KHM</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International Tanker Owners Pollution Federation, 2019. </w:t>
      </w:r>
      <w:r w:rsidRPr="00256C25">
        <w:rPr>
          <w:rStyle w:val="Emphasis"/>
          <w:rFonts w:ascii="Arial" w:hAnsi="Arial" w:cs="Arial"/>
          <w:sz w:val="20"/>
          <w:szCs w:val="20"/>
        </w:rPr>
        <w:t>Country &amp; Territory profile – Cambodia.</w:t>
      </w:r>
      <w:r w:rsidRPr="00256C25">
        <w:rPr>
          <w:rFonts w:ascii="Arial" w:hAnsi="Arial" w:cs="Arial"/>
          <w:sz w:val="20"/>
          <w:szCs w:val="20"/>
        </w:rPr>
        <w:t xml:space="preserve"> ITOPF. </w:t>
      </w:r>
      <w:hyperlink r:id="rId81" w:tgtFrame="_new" w:history="1">
        <w:r w:rsidRPr="00256C25">
          <w:rPr>
            <w:rStyle w:val="Hyperlink"/>
            <w:rFonts w:ascii="Arial" w:hAnsi="Arial" w:cs="Arial"/>
            <w:sz w:val="20"/>
            <w:szCs w:val="20"/>
          </w:rPr>
          <w:t>https://www.itopf.org/fileadmin/uploads/itopf/data/Documents/Country_Profiles/cambodia.pdf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International Union for Conservation of Nature, 2025. </w:t>
      </w:r>
      <w:r w:rsidRPr="00256C25">
        <w:rPr>
          <w:rStyle w:val="Emphasis"/>
          <w:rFonts w:ascii="Arial" w:hAnsi="Arial" w:cs="Arial"/>
          <w:sz w:val="20"/>
          <w:szCs w:val="20"/>
        </w:rPr>
        <w:t>Strengthening marine protected areas in Dong Peng multiple-use area, Cambodia.</w:t>
      </w:r>
      <w:r w:rsidRPr="00256C25">
        <w:rPr>
          <w:rFonts w:ascii="Arial" w:hAnsi="Arial" w:cs="Arial"/>
          <w:sz w:val="20"/>
          <w:szCs w:val="20"/>
        </w:rPr>
        <w:t xml:space="preserve"> IUCN. </w:t>
      </w:r>
      <w:hyperlink r:id="rId82" w:history="1">
        <w:r w:rsidRPr="00256C25">
          <w:rPr>
            <w:rStyle w:val="Hyperlink"/>
            <w:rFonts w:ascii="Arial" w:hAnsi="Arial" w:cs="Arial"/>
            <w:sz w:val="20"/>
            <w:szCs w:val="20"/>
          </w:rPr>
          <w:t>https://www.iucn.org/node/43953</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IPCC, 2022. AR6 WGII – Chapter 10: Asia. Climate Change 2022: Impacts, Adaptation and Vulnerability. Contribution of Working Group II to the Sixth Assessment Report. Cambridge University Press, UK and New York, NY, USA, pp. 1457–1579 </w:t>
      </w:r>
      <w:hyperlink r:id="rId83" w:history="1">
        <w:r w:rsidRPr="00256C25">
          <w:rPr>
            <w:rStyle w:val="Hyperlink"/>
            <w:rFonts w:ascii="Arial" w:hAnsi="Arial" w:cs="Arial"/>
            <w:sz w:val="20"/>
            <w:szCs w:val="20"/>
          </w:rPr>
          <w:t>https://www.ipcc.ch/report/ar6/wg2/chapter/chapter-10/</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Islam, M. M., et al., 2021. Pandemic, food systems, and resilience: COVID-19 impacts on aquatic foods. </w:t>
      </w:r>
      <w:r w:rsidRPr="00256C25">
        <w:rPr>
          <w:rStyle w:val="Emphasis"/>
          <w:rFonts w:ascii="Arial" w:hAnsi="Arial" w:cs="Arial"/>
          <w:sz w:val="20"/>
          <w:szCs w:val="20"/>
        </w:rPr>
        <w:t>Global Food Security, 28</w:t>
      </w:r>
      <w:r w:rsidRPr="00256C25">
        <w:rPr>
          <w:rFonts w:ascii="Arial" w:hAnsi="Arial" w:cs="Arial"/>
          <w:sz w:val="20"/>
          <w:szCs w:val="20"/>
        </w:rPr>
        <w:t xml:space="preserve">, 100468. </w:t>
      </w:r>
      <w:hyperlink r:id="rId84" w:tgtFrame="_new" w:history="1">
        <w:r w:rsidRPr="00256C25">
          <w:rPr>
            <w:rStyle w:val="Hyperlink"/>
            <w:rFonts w:ascii="Arial" w:hAnsi="Arial" w:cs="Arial"/>
            <w:sz w:val="20"/>
            <w:szCs w:val="20"/>
          </w:rPr>
          <w:t>https://doi.org/10.1016/j.gfs.2021.100468</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IUCN, 2017. </w:t>
      </w:r>
      <w:r w:rsidRPr="00256C25">
        <w:rPr>
          <w:rStyle w:val="Emphasis"/>
          <w:rFonts w:ascii="Arial" w:hAnsi="Arial" w:cs="Arial"/>
          <w:sz w:val="20"/>
          <w:szCs w:val="20"/>
        </w:rPr>
        <w:t>Planning for the future of Peam Krasop Wildlife Sanctuary.</w:t>
      </w:r>
      <w:r w:rsidRPr="00256C25">
        <w:rPr>
          <w:rFonts w:ascii="Arial" w:hAnsi="Arial" w:cs="Arial"/>
          <w:sz w:val="20"/>
          <w:szCs w:val="20"/>
        </w:rPr>
        <w:t xml:space="preserve"> </w:t>
      </w:r>
      <w:hyperlink r:id="rId85" w:tgtFrame="_new" w:history="1">
        <w:r w:rsidRPr="00256C25">
          <w:rPr>
            <w:rStyle w:val="Hyperlink"/>
            <w:rFonts w:ascii="Arial" w:hAnsi="Arial" w:cs="Arial"/>
            <w:sz w:val="20"/>
            <w:szCs w:val="20"/>
          </w:rPr>
          <w:t>https://iucn.org/news/cambodia/201711/planning-future-peam-krasop-wildlife-sanctuary</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Japan International Cooperation Agency, 2010. </w:t>
      </w:r>
      <w:r w:rsidRPr="00256C25">
        <w:rPr>
          <w:rStyle w:val="Emphasis"/>
          <w:rFonts w:ascii="Arial" w:hAnsi="Arial" w:cs="Arial"/>
          <w:sz w:val="20"/>
          <w:szCs w:val="20"/>
        </w:rPr>
        <w:t xml:space="preserve">The study on national integrated strategy of coastal area and master plan of Sihanouk-ville for sustainable development. </w:t>
      </w:r>
      <w:hyperlink r:id="rId86" w:history="1">
        <w:r w:rsidRPr="00256C25">
          <w:rPr>
            <w:rStyle w:val="Hyperlink"/>
            <w:rFonts w:ascii="Arial" w:hAnsi="Arial" w:cs="Arial"/>
            <w:sz w:val="20"/>
            <w:szCs w:val="20"/>
          </w:rPr>
          <w:t>https://openjicareport.jica.go.jp/pdf/12008819.pdf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Japan International Cooperation Agency, 2015. </w:t>
      </w:r>
      <w:r w:rsidRPr="00256C25">
        <w:rPr>
          <w:rStyle w:val="Emphasis"/>
          <w:rFonts w:ascii="Arial" w:hAnsi="Arial" w:cs="Arial"/>
          <w:sz w:val="20"/>
          <w:szCs w:val="20"/>
        </w:rPr>
        <w:t>Data collection survey on water environment improvement in Phnom Penh.</w:t>
      </w:r>
      <w:r w:rsidRPr="00256C25">
        <w:rPr>
          <w:rFonts w:ascii="Arial" w:hAnsi="Arial" w:cs="Arial"/>
          <w:sz w:val="20"/>
          <w:szCs w:val="20"/>
        </w:rPr>
        <w:t xml:space="preserve"> JICA.</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Japan International Cooperation Agency, 2016b. </w:t>
      </w:r>
      <w:r w:rsidRPr="00256C25">
        <w:rPr>
          <w:rStyle w:val="Emphasis"/>
          <w:rFonts w:ascii="Arial" w:hAnsi="Arial" w:cs="Arial"/>
          <w:sz w:val="20"/>
          <w:szCs w:val="20"/>
        </w:rPr>
        <w:t>The study on drainage and sewerage improvement project in Phnom Penh metropolitan area.</w:t>
      </w:r>
      <w:r w:rsidRPr="00256C25">
        <w:rPr>
          <w:rFonts w:ascii="Arial" w:hAnsi="Arial" w:cs="Arial"/>
          <w:sz w:val="20"/>
          <w:szCs w:val="20"/>
        </w:rPr>
        <w:t xml:space="preserve"> JICA. </w:t>
      </w:r>
      <w:hyperlink r:id="rId87" w:history="1">
        <w:r w:rsidRPr="00256C25">
          <w:rPr>
            <w:rStyle w:val="Hyperlink"/>
            <w:rFonts w:ascii="Arial" w:hAnsi="Arial" w:cs="Arial"/>
            <w:sz w:val="20"/>
            <w:szCs w:val="20"/>
          </w:rPr>
          <w:t>https://openjicareport.jica.go.jp/pdf/12270294_01.pdf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Japan International Cooperation Agency, 2016c. </w:t>
      </w:r>
      <w:r w:rsidRPr="00256C25">
        <w:rPr>
          <w:rStyle w:val="Emphasis"/>
          <w:rFonts w:ascii="Arial" w:hAnsi="Arial" w:cs="Arial"/>
          <w:sz w:val="20"/>
          <w:szCs w:val="20"/>
        </w:rPr>
        <w:t>The project for sewerage system development in Phnom Penh (Tumpun and Trabek areas): Final report.</w:t>
      </w:r>
      <w:r w:rsidRPr="00256C25">
        <w:rPr>
          <w:rFonts w:ascii="Arial" w:hAnsi="Arial" w:cs="Arial"/>
          <w:sz w:val="20"/>
          <w:szCs w:val="20"/>
        </w:rPr>
        <w:t xml:space="preserve"> JICA.</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Karamba, W., &amp; Tong, K., 2022. Cambodia poverty assessment: Toward a more inclusive and resilient Cambodia. Washington, DC: International Bank for Reconstruction and Development / The World Bank. </w:t>
      </w:r>
      <w:hyperlink r:id="rId88" w:history="1">
        <w:r w:rsidRPr="00256C25">
          <w:rPr>
            <w:rStyle w:val="Hyperlink"/>
            <w:rFonts w:ascii="Arial" w:hAnsi="Arial" w:cs="Arial"/>
            <w:sz w:val="20"/>
            <w:szCs w:val="20"/>
          </w:rPr>
          <w:t>https://documents1.worldbank.org/curated/en/099155111222239793/pdf/P1735940c0e8b508d0b80e0c7375c89d9c0.pdf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Khmer Times / Marine Conservation Cambodia (MCC). (2025, Sept 3). Positive signs for dugongs with a new feeding trail in Cambodia’s seagrass beds. </w:t>
      </w:r>
      <w:hyperlink r:id="rId89" w:history="1">
        <w:r w:rsidRPr="00256C25">
          <w:rPr>
            <w:rStyle w:val="Hyperlink"/>
            <w:rFonts w:ascii="Arial" w:hAnsi="Arial" w:cs="Arial"/>
            <w:sz w:val="20"/>
            <w:szCs w:val="20"/>
          </w:rPr>
          <w:t>https://www.khmertimeskh.com/501750614/positive-signs-for-dugongs-with-a-new-feeding-trail-in-cambodias-seagrass-beds/</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Khmer Times, 2025, February 10. </w:t>
      </w:r>
      <w:r w:rsidRPr="00256C25">
        <w:rPr>
          <w:rStyle w:val="Emphasis"/>
          <w:rFonts w:ascii="Arial" w:hAnsi="Arial" w:cs="Arial"/>
          <w:sz w:val="20"/>
          <w:szCs w:val="20"/>
        </w:rPr>
        <w:t>Swimming suspended at a Sihanoukville beach after oil spill.</w:t>
      </w:r>
      <w:r w:rsidRPr="00256C25">
        <w:rPr>
          <w:rFonts w:ascii="Arial" w:hAnsi="Arial" w:cs="Arial"/>
          <w:sz w:val="20"/>
          <w:szCs w:val="20"/>
        </w:rPr>
        <w:t xml:space="preserve"> </w:t>
      </w:r>
      <w:hyperlink r:id="rId90" w:history="1">
        <w:r w:rsidRPr="00256C25">
          <w:rPr>
            <w:rStyle w:val="Hyperlink"/>
            <w:rFonts w:ascii="Arial" w:hAnsi="Arial" w:cs="Arial"/>
            <w:sz w:val="20"/>
            <w:szCs w:val="20"/>
          </w:rPr>
          <w:t>https://www.khmertimeskh.com/501633412/swimming-suspended-at-prek-treng-beach-after-oil-spill/</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Khmer Times, 2025. </w:t>
      </w:r>
      <w:r w:rsidRPr="00256C25">
        <w:rPr>
          <w:rStyle w:val="Emphasis"/>
          <w:rFonts w:ascii="Arial" w:hAnsi="Arial" w:cs="Arial"/>
          <w:sz w:val="20"/>
          <w:szCs w:val="20"/>
        </w:rPr>
        <w:t>12,500 mangrove saplings planted in Chumpou Khmao.</w:t>
      </w:r>
      <w:r w:rsidRPr="00256C25">
        <w:rPr>
          <w:rFonts w:ascii="Arial" w:hAnsi="Arial" w:cs="Arial"/>
          <w:sz w:val="20"/>
          <w:szCs w:val="20"/>
        </w:rPr>
        <w:t xml:space="preserve"> </w:t>
      </w:r>
      <w:hyperlink r:id="rId91" w:tgtFrame="_new" w:history="1">
        <w:r w:rsidRPr="00256C25">
          <w:rPr>
            <w:rStyle w:val="Hyperlink"/>
            <w:rFonts w:ascii="Arial" w:hAnsi="Arial" w:cs="Arial"/>
            <w:sz w:val="20"/>
            <w:szCs w:val="20"/>
          </w:rPr>
          <w:t>https://www.khmertimeskh.com/501674712/12500-mangrove-saplings-planted-in-chumpou-khmao-fishing-community-prey-nup-district/</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Khmer Times. (2016, March 30). </w:t>
      </w:r>
      <w:r w:rsidRPr="00256C25">
        <w:rPr>
          <w:rStyle w:val="Emphasis"/>
          <w:rFonts w:ascii="Arial" w:hAnsi="Arial" w:cs="Arial"/>
          <w:sz w:val="20"/>
          <w:szCs w:val="20"/>
        </w:rPr>
        <w:t>Algal bloom threatens Kep’s tourism and fisheries.</w:t>
      </w:r>
      <w:r w:rsidRPr="00256C25">
        <w:rPr>
          <w:rFonts w:ascii="Arial" w:hAnsi="Arial" w:cs="Arial"/>
          <w:sz w:val="20"/>
          <w:szCs w:val="20"/>
        </w:rPr>
        <w:t xml:space="preserve"> </w:t>
      </w:r>
      <w:hyperlink r:id="rId92" w:history="1">
        <w:r w:rsidRPr="00256C25">
          <w:rPr>
            <w:rStyle w:val="Hyperlink"/>
            <w:rFonts w:ascii="Arial" w:hAnsi="Arial" w:cs="Arial"/>
            <w:sz w:val="20"/>
            <w:szCs w:val="20"/>
          </w:rPr>
          <w:t>https://www.khmertimeskh.com/24078/algae-bloom-was-natural-says-ministry/</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rPr>
          <w:rFonts w:ascii="Arial" w:hAnsi="Arial" w:cs="Arial"/>
          <w:sz w:val="20"/>
          <w:szCs w:val="20"/>
        </w:rPr>
      </w:pPr>
      <w:r w:rsidRPr="00256C25">
        <w:rPr>
          <w:rFonts w:ascii="Arial" w:hAnsi="Arial" w:cs="Arial"/>
          <w:sz w:val="20"/>
          <w:szCs w:val="20"/>
        </w:rPr>
        <w:t xml:space="preserve">Kiripost, 2025, February 11. </w:t>
      </w:r>
      <w:r w:rsidRPr="00256C25">
        <w:rPr>
          <w:rStyle w:val="Emphasis"/>
          <w:rFonts w:ascii="Arial" w:hAnsi="Arial" w:cs="Arial"/>
          <w:sz w:val="20"/>
          <w:szCs w:val="20"/>
        </w:rPr>
        <w:t xml:space="preserve">Prek Treng Beach Covered in 2,000 Litres of Leaked Oil. </w:t>
      </w:r>
      <w:hyperlink r:id="rId93" w:history="1">
        <w:r w:rsidRPr="00256C25">
          <w:rPr>
            <w:rStyle w:val="Hyperlink"/>
            <w:rFonts w:ascii="Arial" w:hAnsi="Arial" w:cs="Arial"/>
            <w:sz w:val="20"/>
            <w:szCs w:val="20"/>
          </w:rPr>
          <w:t>https://kiripost.com/stories/prek-treng-beach-covered-in-2000-litres-of-leaked-oil</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Korea Development Institute, 2021. </w:t>
      </w:r>
      <w:r w:rsidRPr="00256C25">
        <w:rPr>
          <w:rStyle w:val="Emphasis"/>
          <w:rFonts w:ascii="Arial" w:hAnsi="Arial" w:cs="Arial"/>
          <w:sz w:val="20"/>
          <w:szCs w:val="20"/>
        </w:rPr>
        <w:t>Industrial waste management policy consultation for Cambodia.</w:t>
      </w:r>
      <w:r w:rsidRPr="00256C25">
        <w:rPr>
          <w:rFonts w:ascii="Arial" w:hAnsi="Arial" w:cs="Arial"/>
          <w:sz w:val="20"/>
          <w:szCs w:val="20"/>
        </w:rPr>
        <w:t xml:space="preserve"> Knowledge Sharing Program (KSP), Republic of Korea.</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Lo, E., Quoi, L., &amp; Visal, S. (2018). Peat-forming mangroves of Botum Sakor: Ecology, carbon and management implications. Royal University of Phnom Penh &amp; partners.</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Lo, V. C., Quoi, L. P., &amp; Visal, S., 2018. </w:t>
      </w:r>
      <w:r w:rsidRPr="00256C25">
        <w:rPr>
          <w:rStyle w:val="Emphasis"/>
          <w:rFonts w:ascii="Arial" w:hAnsi="Arial" w:cs="Arial"/>
          <w:sz w:val="20"/>
          <w:szCs w:val="20"/>
        </w:rPr>
        <w:t>Some preliminary observations on peat-forming mangroves in Botum Sakor, Cambodia.</w:t>
      </w:r>
      <w:r w:rsidRPr="00256C25">
        <w:rPr>
          <w:rFonts w:ascii="Arial" w:hAnsi="Arial" w:cs="Arial"/>
          <w:sz w:val="20"/>
          <w:szCs w:val="20"/>
        </w:rPr>
        <w:t xml:space="preserve"> </w:t>
      </w:r>
      <w:r w:rsidRPr="00256C25">
        <w:rPr>
          <w:rStyle w:val="Strong"/>
          <w:rFonts w:ascii="Arial" w:hAnsi="Arial" w:cs="Arial"/>
          <w:sz w:val="20"/>
          <w:szCs w:val="20"/>
        </w:rPr>
        <w:t>Mires and Peat</w:t>
      </w:r>
      <w:r w:rsidRPr="00256C25">
        <w:rPr>
          <w:rFonts w:ascii="Arial" w:hAnsi="Arial" w:cs="Arial"/>
          <w:sz w:val="20"/>
          <w:szCs w:val="20"/>
        </w:rPr>
        <w:t xml:space="preserve">. </w:t>
      </w:r>
      <w:hyperlink r:id="rId94" w:tgtFrame="_new" w:history="1">
        <w:r w:rsidRPr="00256C25">
          <w:rPr>
            <w:rStyle w:val="Hyperlink"/>
            <w:rFonts w:ascii="Arial" w:hAnsi="Arial" w:cs="Arial"/>
            <w:sz w:val="20"/>
            <w:szCs w:val="20"/>
          </w:rPr>
          <w:t>https://www.mires-and-peat.net/article/128945.pdf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Ly, P., et al. (2023). </w:t>
      </w:r>
      <w:r w:rsidRPr="00256C25">
        <w:rPr>
          <w:rStyle w:val="Emphasis"/>
          <w:rFonts w:ascii="Arial" w:hAnsi="Arial" w:cs="Arial"/>
          <w:sz w:val="20"/>
          <w:szCs w:val="20"/>
        </w:rPr>
        <w:t>Socioeconomic dependence in Koh Kapik reserve</w:t>
      </w:r>
      <w:r w:rsidRPr="00256C25">
        <w:rPr>
          <w:rFonts w:ascii="Arial" w:hAnsi="Arial" w:cs="Arial"/>
          <w:sz w:val="20"/>
          <w:szCs w:val="20"/>
        </w:rPr>
        <w:t xml:space="preserve"> (as cited in RIS &amp; local assessments). (See RIS 2012.)</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MaFReDI, 2023. </w:t>
      </w:r>
      <w:r w:rsidRPr="00256C25">
        <w:rPr>
          <w:rStyle w:val="Emphasis"/>
          <w:rFonts w:ascii="Arial" w:hAnsi="Arial" w:cs="Arial"/>
          <w:sz w:val="20"/>
          <w:szCs w:val="20"/>
        </w:rPr>
        <w:t>Catch Monitoring Survey at Marine Landing Sites, Cambodia (June 2023).</w:t>
      </w:r>
      <w:r w:rsidRPr="00256C25">
        <w:rPr>
          <w:rFonts w:ascii="Arial" w:hAnsi="Arial" w:cs="Arial"/>
          <w:sz w:val="20"/>
          <w:szCs w:val="20"/>
        </w:rPr>
        <w:t xml:space="preserve"> Phnom Penh: MAFF.</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Mangrove Alliance, 2025. </w:t>
      </w:r>
      <w:r w:rsidRPr="00256C25">
        <w:rPr>
          <w:rStyle w:val="Emphasis"/>
          <w:rFonts w:ascii="Arial" w:hAnsi="Arial" w:cs="Arial"/>
          <w:sz w:val="20"/>
          <w:szCs w:val="20"/>
        </w:rPr>
        <w:t>Blue carbon assessment: Case study—Prey Nup/Prek Kampong Smach MFMA.</w:t>
      </w:r>
      <w:r w:rsidRPr="00256C25">
        <w:rPr>
          <w:rFonts w:ascii="Arial" w:hAnsi="Arial" w:cs="Arial"/>
          <w:sz w:val="20"/>
          <w:szCs w:val="20"/>
        </w:rPr>
        <w:t xml:space="preserve"> </w:t>
      </w:r>
      <w:hyperlink r:id="rId95" w:tgtFrame="_new" w:history="1">
        <w:r w:rsidRPr="00256C25">
          <w:rPr>
            <w:rStyle w:val="Hyperlink"/>
            <w:rFonts w:ascii="Arial" w:hAnsi="Arial" w:cs="Arial"/>
            <w:sz w:val="20"/>
            <w:szCs w:val="20"/>
          </w:rPr>
          <w:t>https://www.mangrovealliance.org/wp-content/uploads/2025/01/Blue-Carbon-Assessment-Cambodia-Report-Case-Study-1.pdf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Marine Conservation Cambodia, 2022. </w:t>
      </w:r>
      <w:r w:rsidRPr="00256C25">
        <w:rPr>
          <w:rStyle w:val="Emphasis"/>
          <w:rFonts w:ascii="Arial" w:hAnsi="Arial" w:cs="Arial"/>
          <w:sz w:val="20"/>
          <w:szCs w:val="20"/>
        </w:rPr>
        <w:t>Kep archipelago marine fisheries management area (MFMA): Zoning and management.</w:t>
      </w:r>
      <w:r w:rsidRPr="00256C25">
        <w:rPr>
          <w:rFonts w:ascii="Arial" w:hAnsi="Arial" w:cs="Arial"/>
          <w:sz w:val="20"/>
          <w:szCs w:val="20"/>
        </w:rPr>
        <w:t xml:space="preserve"> Marine Conservation Cambodia. </w:t>
      </w:r>
      <w:hyperlink r:id="rId96" w:tgtFrame="_new" w:history="1">
        <w:r w:rsidRPr="00256C25">
          <w:rPr>
            <w:rStyle w:val="Hyperlink"/>
            <w:rFonts w:ascii="Arial" w:hAnsi="Arial" w:cs="Arial"/>
            <w:sz w:val="20"/>
            <w:szCs w:val="20"/>
          </w:rPr>
          <w:t>https://marineconservationcambodia.org/kep-archipelago-mfma/</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MCC &amp; FAO, 2023. </w:t>
      </w:r>
      <w:r w:rsidRPr="00256C25">
        <w:rPr>
          <w:rStyle w:val="Emphasis"/>
          <w:rFonts w:ascii="Arial" w:hAnsi="Arial" w:cs="Arial"/>
          <w:sz w:val="20"/>
          <w:szCs w:val="20"/>
        </w:rPr>
        <w:t>Kep–Kampot marine habitat technical report.</w:t>
      </w:r>
      <w:r w:rsidRPr="00256C25">
        <w:rPr>
          <w:rFonts w:ascii="Arial" w:hAnsi="Arial" w:cs="Arial"/>
          <w:sz w:val="20"/>
          <w:szCs w:val="20"/>
        </w:rPr>
        <w:t xml:space="preserve"> </w:t>
      </w:r>
      <w:hyperlink r:id="rId97" w:tgtFrame="_new" w:history="1">
        <w:r w:rsidRPr="00256C25">
          <w:rPr>
            <w:rStyle w:val="Hyperlink"/>
            <w:rFonts w:ascii="Arial" w:hAnsi="Arial" w:cs="Arial"/>
            <w:sz w:val="20"/>
            <w:szCs w:val="20"/>
          </w:rPr>
          <w:t>https://marineconservationcambodia.org/wp-content/uploads/2023/06/MCCFAO-CAPFISH-Technical-report.pdf</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Mekong River Commission, 2019–2021. Drought and hydrology situation reports [Various issues]. </w:t>
      </w:r>
      <w:hyperlink r:id="rId98" w:history="1">
        <w:r w:rsidRPr="00256C25">
          <w:rPr>
            <w:rStyle w:val="Hyperlink"/>
            <w:rFonts w:ascii="Arial" w:hAnsi="Arial" w:cs="Arial"/>
            <w:sz w:val="20"/>
            <w:szCs w:val="20"/>
          </w:rPr>
          <w:t>https://www.mrcmekong.org/</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Mekong River Commission, 2021. </w:t>
      </w:r>
      <w:r w:rsidRPr="00256C25">
        <w:rPr>
          <w:rStyle w:val="Emphasis"/>
          <w:rFonts w:ascii="Arial" w:hAnsi="Arial" w:cs="Arial"/>
          <w:sz w:val="20"/>
          <w:szCs w:val="20"/>
        </w:rPr>
        <w:t>2018 lower Mekong water quality monitoring report.</w:t>
      </w:r>
      <w:r w:rsidRPr="00256C25">
        <w:rPr>
          <w:rFonts w:ascii="Arial" w:hAnsi="Arial" w:cs="Arial"/>
          <w:sz w:val="20"/>
          <w:szCs w:val="20"/>
        </w:rPr>
        <w:t xml:space="preserve"> MRC Secretariat. </w:t>
      </w:r>
      <w:hyperlink r:id="rId99" w:history="1">
        <w:r w:rsidRPr="00256C25">
          <w:rPr>
            <w:rStyle w:val="Hyperlink"/>
            <w:rFonts w:ascii="Arial" w:hAnsi="Arial" w:cs="Arial"/>
            <w:sz w:val="20"/>
            <w:szCs w:val="20"/>
          </w:rPr>
          <w:t>https://www.mrcmekong.org/?download_document=1&amp;document_id=01KW62YKQ67C25OEWE7FBKPYAIB4UQ6H5F&amp;name=2018-Lower-Mekong-Water-Quality-Monitoring-Report.pdf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Mekong River Commission, 2022. </w:t>
      </w:r>
      <w:r w:rsidRPr="00256C25">
        <w:rPr>
          <w:rStyle w:val="Emphasis"/>
          <w:rFonts w:ascii="Arial" w:hAnsi="Arial" w:cs="Arial"/>
          <w:sz w:val="20"/>
          <w:szCs w:val="20"/>
        </w:rPr>
        <w:t>2019 Lower Mekong Water Quality Monitoring Report.</w:t>
      </w:r>
      <w:r w:rsidRPr="00256C25">
        <w:rPr>
          <w:rFonts w:ascii="Arial" w:hAnsi="Arial" w:cs="Arial"/>
          <w:sz w:val="20"/>
          <w:szCs w:val="20"/>
        </w:rPr>
        <w:t xml:space="preserve"> MRC Secretariat. </w:t>
      </w:r>
      <w:hyperlink r:id="rId100" w:history="1">
        <w:r w:rsidRPr="00256C25">
          <w:rPr>
            <w:rStyle w:val="Hyperlink"/>
            <w:rFonts w:ascii="Arial" w:hAnsi="Arial" w:cs="Arial"/>
            <w:sz w:val="20"/>
            <w:szCs w:val="20"/>
          </w:rPr>
          <w:t>https://www.mrcmekong.org/wp-content/uploads/2024/09/2019-Lower-Mekong-Water-Quality-Monitoring-Report.pdf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Mekong River Commission, 2023. </w:t>
      </w:r>
      <w:r w:rsidRPr="00256C25">
        <w:rPr>
          <w:rStyle w:val="Emphasis"/>
          <w:rFonts w:ascii="Arial" w:hAnsi="Arial" w:cs="Arial"/>
          <w:sz w:val="20"/>
          <w:szCs w:val="20"/>
        </w:rPr>
        <w:t>2021 lower Mekong water quality monitoring report.</w:t>
      </w:r>
      <w:r w:rsidRPr="00256C25">
        <w:rPr>
          <w:rFonts w:ascii="Arial" w:hAnsi="Arial" w:cs="Arial"/>
          <w:sz w:val="20"/>
          <w:szCs w:val="20"/>
        </w:rPr>
        <w:t xml:space="preserve"> MRC Secretariat. </w:t>
      </w:r>
      <w:hyperlink r:id="rId101" w:history="1">
        <w:r w:rsidRPr="00256C25">
          <w:rPr>
            <w:rStyle w:val="Hyperlink"/>
            <w:rFonts w:ascii="Arial" w:hAnsi="Arial" w:cs="Arial"/>
            <w:sz w:val="20"/>
            <w:szCs w:val="20"/>
          </w:rPr>
          <w:t>https://www.mrcmekong.org/wp-content/uploads/2024/11/2021-Water-Quality-Report.pdf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Ministry of Economy and Finance, General Department of Public–Private Partnerships, 2021. </w:t>
      </w:r>
      <w:r w:rsidRPr="00256C25">
        <w:rPr>
          <w:rStyle w:val="Emphasis"/>
          <w:rFonts w:ascii="Arial" w:hAnsi="Arial" w:cs="Arial"/>
          <w:sz w:val="20"/>
          <w:szCs w:val="20"/>
        </w:rPr>
        <w:t>Law on public-private partnerships (English translation).</w:t>
      </w:r>
      <w:r w:rsidRPr="00256C25">
        <w:rPr>
          <w:rFonts w:ascii="Arial" w:hAnsi="Arial" w:cs="Arial"/>
          <w:sz w:val="20"/>
          <w:szCs w:val="20"/>
        </w:rPr>
        <w:t xml:space="preserve"> Royal Government of Cambodia. </w:t>
      </w:r>
      <w:hyperlink r:id="rId102" w:tgtFrame="_new" w:history="1">
        <w:r w:rsidRPr="00256C25">
          <w:rPr>
            <w:rStyle w:val="Hyperlink"/>
            <w:rFonts w:ascii="Arial" w:hAnsi="Arial" w:cs="Arial"/>
            <w:sz w:val="20"/>
            <w:szCs w:val="20"/>
          </w:rPr>
          <w:t>https://cib-cdc.gov.kh/media/2025/04/1.-Law-on-Public-Private-Partnerships-2021-EN.pdf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Ministry of Economy and Finance, General Department of Public–Private Partnerships, 2025. </w:t>
      </w:r>
      <w:r w:rsidRPr="00256C25">
        <w:rPr>
          <w:rStyle w:val="Emphasis"/>
          <w:rFonts w:ascii="Arial" w:hAnsi="Arial" w:cs="Arial"/>
          <w:sz w:val="20"/>
          <w:szCs w:val="20"/>
        </w:rPr>
        <w:t>Public-private partnership project portal: Solicited projects.</w:t>
      </w:r>
      <w:r w:rsidRPr="00256C25">
        <w:rPr>
          <w:rFonts w:ascii="Arial" w:hAnsi="Arial" w:cs="Arial"/>
          <w:sz w:val="20"/>
          <w:szCs w:val="20"/>
        </w:rPr>
        <w:t xml:space="preserve"> Royal Government of Cambodia. </w:t>
      </w:r>
      <w:hyperlink r:id="rId103" w:tgtFrame="_new" w:history="1">
        <w:r w:rsidRPr="00256C25">
          <w:rPr>
            <w:rStyle w:val="Hyperlink"/>
            <w:rFonts w:ascii="Arial" w:hAnsi="Arial" w:cs="Arial"/>
            <w:sz w:val="20"/>
            <w:szCs w:val="20"/>
          </w:rPr>
          <w:t>https://ppp.mef.gov.kh/projects/solicited-projects/list</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Ministry of Environment (MoE) &amp; National Council for Sustainable Development (NCSD), 2022. Cambodia’s Third National Communication (under the United Nations Framework Convention on Climate Change). Phnom Penh: General Directorate of Policy and Strategy, MoE/NCSD. </w:t>
      </w:r>
      <w:hyperlink r:id="rId104" w:history="1">
        <w:r w:rsidRPr="00256C25">
          <w:rPr>
            <w:rStyle w:val="Hyperlink"/>
            <w:rFonts w:ascii="Arial" w:hAnsi="Arial" w:cs="Arial"/>
            <w:sz w:val="20"/>
            <w:szCs w:val="20"/>
          </w:rPr>
          <w:t>https://unfccc.int/sites/default/files/resource/20220921_Third%20National%20Communication_Cambodia.pdf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Ministry of Environment (MoE), 2023. State of the Environment Report 2023. Phnom Penh: MoE.</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Ministry of Environment, &amp; Royal Government of Cambodia, 2018. </w:t>
      </w:r>
      <w:r w:rsidRPr="00256C25">
        <w:rPr>
          <w:rStyle w:val="Emphasis"/>
          <w:rFonts w:ascii="Arial" w:hAnsi="Arial" w:cs="Arial"/>
          <w:sz w:val="20"/>
          <w:szCs w:val="20"/>
        </w:rPr>
        <w:t>National policy on waste management 2018–2030.</w:t>
      </w:r>
      <w:r w:rsidRPr="00256C25">
        <w:rPr>
          <w:rFonts w:ascii="Arial" w:hAnsi="Arial" w:cs="Arial"/>
          <w:sz w:val="20"/>
          <w:szCs w:val="20"/>
        </w:rPr>
        <w:t xml:space="preserve"> Ministry of Environment.</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Ministry of Environment, &amp; Royal Government of Cambodia, 2023. </w:t>
      </w:r>
      <w:r w:rsidRPr="00256C25">
        <w:rPr>
          <w:rStyle w:val="Emphasis"/>
          <w:rFonts w:ascii="Arial" w:hAnsi="Arial" w:cs="Arial"/>
          <w:sz w:val="20"/>
          <w:szCs w:val="20"/>
        </w:rPr>
        <w:t>National action plan on marine plastic waste management 2023–2030.</w:t>
      </w:r>
      <w:r w:rsidRPr="00256C25">
        <w:rPr>
          <w:rFonts w:ascii="Arial" w:hAnsi="Arial" w:cs="Arial"/>
          <w:sz w:val="20"/>
          <w:szCs w:val="20"/>
        </w:rPr>
        <w:t xml:space="preserve"> Ministry of Environment.</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Ministry of Environment, 2009. </w:t>
      </w:r>
      <w:r w:rsidRPr="00256C25">
        <w:rPr>
          <w:rStyle w:val="Emphasis"/>
          <w:rFonts w:ascii="Arial" w:hAnsi="Arial" w:cs="Arial"/>
          <w:sz w:val="20"/>
          <w:szCs w:val="20"/>
        </w:rPr>
        <w:t>Prakas on water quality standards in public water areas and public sewer (Prakas No. 27).</w:t>
      </w:r>
      <w:r w:rsidRPr="00256C25">
        <w:rPr>
          <w:rFonts w:ascii="Arial" w:hAnsi="Arial" w:cs="Arial"/>
          <w:sz w:val="20"/>
          <w:szCs w:val="20"/>
        </w:rPr>
        <w:t xml:space="preserve"> Royal Government of Cambodia.</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Ministry of Environment, 2017. </w:t>
      </w:r>
      <w:r w:rsidRPr="00256C25">
        <w:rPr>
          <w:rStyle w:val="Emphasis"/>
          <w:rFonts w:ascii="Arial" w:hAnsi="Arial" w:cs="Arial"/>
          <w:sz w:val="20"/>
          <w:szCs w:val="20"/>
        </w:rPr>
        <w:t>National protected area strategic management plan 2017–2031.</w:t>
      </w:r>
      <w:r w:rsidRPr="00256C25">
        <w:rPr>
          <w:rFonts w:ascii="Arial" w:hAnsi="Arial" w:cs="Arial"/>
          <w:sz w:val="20"/>
          <w:szCs w:val="20"/>
        </w:rPr>
        <w:t xml:space="preserve"> Royal Government of Cambodia. </w:t>
      </w:r>
      <w:hyperlink r:id="rId105" w:tgtFrame="_new" w:history="1">
        <w:r w:rsidRPr="00256C25">
          <w:rPr>
            <w:rStyle w:val="Hyperlink"/>
            <w:rFonts w:ascii="Arial" w:hAnsi="Arial" w:cs="Arial"/>
            <w:sz w:val="20"/>
            <w:szCs w:val="20"/>
          </w:rPr>
          <w:t>https://lpr.adb.org/resource/national-protected-area-strategic-management-plan-2017-2031-cambodia</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Ministry of Environment, 2018. </w:t>
      </w:r>
      <w:r w:rsidRPr="00256C25">
        <w:rPr>
          <w:rStyle w:val="Emphasis"/>
          <w:rFonts w:ascii="Arial" w:hAnsi="Arial" w:cs="Arial"/>
          <w:sz w:val="20"/>
          <w:szCs w:val="20"/>
        </w:rPr>
        <w:t>Sub-decree No. 14 on establishment of Koh Rong marine national park.</w:t>
      </w:r>
      <w:r w:rsidRPr="00256C25">
        <w:rPr>
          <w:rFonts w:ascii="Arial" w:hAnsi="Arial" w:cs="Arial"/>
          <w:sz w:val="20"/>
          <w:szCs w:val="20"/>
        </w:rPr>
        <w:t xml:space="preserve"> Royal Government of Cambodia. </w:t>
      </w:r>
      <w:hyperlink r:id="rId106" w:tgtFrame="_new" w:history="1">
        <w:r w:rsidRPr="00256C25">
          <w:rPr>
            <w:rStyle w:val="Hyperlink"/>
            <w:rFonts w:ascii="Arial" w:hAnsi="Arial" w:cs="Arial"/>
            <w:sz w:val="20"/>
            <w:szCs w:val="20"/>
          </w:rPr>
          <w:t>https://data.opendevelopmentcambodia.net/laws_record/sub-decree-no-14-on-establishment-of-koh-rung-marine-national-park</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Ministry of Environment, 2022. </w:t>
      </w:r>
      <w:r w:rsidRPr="00256C25">
        <w:rPr>
          <w:rStyle w:val="Emphasis"/>
          <w:rFonts w:ascii="Arial" w:hAnsi="Arial" w:cs="Arial"/>
          <w:sz w:val="20"/>
          <w:szCs w:val="20"/>
        </w:rPr>
        <w:t>State of water environment: Cambodia.</w:t>
      </w:r>
      <w:r w:rsidRPr="00256C25">
        <w:rPr>
          <w:rFonts w:ascii="Arial" w:hAnsi="Arial" w:cs="Arial"/>
          <w:sz w:val="20"/>
          <w:szCs w:val="20"/>
        </w:rPr>
        <w:t xml:space="preserve"> In Water Environment Partnership in Asia (Ed.), </w:t>
      </w:r>
      <w:r w:rsidRPr="00256C25">
        <w:rPr>
          <w:rStyle w:val="Emphasis"/>
          <w:rFonts w:ascii="Arial" w:hAnsi="Arial" w:cs="Arial"/>
          <w:sz w:val="20"/>
          <w:szCs w:val="20"/>
        </w:rPr>
        <w:t>State of water environmental management in Asia 2022.</w:t>
      </w:r>
      <w:r w:rsidRPr="00256C25">
        <w:rPr>
          <w:rFonts w:ascii="Arial" w:hAnsi="Arial" w:cs="Arial"/>
          <w:sz w:val="20"/>
          <w:szCs w:val="20"/>
        </w:rPr>
        <w:t xml:space="preserve"> WEPA. </w:t>
      </w:r>
      <w:hyperlink r:id="rId107" w:history="1">
        <w:r w:rsidRPr="00256C25">
          <w:rPr>
            <w:rStyle w:val="Hyperlink"/>
            <w:rFonts w:ascii="Arial" w:hAnsi="Arial" w:cs="Arial"/>
            <w:sz w:val="20"/>
            <w:szCs w:val="20"/>
          </w:rPr>
          <w:t>https://wepa-db.net/wp-content/uploads/2023/02/1_State-of-water-environment_Cambodia.pdf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Ministry of Environment, 2023. </w:t>
      </w:r>
      <w:r w:rsidRPr="00256C25">
        <w:rPr>
          <w:rStyle w:val="Emphasis"/>
          <w:rFonts w:ascii="Arial" w:hAnsi="Arial" w:cs="Arial"/>
          <w:sz w:val="20"/>
          <w:szCs w:val="20"/>
        </w:rPr>
        <w:t>National environmental monitoring and industrial effluent inspection report 2023.</w:t>
      </w:r>
      <w:r w:rsidRPr="00256C25">
        <w:rPr>
          <w:rFonts w:ascii="Arial" w:hAnsi="Arial" w:cs="Arial"/>
          <w:sz w:val="20"/>
          <w:szCs w:val="20"/>
        </w:rPr>
        <w:t xml:space="preserve"> Royal Government of Cambodia.</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Ministry of Environment, 2023a. </w:t>
      </w:r>
      <w:r w:rsidRPr="00256C25">
        <w:rPr>
          <w:rStyle w:val="Emphasis"/>
          <w:rFonts w:ascii="Arial" w:hAnsi="Arial" w:cs="Arial"/>
          <w:sz w:val="20"/>
          <w:szCs w:val="20"/>
        </w:rPr>
        <w:t>Code on environment and natural resources (English version).</w:t>
      </w:r>
      <w:r w:rsidRPr="00256C25">
        <w:rPr>
          <w:rFonts w:ascii="Arial" w:hAnsi="Arial" w:cs="Arial"/>
          <w:sz w:val="20"/>
          <w:szCs w:val="20"/>
        </w:rPr>
        <w:t xml:space="preserve"> Royal Government of Cambodia. </w:t>
      </w:r>
      <w:hyperlink r:id="rId108" w:tgtFrame="_new" w:history="1">
        <w:r w:rsidRPr="00256C25">
          <w:rPr>
            <w:rStyle w:val="Hyperlink"/>
            <w:rFonts w:ascii="Arial" w:hAnsi="Arial" w:cs="Arial"/>
            <w:sz w:val="20"/>
            <w:szCs w:val="20"/>
          </w:rPr>
          <w:t>https://www.moe.gov.kh/wp-content/uploads/2024/07/Code-on-Environment-and-Natural-Resources.pdf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Ministry of Environment. (2023b). </w:t>
      </w:r>
      <w:r w:rsidRPr="00256C25">
        <w:rPr>
          <w:rStyle w:val="Emphasis"/>
          <w:rFonts w:ascii="Arial" w:hAnsi="Arial" w:cs="Arial"/>
          <w:sz w:val="20"/>
          <w:szCs w:val="20"/>
        </w:rPr>
        <w:t>Ministry of Environment Initiates Ambitious Campaign to Reduce Plastic Bag Usage in Cambodia.</w:t>
      </w:r>
      <w:r w:rsidRPr="00256C25">
        <w:rPr>
          <w:rFonts w:ascii="Arial" w:hAnsi="Arial" w:cs="Arial"/>
          <w:sz w:val="20"/>
          <w:szCs w:val="20"/>
        </w:rPr>
        <w:t xml:space="preserve"> Ministry of Environment. </w:t>
      </w:r>
      <w:hyperlink r:id="rId109" w:tgtFrame="_new" w:history="1">
        <w:r w:rsidRPr="00256C25">
          <w:rPr>
            <w:rStyle w:val="Hyperlink"/>
            <w:rFonts w:ascii="Arial" w:hAnsi="Arial" w:cs="Arial"/>
            <w:sz w:val="20"/>
            <w:szCs w:val="20"/>
          </w:rPr>
          <w:t>https://moe.gov.kh/en/index/47091</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Ministry of Planning (MoP), 2025. IDPoor public data query. </w:t>
      </w:r>
      <w:hyperlink r:id="rId110" w:history="1">
        <w:r w:rsidRPr="00256C25">
          <w:rPr>
            <w:rStyle w:val="Hyperlink"/>
            <w:rFonts w:ascii="Arial" w:hAnsi="Arial" w:cs="Arial"/>
            <w:sz w:val="20"/>
            <w:szCs w:val="20"/>
          </w:rPr>
          <w:t>https://app.idpoor.gov.kh/public-data-query</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MoE &amp; NOTC, 2018. </w:t>
      </w:r>
      <w:r w:rsidRPr="00256C25">
        <w:rPr>
          <w:rStyle w:val="Emphasis"/>
          <w:rFonts w:ascii="Arial" w:hAnsi="Arial" w:cs="Arial"/>
          <w:sz w:val="20"/>
          <w:szCs w:val="20"/>
        </w:rPr>
        <w:t>Initial Cambodia Marine Spatial Planning (2018–2023).</w:t>
      </w:r>
      <w:r w:rsidRPr="00256C25">
        <w:rPr>
          <w:rFonts w:ascii="Arial" w:hAnsi="Arial" w:cs="Arial"/>
          <w:sz w:val="20"/>
          <w:szCs w:val="20"/>
        </w:rPr>
        <w:t xml:space="preserve"> </w:t>
      </w:r>
      <w:hyperlink r:id="rId111" w:tgtFrame="_new" w:history="1">
        <w:r w:rsidRPr="00256C25">
          <w:rPr>
            <w:rStyle w:val="Hyperlink"/>
            <w:rFonts w:ascii="Arial" w:hAnsi="Arial" w:cs="Arial"/>
            <w:sz w:val="20"/>
            <w:szCs w:val="20"/>
          </w:rPr>
          <w:t>https://documents1.worldbank.org/curated/en/099556207032341413/pdf/IDU00eec67aa0872b04096088cd02fda633553f1.pdf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MoE, 2018. National Waste Management Strategy and Action Plan 2018–2030.</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MoE, 2025a. Mangrove Assessment 2014–2025 (Sentinel-2, 10 m) [working draft].</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MoE, 2025b. Seagrass Assessment (provincewide compilations and CFi portfolios) [working draft].</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MoE, 2025c. Coral Assessment (Koh Rong, Koh Sdach, Kep) 2014–2025 [working draft].</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MRC, 2024. The status and trends of riverine plastic pollution in the Lower Mekong Basin. </w:t>
      </w:r>
      <w:hyperlink r:id="rId112" w:history="1">
        <w:r w:rsidRPr="00256C25">
          <w:rPr>
            <w:rStyle w:val="Hyperlink"/>
            <w:rFonts w:ascii="Arial" w:hAnsi="Arial" w:cs="Arial"/>
            <w:sz w:val="20"/>
            <w:szCs w:val="20"/>
          </w:rPr>
          <w:t>https://www.mrcmekong.org/wp-content/uploads/2024/08/PlasticReport2022.pdf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Mukherjee, S., et al. (2018). </w:t>
      </w:r>
      <w:r w:rsidRPr="00256C25">
        <w:rPr>
          <w:rStyle w:val="Emphasis"/>
          <w:rFonts w:ascii="Arial" w:hAnsi="Arial" w:cs="Arial"/>
          <w:sz w:val="20"/>
          <w:szCs w:val="20"/>
        </w:rPr>
        <w:t>Vulnerable fishing cat and other threatened species in Cambodia’s coastal mangroves.</w:t>
      </w:r>
      <w:r w:rsidRPr="00256C25">
        <w:rPr>
          <w:rFonts w:ascii="Arial" w:hAnsi="Arial" w:cs="Arial"/>
          <w:sz w:val="20"/>
          <w:szCs w:val="20"/>
        </w:rPr>
        <w:t xml:space="preserve"> </w:t>
      </w:r>
      <w:r w:rsidRPr="00256C25">
        <w:rPr>
          <w:rStyle w:val="Strong"/>
          <w:rFonts w:ascii="Arial" w:hAnsi="Arial" w:cs="Arial"/>
          <w:sz w:val="20"/>
          <w:szCs w:val="20"/>
        </w:rPr>
        <w:t>Oryx</w:t>
      </w:r>
      <w:r w:rsidRPr="00256C25">
        <w:rPr>
          <w:rFonts w:ascii="Arial" w:hAnsi="Arial" w:cs="Arial"/>
          <w:b/>
          <w:bCs/>
          <w:sz w:val="20"/>
          <w:szCs w:val="20"/>
        </w:rPr>
        <w:t xml:space="preserve">. </w:t>
      </w:r>
      <w:hyperlink r:id="rId113" w:tgtFrame="_new" w:history="1">
        <w:r w:rsidRPr="00256C25">
          <w:rPr>
            <w:rStyle w:val="Hyperlink"/>
            <w:rFonts w:ascii="Arial" w:hAnsi="Arial" w:cs="Arial"/>
            <w:sz w:val="20"/>
            <w:szCs w:val="20"/>
          </w:rPr>
          <w:t>https://www.cambridge.org/core/journals/oryx/article/vulnerable-fishing-cat-prionailurus-viverrinus-and-other-globally-threatened-species-in-cambodias-coastal-mangroves/57146D6098F3E454A4407A3C6B9918E7</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National Committee for Coastal Management and Development, 2022. </w:t>
      </w:r>
      <w:r w:rsidRPr="00256C25">
        <w:rPr>
          <w:rStyle w:val="Emphasis"/>
          <w:rFonts w:ascii="Arial" w:hAnsi="Arial" w:cs="Arial"/>
          <w:sz w:val="20"/>
          <w:szCs w:val="20"/>
        </w:rPr>
        <w:t>Integrated coastal management (ICM) strategy and action plan 2022–2030.</w:t>
      </w:r>
      <w:r w:rsidRPr="00256C25">
        <w:rPr>
          <w:rFonts w:ascii="Arial" w:hAnsi="Arial" w:cs="Arial"/>
          <w:sz w:val="20"/>
          <w:szCs w:val="20"/>
        </w:rPr>
        <w:t xml:space="preserve"> Royal Government of Cambodia.</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National Council for Sustainable Development, 2015. </w:t>
      </w:r>
      <w:r w:rsidRPr="00256C25">
        <w:rPr>
          <w:rStyle w:val="Emphasis"/>
          <w:rFonts w:ascii="Arial" w:hAnsi="Arial" w:cs="Arial"/>
          <w:sz w:val="20"/>
          <w:szCs w:val="20"/>
        </w:rPr>
        <w:t>Royal decree on the establishment and mandate of the National Council for Sustainable Development.</w:t>
      </w:r>
      <w:r w:rsidRPr="00256C25">
        <w:rPr>
          <w:rFonts w:ascii="Arial" w:hAnsi="Arial" w:cs="Arial"/>
          <w:sz w:val="20"/>
          <w:szCs w:val="20"/>
        </w:rPr>
        <w:t xml:space="preserve"> NCSD. </w:t>
      </w:r>
      <w:hyperlink r:id="rId114" w:tgtFrame="_new" w:history="1">
        <w:r w:rsidRPr="00256C25">
          <w:rPr>
            <w:rStyle w:val="Hyperlink"/>
            <w:rFonts w:ascii="Arial" w:hAnsi="Arial" w:cs="Arial"/>
            <w:sz w:val="20"/>
            <w:szCs w:val="20"/>
          </w:rPr>
          <w:t>https://ncsd.moe.gov.kh/ncsd/ncsd-mandate</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National Council for Sustainable Development, 2023. </w:t>
      </w:r>
      <w:r w:rsidRPr="00256C25">
        <w:rPr>
          <w:rStyle w:val="Emphasis"/>
          <w:rFonts w:ascii="Arial" w:hAnsi="Arial" w:cs="Arial"/>
          <w:sz w:val="20"/>
          <w:szCs w:val="20"/>
        </w:rPr>
        <w:t>Circular strategy for environment 2023–2028.</w:t>
      </w:r>
      <w:r w:rsidRPr="00256C25">
        <w:rPr>
          <w:rFonts w:ascii="Arial" w:hAnsi="Arial" w:cs="Arial"/>
          <w:sz w:val="20"/>
          <w:szCs w:val="20"/>
        </w:rPr>
        <w:t xml:space="preserve"> NCSD. </w:t>
      </w:r>
      <w:hyperlink r:id="rId115" w:tgtFrame="_new" w:history="1">
        <w:r w:rsidRPr="00256C25">
          <w:rPr>
            <w:rStyle w:val="Hyperlink"/>
            <w:rFonts w:ascii="Arial" w:hAnsi="Arial" w:cs="Arial"/>
            <w:sz w:val="20"/>
            <w:szCs w:val="20"/>
          </w:rPr>
          <w:t>https://ncsd.moe.gov.kh/dcc/resource/circular/strategy/on/environment/2023/2028</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National Council for Sustainable Development, 2024a. </w:t>
      </w:r>
      <w:r w:rsidRPr="00256C25">
        <w:rPr>
          <w:rStyle w:val="Emphasis"/>
          <w:rFonts w:ascii="Arial" w:hAnsi="Arial" w:cs="Arial"/>
          <w:sz w:val="20"/>
          <w:szCs w:val="20"/>
        </w:rPr>
        <w:t>Cambodia climate change strategic plan 2024–2033.</w:t>
      </w:r>
      <w:r w:rsidRPr="00256C25">
        <w:rPr>
          <w:rFonts w:ascii="Arial" w:hAnsi="Arial" w:cs="Arial"/>
          <w:sz w:val="20"/>
          <w:szCs w:val="20"/>
        </w:rPr>
        <w:t xml:space="preserve"> NCSD. </w:t>
      </w:r>
      <w:hyperlink r:id="rId116" w:tgtFrame="_new" w:history="1">
        <w:r w:rsidRPr="00256C25">
          <w:rPr>
            <w:rStyle w:val="Hyperlink"/>
            <w:rFonts w:ascii="Arial" w:hAnsi="Arial" w:cs="Arial"/>
            <w:sz w:val="20"/>
            <w:szCs w:val="20"/>
          </w:rPr>
          <w:t>https://ncsd.moe.gov.kh/resources/document/cambodia-climate-change-strategic-plan-2024-2033</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National Council for Sustainable Development, 2024b. </w:t>
      </w:r>
      <w:r w:rsidRPr="00256C25">
        <w:rPr>
          <w:rStyle w:val="Emphasis"/>
          <w:rFonts w:ascii="Arial" w:hAnsi="Arial" w:cs="Arial"/>
          <w:sz w:val="20"/>
          <w:szCs w:val="20"/>
        </w:rPr>
        <w:t>Cambodia’s third nationally determined contribution (NDC 3.0).</w:t>
      </w:r>
      <w:r w:rsidRPr="00256C25">
        <w:rPr>
          <w:rFonts w:ascii="Arial" w:hAnsi="Arial" w:cs="Arial"/>
          <w:sz w:val="20"/>
          <w:szCs w:val="20"/>
        </w:rPr>
        <w:t xml:space="preserve"> NCSD. </w:t>
      </w:r>
      <w:hyperlink r:id="rId117" w:tgtFrame="_new" w:history="1">
        <w:r w:rsidRPr="00256C25">
          <w:rPr>
            <w:rStyle w:val="Hyperlink"/>
            <w:rFonts w:ascii="Arial" w:hAnsi="Arial" w:cs="Arial"/>
            <w:sz w:val="20"/>
            <w:szCs w:val="20"/>
          </w:rPr>
          <w:t>https://ncsd.moe.gov.kh/resources/document/cambodia%E2%80%99s-third-nationally-determined-contribution-ndc</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National Institute of Statistics (NIS), 1998, 2008, 2019. General Population Census of Cambodia [Census rounds]. </w:t>
      </w:r>
      <w:hyperlink r:id="rId118" w:history="1">
        <w:r w:rsidRPr="00256C25">
          <w:rPr>
            <w:rStyle w:val="Hyperlink"/>
            <w:rFonts w:ascii="Arial" w:hAnsi="Arial" w:cs="Arial"/>
            <w:sz w:val="20"/>
            <w:szCs w:val="20"/>
          </w:rPr>
          <w:t>https://nis.gov.kh/en/general-population-census-of-cambodia/</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National Institute of Statistics (NIS), 2021. General Population Census of the Kingdom of Cambodia 2019: Final results. </w:t>
      </w:r>
      <w:hyperlink r:id="rId119" w:history="1">
        <w:r w:rsidRPr="00256C25">
          <w:rPr>
            <w:rStyle w:val="Hyperlink"/>
            <w:rFonts w:ascii="Arial" w:hAnsi="Arial" w:cs="Arial"/>
            <w:sz w:val="20"/>
            <w:szCs w:val="20"/>
          </w:rPr>
          <w:t>https://www.nis.gov.kh/nis/Census2019/Final%20General%20Population%20Census%202019-English.pdf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National Institute of Statistics, 2023. </w:t>
      </w:r>
      <w:r w:rsidRPr="00256C25">
        <w:rPr>
          <w:rStyle w:val="Emphasis"/>
          <w:rFonts w:ascii="Arial" w:hAnsi="Arial" w:cs="Arial"/>
          <w:sz w:val="20"/>
          <w:szCs w:val="20"/>
        </w:rPr>
        <w:t>Cambodia agricultural survey 2022: Methodological reference document.</w:t>
      </w:r>
      <w:r w:rsidRPr="00256C25">
        <w:rPr>
          <w:rFonts w:ascii="Arial" w:hAnsi="Arial" w:cs="Arial"/>
          <w:sz w:val="20"/>
          <w:szCs w:val="20"/>
        </w:rPr>
        <w:t xml:space="preserve"> Ministry of Planning. </w:t>
      </w:r>
      <w:hyperlink r:id="rId120" w:history="1">
        <w:r w:rsidRPr="00256C25">
          <w:rPr>
            <w:rStyle w:val="Hyperlink"/>
            <w:rFonts w:ascii="Arial" w:hAnsi="Arial" w:cs="Arial"/>
            <w:sz w:val="20"/>
            <w:szCs w:val="20"/>
          </w:rPr>
          <w:t>https://www.nis.gov.kh/nis/CAS/2022/CAS2022_Report_1_Methodological_Reference_Document_ENG.pdf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Norrey, J., et al., 2023. </w:t>
      </w:r>
      <w:r w:rsidRPr="00256C25">
        <w:rPr>
          <w:rStyle w:val="Emphasis"/>
          <w:rFonts w:ascii="Arial" w:hAnsi="Arial" w:cs="Arial"/>
          <w:sz w:val="20"/>
          <w:szCs w:val="20"/>
        </w:rPr>
        <w:t>Deploying conservation anti-trawling structures in Kep Province, Cambodia.</w:t>
      </w:r>
      <w:r w:rsidRPr="00256C25">
        <w:rPr>
          <w:rFonts w:ascii="Arial" w:hAnsi="Arial" w:cs="Arial"/>
          <w:sz w:val="20"/>
          <w:szCs w:val="20"/>
        </w:rPr>
        <w:t xml:space="preserve"> </w:t>
      </w:r>
      <w:r w:rsidRPr="00256C25">
        <w:rPr>
          <w:rStyle w:val="Strong"/>
          <w:rFonts w:ascii="Arial" w:hAnsi="Arial" w:cs="Arial"/>
          <w:sz w:val="20"/>
          <w:szCs w:val="20"/>
        </w:rPr>
        <w:t>ICES Journal of Marine Science, 80</w:t>
      </w:r>
      <w:r w:rsidRPr="00256C25">
        <w:rPr>
          <w:rFonts w:ascii="Arial" w:hAnsi="Arial" w:cs="Arial"/>
          <w:sz w:val="20"/>
          <w:szCs w:val="20"/>
        </w:rPr>
        <w:t xml:space="preserve">(8), 2197–2213. </w:t>
      </w:r>
      <w:hyperlink r:id="rId121" w:tgtFrame="_new" w:history="1">
        <w:r w:rsidRPr="00256C25">
          <w:rPr>
            <w:rStyle w:val="Hyperlink"/>
            <w:rFonts w:ascii="Arial" w:hAnsi="Arial" w:cs="Arial"/>
            <w:sz w:val="20"/>
            <w:szCs w:val="20"/>
          </w:rPr>
          <w:t>https://academic.oup.com/icesjms/article/80/8/2197/6511220</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ODC, 2023c. Special economic zone and infrastructure footprints in Koh Kong.</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ODC, 2023c. </w:t>
      </w:r>
      <w:r w:rsidRPr="00256C25">
        <w:rPr>
          <w:rStyle w:val="Emphasis"/>
          <w:rFonts w:ascii="Arial" w:hAnsi="Arial" w:cs="Arial"/>
          <w:sz w:val="20"/>
          <w:szCs w:val="20"/>
        </w:rPr>
        <w:t>Union Development Group (Dara Sakor) concession profile.</w:t>
      </w:r>
      <w:r w:rsidRPr="00256C25">
        <w:rPr>
          <w:rFonts w:ascii="Arial" w:hAnsi="Arial" w:cs="Arial"/>
          <w:sz w:val="20"/>
          <w:szCs w:val="20"/>
        </w:rPr>
        <w:t xml:space="preserve"> </w:t>
      </w:r>
      <w:hyperlink r:id="rId122" w:history="1">
        <w:r w:rsidRPr="00256C25">
          <w:rPr>
            <w:rStyle w:val="Hyperlink"/>
            <w:rFonts w:ascii="Arial" w:hAnsi="Arial" w:cs="Arial"/>
            <w:sz w:val="20"/>
            <w:szCs w:val="20"/>
          </w:rPr>
          <w:t>https://opendevelopmentcambodia.net/profiles/economic-land-concessions/union-development-group-co-ltd/</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Open Development Cambodia. (2022). </w:t>
      </w:r>
      <w:r w:rsidRPr="00256C25">
        <w:rPr>
          <w:rStyle w:val="Emphasis"/>
          <w:rFonts w:ascii="Arial" w:hAnsi="Arial" w:cs="Arial"/>
          <w:sz w:val="20"/>
          <w:szCs w:val="20"/>
        </w:rPr>
        <w:t>Community fisheries – Topic page.</w:t>
      </w:r>
      <w:r w:rsidRPr="00256C25">
        <w:rPr>
          <w:rFonts w:ascii="Arial" w:hAnsi="Arial" w:cs="Arial"/>
          <w:sz w:val="20"/>
          <w:szCs w:val="20"/>
        </w:rPr>
        <w:t xml:space="preserve"> Open Development Cambodia. </w:t>
      </w:r>
      <w:hyperlink r:id="rId123" w:tgtFrame="_new" w:history="1">
        <w:r w:rsidRPr="00256C25">
          <w:rPr>
            <w:rStyle w:val="Hyperlink"/>
            <w:rFonts w:ascii="Arial" w:hAnsi="Arial" w:cs="Arial"/>
            <w:sz w:val="20"/>
            <w:szCs w:val="20"/>
          </w:rPr>
          <w:t>https://opendevelopmentcambodia.net/topics/community-fisheries/</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OPHI &amp; UNDP, 2024. Global Multidimensional Poverty Index (MPI) database (2021-2022), Table 5 Subnational Results MPI 2024</w:t>
      </w:r>
      <w:r w:rsidRPr="00256C25">
        <w:rPr>
          <w:rFonts w:ascii="Arial" w:hAnsi="Arial" w:cs="Arial"/>
          <w:i/>
          <w:iCs/>
          <w:sz w:val="20"/>
          <w:szCs w:val="20"/>
        </w:rPr>
        <w:t xml:space="preserve">. </w:t>
      </w:r>
      <w:r w:rsidRPr="00256C25">
        <w:rPr>
          <w:rFonts w:ascii="Arial" w:hAnsi="Arial" w:cs="Arial"/>
          <w:sz w:val="20"/>
          <w:szCs w:val="20"/>
        </w:rPr>
        <w:t xml:space="preserve"> Oxford Poverty &amp; Human Development Initiative and United Nations Development Programme. </w:t>
      </w:r>
      <w:hyperlink r:id="rId124" w:history="1">
        <w:r w:rsidRPr="00256C25">
          <w:rPr>
            <w:rStyle w:val="Hyperlink"/>
            <w:rFonts w:ascii="Arial" w:hAnsi="Arial" w:cs="Arial"/>
            <w:sz w:val="20"/>
            <w:szCs w:val="20"/>
          </w:rPr>
          <w:t>https://ophi.org.uk/global-mpi/2024</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Ouyang, Z., Fan, P., &amp; Chen, J, 2016. Urban built-up areas in transitional economies of Southeast Asia: Spatial extent and dynamics. Remote Sensing, 8(10), 819. </w:t>
      </w:r>
      <w:hyperlink r:id="rId125" w:history="1">
        <w:r w:rsidRPr="00256C25">
          <w:rPr>
            <w:rStyle w:val="Hyperlink"/>
            <w:rFonts w:ascii="Arial" w:hAnsi="Arial" w:cs="Arial"/>
            <w:sz w:val="20"/>
            <w:szCs w:val="20"/>
          </w:rPr>
          <w:t>https://doi.org/10.3390/rs8100819</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Partnerships in Environmental Management for the Seas of East Asia, 2019. </w:t>
      </w:r>
      <w:r w:rsidRPr="00256C25">
        <w:rPr>
          <w:rStyle w:val="Emphasis"/>
          <w:rFonts w:ascii="Arial" w:hAnsi="Arial" w:cs="Arial"/>
          <w:sz w:val="20"/>
          <w:szCs w:val="20"/>
        </w:rPr>
        <w:t>National state of the oceans and coasts: Cambodia.</w:t>
      </w:r>
      <w:r w:rsidRPr="00256C25">
        <w:rPr>
          <w:rFonts w:ascii="Arial" w:hAnsi="Arial" w:cs="Arial"/>
          <w:sz w:val="20"/>
          <w:szCs w:val="20"/>
        </w:rPr>
        <w:t xml:space="preserve"> PEMSEA. </w:t>
      </w:r>
      <w:hyperlink r:id="rId126" w:tgtFrame="_new" w:history="1">
        <w:r w:rsidRPr="00256C25">
          <w:rPr>
            <w:rStyle w:val="Hyperlink"/>
            <w:rFonts w:ascii="Arial" w:hAnsi="Arial" w:cs="Arial"/>
            <w:sz w:val="20"/>
            <w:szCs w:val="20"/>
          </w:rPr>
          <w:t>https://www.pemsea.org/sites/default/files/2023-12/NSOC%20Cambodia%202018%20%28FINAL%29%2009092020.pdf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Partnerships in Environmental Management for the Seas of East Asia, 2023. </w:t>
      </w:r>
      <w:r w:rsidRPr="00256C25">
        <w:rPr>
          <w:rStyle w:val="Emphasis"/>
          <w:rFonts w:ascii="Arial" w:hAnsi="Arial" w:cs="Arial"/>
          <w:sz w:val="20"/>
          <w:szCs w:val="20"/>
        </w:rPr>
        <w:t>Sustainable Development Strategy for the Seas of East Asia (SDS-SEA) implementation plan 2023–2027.</w:t>
      </w:r>
      <w:r w:rsidRPr="00256C25">
        <w:rPr>
          <w:rFonts w:ascii="Arial" w:hAnsi="Arial" w:cs="Arial"/>
          <w:sz w:val="20"/>
          <w:szCs w:val="20"/>
        </w:rPr>
        <w:t xml:space="preserve"> PEMSEA. </w:t>
      </w:r>
      <w:hyperlink r:id="rId127" w:tgtFrame="_new" w:history="1">
        <w:r w:rsidRPr="00256C25">
          <w:rPr>
            <w:rStyle w:val="Hyperlink"/>
            <w:rFonts w:ascii="Arial" w:hAnsi="Arial" w:cs="Arial"/>
            <w:sz w:val="20"/>
            <w:szCs w:val="20"/>
          </w:rPr>
          <w:t>https://www.pemsea.org/publications/books/sustainable-development-strategy-seas-east-asia-implementation-plan-2023-2027</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Partnerships in Environmental Management for the Seas of East Asia, 2024. </w:t>
      </w:r>
      <w:r w:rsidRPr="00256C25">
        <w:rPr>
          <w:rStyle w:val="Emphasis"/>
          <w:rFonts w:ascii="Arial" w:hAnsi="Arial" w:cs="Arial"/>
          <w:sz w:val="20"/>
          <w:szCs w:val="20"/>
        </w:rPr>
        <w:t>Country partner profile: Cambodia.</w:t>
      </w:r>
      <w:r w:rsidRPr="00256C25">
        <w:rPr>
          <w:rFonts w:ascii="Arial" w:hAnsi="Arial" w:cs="Arial"/>
          <w:sz w:val="20"/>
          <w:szCs w:val="20"/>
        </w:rPr>
        <w:t xml:space="preserve"> PEMSEA. </w:t>
      </w:r>
      <w:hyperlink r:id="rId128" w:tgtFrame="_new" w:history="1">
        <w:r w:rsidRPr="00256C25">
          <w:rPr>
            <w:rStyle w:val="Hyperlink"/>
            <w:rFonts w:ascii="Arial" w:hAnsi="Arial" w:cs="Arial"/>
            <w:sz w:val="20"/>
            <w:szCs w:val="20"/>
          </w:rPr>
          <w:t>https://www.pemsea.org/who-we-are/our-partners/country-partners/cambodia</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Pauly, D., &amp; Cheung, W. W. L., 2018). Sound physiological knowledge and principles in modelling shrinking of fishes under climate change. Global Change Biology, 24(1), e15–e26. </w:t>
      </w:r>
      <w:hyperlink r:id="rId129" w:history="1">
        <w:r w:rsidRPr="00256C25">
          <w:rPr>
            <w:rStyle w:val="Hyperlink"/>
            <w:rFonts w:ascii="Arial" w:hAnsi="Arial" w:cs="Arial"/>
            <w:sz w:val="20"/>
            <w:szCs w:val="20"/>
          </w:rPr>
          <w:t>https://doi.org/10.1111/gcb.13831</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Pauly, D., &amp; Zeller, D., 2020). </w:t>
      </w:r>
      <w:r w:rsidRPr="00256C25">
        <w:rPr>
          <w:rStyle w:val="Emphasis"/>
          <w:rFonts w:ascii="Arial" w:hAnsi="Arial" w:cs="Arial"/>
          <w:sz w:val="20"/>
          <w:szCs w:val="20"/>
        </w:rPr>
        <w:t>Sea Around Us Global Fisheries Database (1950–2019).</w:t>
      </w:r>
      <w:r w:rsidRPr="00256C25">
        <w:rPr>
          <w:rFonts w:ascii="Arial" w:hAnsi="Arial" w:cs="Arial"/>
          <w:sz w:val="20"/>
          <w:szCs w:val="20"/>
        </w:rPr>
        <w:t xml:space="preserve"> Institute for the Oceans and Fisheries, University of British Columbia. </w:t>
      </w:r>
      <w:hyperlink r:id="rId130" w:tgtFrame="_new" w:history="1">
        <w:r w:rsidRPr="00256C25">
          <w:rPr>
            <w:rStyle w:val="Hyperlink"/>
            <w:rFonts w:ascii="Arial" w:hAnsi="Arial" w:cs="Arial"/>
            <w:sz w:val="20"/>
            <w:szCs w:val="20"/>
          </w:rPr>
          <w:t>http://www.seaaroundus.org</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PCAsia, 2024. Summary Report on Mangroves: Overview of Mangrove Governance and Lessons Learned in Cambodia, Thailand and Indonesia. </w:t>
      </w:r>
      <w:hyperlink r:id="rId131" w:history="1">
        <w:r w:rsidRPr="00256C25">
          <w:rPr>
            <w:rStyle w:val="Hyperlink"/>
            <w:rFonts w:ascii="Arial" w:hAnsi="Arial" w:cs="Arial"/>
            <w:sz w:val="20"/>
            <w:szCs w:val="20"/>
          </w:rPr>
          <w:t>https://pcasia.org/wp-content/uploads/2024/08/20240813_Summary-report-on-Mangrove.pdf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Pham, Q. T., et al., 2025. </w:t>
      </w:r>
      <w:r w:rsidRPr="00256C25">
        <w:rPr>
          <w:rStyle w:val="Emphasis"/>
          <w:rFonts w:ascii="Arial" w:hAnsi="Arial" w:cs="Arial"/>
          <w:sz w:val="20"/>
          <w:szCs w:val="20"/>
        </w:rPr>
        <w:t>Coral community structure and health at Koh Seh, Kep.</w:t>
      </w:r>
      <w:r w:rsidRPr="00256C25">
        <w:rPr>
          <w:rFonts w:ascii="Arial" w:hAnsi="Arial" w:cs="Arial"/>
          <w:sz w:val="20"/>
          <w:szCs w:val="20"/>
        </w:rPr>
        <w:t xml:space="preserve"> </w:t>
      </w:r>
      <w:r w:rsidRPr="00256C25">
        <w:rPr>
          <w:rStyle w:val="Strong"/>
          <w:rFonts w:ascii="Arial" w:hAnsi="Arial" w:cs="Arial"/>
          <w:sz w:val="20"/>
          <w:szCs w:val="20"/>
        </w:rPr>
        <w:t>Journal of Marine Science and Engineering, 13</w:t>
      </w:r>
      <w:r w:rsidRPr="00256C25">
        <w:rPr>
          <w:rFonts w:ascii="Arial" w:hAnsi="Arial" w:cs="Arial"/>
          <w:sz w:val="20"/>
          <w:szCs w:val="20"/>
        </w:rPr>
        <w:t xml:space="preserve">(9), 1644. </w:t>
      </w:r>
      <w:hyperlink r:id="rId132" w:tgtFrame="_new" w:history="1">
        <w:r w:rsidRPr="00256C25">
          <w:rPr>
            <w:rStyle w:val="Hyperlink"/>
            <w:rFonts w:ascii="Arial" w:hAnsi="Arial" w:cs="Arial"/>
            <w:sz w:val="20"/>
            <w:szCs w:val="20"/>
          </w:rPr>
          <w:t>https://www.mdpi.com/2077-1312/13/9/1644</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Pheakdey, C., Tan, S., &amp; Phann, D, 2022. Municipal solid waste management in Cambodia: Challenges and priorities. </w:t>
      </w:r>
      <w:r w:rsidRPr="00256C25">
        <w:rPr>
          <w:rStyle w:val="Emphasis"/>
          <w:rFonts w:ascii="Arial" w:hAnsi="Arial" w:cs="Arial"/>
          <w:sz w:val="20"/>
          <w:szCs w:val="20"/>
        </w:rPr>
        <w:t>International Journal of Environmental Research and Public Health, 19</w:t>
      </w:r>
      <w:r w:rsidRPr="00256C25">
        <w:rPr>
          <w:rFonts w:ascii="Arial" w:hAnsi="Arial" w:cs="Arial"/>
          <w:sz w:val="20"/>
          <w:szCs w:val="20"/>
        </w:rPr>
        <w:t xml:space="preserve">(23), 15919. </w:t>
      </w:r>
      <w:hyperlink r:id="rId133" w:tgtFrame="_new" w:history="1">
        <w:r w:rsidRPr="00256C25">
          <w:rPr>
            <w:rStyle w:val="Hyperlink"/>
            <w:rFonts w:ascii="Arial" w:eastAsiaTheme="majorEastAsia" w:hAnsi="Arial" w:cs="Arial"/>
            <w:sz w:val="20"/>
            <w:szCs w:val="20"/>
          </w:rPr>
          <w:t>https://doi.org/10.3390/ijerph192315919</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Ramsar Secretariat, 2012a. </w:t>
      </w:r>
      <w:r w:rsidRPr="00256C25">
        <w:rPr>
          <w:rStyle w:val="Emphasis"/>
          <w:rFonts w:ascii="Arial" w:hAnsi="Arial" w:cs="Arial"/>
          <w:sz w:val="20"/>
          <w:szCs w:val="20"/>
        </w:rPr>
        <w:t>Information sheet on Ramsar wetlands (RIS): Koh Kapik &amp; associated islets (site no. 998).</w:t>
      </w:r>
      <w:r w:rsidRPr="00256C25">
        <w:rPr>
          <w:rFonts w:ascii="Arial" w:hAnsi="Arial" w:cs="Arial"/>
          <w:sz w:val="20"/>
          <w:szCs w:val="20"/>
        </w:rPr>
        <w:t xml:space="preserve"> Ramsar Convention Secretariat. </w:t>
      </w:r>
      <w:hyperlink r:id="rId134" w:tgtFrame="_new" w:history="1">
        <w:r w:rsidRPr="00256C25">
          <w:rPr>
            <w:rStyle w:val="Hyperlink"/>
            <w:rFonts w:ascii="Arial" w:hAnsi="Arial" w:cs="Arial"/>
            <w:sz w:val="20"/>
            <w:szCs w:val="20"/>
          </w:rPr>
          <w:t>https://rsis.ramsar.org/RISapp/files/RISrep/KH998RIS.pdf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Ramsar Secretariat, 2012b. </w:t>
      </w:r>
      <w:r w:rsidRPr="00256C25">
        <w:rPr>
          <w:rStyle w:val="Emphasis"/>
          <w:rFonts w:ascii="Arial" w:hAnsi="Arial" w:cs="Arial"/>
          <w:sz w:val="20"/>
          <w:szCs w:val="20"/>
        </w:rPr>
        <w:t>Koh Kapik &amp; associated islets (Ramsar site no. 998): Ramsar sites information service.</w:t>
      </w:r>
      <w:r w:rsidRPr="00256C25">
        <w:rPr>
          <w:rFonts w:ascii="Arial" w:hAnsi="Arial" w:cs="Arial"/>
          <w:sz w:val="20"/>
          <w:szCs w:val="20"/>
        </w:rPr>
        <w:t xml:space="preserve"> Ramsar Convention Secretariat. </w:t>
      </w:r>
      <w:hyperlink r:id="rId135" w:history="1">
        <w:r w:rsidRPr="00256C25">
          <w:rPr>
            <w:rStyle w:val="Hyperlink"/>
            <w:rFonts w:ascii="Arial" w:hAnsi="Arial" w:cs="Arial"/>
            <w:sz w:val="20"/>
            <w:szCs w:val="20"/>
          </w:rPr>
          <w:t>https://rsis.ramsar.org/ris/998?__goaway_challenge=meta-refresh&amp;__goaway_id=64045553cd2c71dc8c07f985b9e58522</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Rawlins, M., Kornexl, W., Baral, S., Baromey, N., Martin, N., &amp; Ray, N., 2020. Enabling Ecotourism Development in Cambodia. World Bank: Washington, DC. </w:t>
      </w:r>
      <w:hyperlink r:id="rId136" w:history="1">
        <w:r w:rsidRPr="00256C25">
          <w:rPr>
            <w:rStyle w:val="Hyperlink"/>
            <w:rFonts w:ascii="Arial" w:hAnsi="Arial" w:cs="Arial"/>
            <w:sz w:val="20"/>
            <w:szCs w:val="20"/>
          </w:rPr>
          <w:t>https://documents1.worldbank.org/curated/en/432031595575149623/pdf/Enabling-Ecotourism-Development-in-Cambodia.pdf</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Royal Government of Cambodia (RGC), 2025. Cambodia’s Updated Nationally Determined Contribution (NDC 3.0). </w:t>
      </w:r>
      <w:hyperlink r:id="rId137" w:history="1">
        <w:r w:rsidRPr="00256C25">
          <w:rPr>
            <w:rStyle w:val="Hyperlink"/>
            <w:rFonts w:ascii="Arial" w:hAnsi="Arial" w:cs="Arial"/>
            <w:sz w:val="20"/>
            <w:szCs w:val="20"/>
          </w:rPr>
          <w:t>https://unfccc.int/sites/default/files/2025-08/Cambodia-NDC%203.0_0.pdf</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Royal Government of Cambodia &amp; JICA, 2023. Comprehensive Master Plan on Cambodia’s Intermodal Transport and Logistics System 2023–2033. </w:t>
      </w:r>
      <w:hyperlink r:id="rId138" w:history="1">
        <w:r w:rsidRPr="00256C25">
          <w:rPr>
            <w:rStyle w:val="Hyperlink"/>
            <w:rFonts w:ascii="Arial" w:hAnsi="Arial" w:cs="Arial"/>
            <w:sz w:val="20"/>
            <w:szCs w:val="20"/>
          </w:rPr>
          <w:t>https://www.asean.or.jp/main-site/wp-content/uploads/2024/05/Master-Plan-on-Logistics-Development_AJC240520-.pdf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2001. </w:t>
      </w:r>
      <w:r w:rsidRPr="00256C25">
        <w:rPr>
          <w:rStyle w:val="Emphasis"/>
          <w:rFonts w:ascii="Arial" w:hAnsi="Arial" w:cs="Arial"/>
          <w:sz w:val="20"/>
          <w:szCs w:val="20"/>
        </w:rPr>
        <w:t>Law on land (English translation).</w:t>
      </w:r>
      <w:r w:rsidRPr="00256C25">
        <w:rPr>
          <w:rFonts w:ascii="Arial" w:hAnsi="Arial" w:cs="Arial"/>
          <w:sz w:val="20"/>
          <w:szCs w:val="20"/>
        </w:rPr>
        <w:t xml:space="preserve"> Open Development Cambodia. </w:t>
      </w:r>
      <w:hyperlink r:id="rId139" w:tgtFrame="_new" w:history="1">
        <w:r w:rsidRPr="00256C25">
          <w:rPr>
            <w:rStyle w:val="Hyperlink"/>
            <w:rFonts w:ascii="Arial" w:hAnsi="Arial" w:cs="Arial"/>
            <w:sz w:val="20"/>
            <w:szCs w:val="20"/>
          </w:rPr>
          <w:t>https://data.opendevelopmentcambodia.net/laws_record/law-on-land-2</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2002. </w:t>
      </w:r>
      <w:r w:rsidRPr="00256C25">
        <w:rPr>
          <w:rStyle w:val="Emphasis"/>
          <w:rFonts w:ascii="Arial" w:hAnsi="Arial" w:cs="Arial"/>
          <w:sz w:val="20"/>
          <w:szCs w:val="20"/>
        </w:rPr>
        <w:t>Law on forestry.</w:t>
      </w:r>
      <w:r w:rsidRPr="00256C25">
        <w:rPr>
          <w:rFonts w:ascii="Arial" w:hAnsi="Arial" w:cs="Arial"/>
          <w:sz w:val="20"/>
          <w:szCs w:val="20"/>
        </w:rPr>
        <w:t xml:space="preserve"> Open Development Cambodia. </w:t>
      </w:r>
      <w:hyperlink r:id="rId140" w:tgtFrame="_new" w:history="1">
        <w:r w:rsidRPr="00256C25">
          <w:rPr>
            <w:rStyle w:val="Hyperlink"/>
            <w:rFonts w:ascii="Arial" w:hAnsi="Arial" w:cs="Arial"/>
            <w:sz w:val="20"/>
            <w:szCs w:val="20"/>
          </w:rPr>
          <w:t>https://data.opendevelopmentcambodia.net/laws_record/law-on-forestry</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2006. </w:t>
      </w:r>
      <w:r w:rsidRPr="00256C25">
        <w:rPr>
          <w:rStyle w:val="Emphasis"/>
          <w:rFonts w:ascii="Arial" w:hAnsi="Arial" w:cs="Arial"/>
          <w:sz w:val="20"/>
          <w:szCs w:val="20"/>
        </w:rPr>
        <w:t>Law on fisheries of the Kingdom of Cambodia (English translation).</w:t>
      </w:r>
      <w:r w:rsidRPr="00256C25">
        <w:rPr>
          <w:rFonts w:ascii="Arial" w:hAnsi="Arial" w:cs="Arial"/>
          <w:sz w:val="20"/>
          <w:szCs w:val="20"/>
        </w:rPr>
        <w:t xml:space="preserve"> UNODC SHERLOC. </w:t>
      </w:r>
      <w:hyperlink r:id="rId141" w:tgtFrame="_new" w:history="1">
        <w:r w:rsidRPr="00256C25">
          <w:rPr>
            <w:rStyle w:val="Hyperlink"/>
            <w:rFonts w:ascii="Arial" w:hAnsi="Arial" w:cs="Arial"/>
            <w:sz w:val="20"/>
            <w:szCs w:val="20"/>
          </w:rPr>
          <w:t>https://sherloc.unodc.org/cld/document/khm/2006/law_on_fisheries.html</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2007. </w:t>
      </w:r>
      <w:r w:rsidRPr="00256C25">
        <w:rPr>
          <w:rStyle w:val="Emphasis"/>
          <w:rFonts w:ascii="Arial" w:hAnsi="Arial" w:cs="Arial"/>
          <w:sz w:val="20"/>
          <w:szCs w:val="20"/>
        </w:rPr>
        <w:t>Law on water resources management of the Kingdom of Cambodia.</w:t>
      </w:r>
      <w:r w:rsidRPr="00256C25">
        <w:rPr>
          <w:rFonts w:ascii="Arial" w:hAnsi="Arial" w:cs="Arial"/>
          <w:sz w:val="20"/>
          <w:szCs w:val="20"/>
        </w:rPr>
        <w:t xml:space="preserve"> Open Development Cambodia. </w:t>
      </w:r>
      <w:hyperlink r:id="rId142" w:tgtFrame="_new" w:history="1">
        <w:r w:rsidRPr="00256C25">
          <w:rPr>
            <w:rStyle w:val="Hyperlink"/>
            <w:rFonts w:ascii="Arial" w:hAnsi="Arial" w:cs="Arial"/>
            <w:sz w:val="20"/>
            <w:szCs w:val="20"/>
          </w:rPr>
          <w:t>https://data.opendevelopmentcambodia.net/laws_record/law-on-water-resourcee2808be2808b-management-of-the-kingdom-of-cambodia</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2011. </w:t>
      </w:r>
      <w:r w:rsidRPr="00256C25">
        <w:rPr>
          <w:rStyle w:val="Emphasis"/>
          <w:rFonts w:ascii="Arial" w:hAnsi="Arial" w:cs="Arial"/>
          <w:sz w:val="20"/>
          <w:szCs w:val="20"/>
        </w:rPr>
        <w:t>Sub-decree No. 179 to manage the community of Peam Krasop wildlife sanctuary, Koh Kong province.</w:t>
      </w:r>
      <w:r w:rsidRPr="00256C25">
        <w:rPr>
          <w:rFonts w:ascii="Arial" w:hAnsi="Arial" w:cs="Arial"/>
          <w:sz w:val="20"/>
          <w:szCs w:val="20"/>
        </w:rPr>
        <w:t xml:space="preserve"> Open Development Cambodia. </w:t>
      </w:r>
      <w:hyperlink r:id="rId143" w:tgtFrame="_new" w:history="1">
        <w:r w:rsidRPr="00256C25">
          <w:rPr>
            <w:rStyle w:val="Hyperlink"/>
            <w:rFonts w:ascii="Arial" w:hAnsi="Arial" w:cs="Arial"/>
            <w:sz w:val="20"/>
            <w:szCs w:val="20"/>
          </w:rPr>
          <w:t>https://data.opendevelopmentcambodia.net/laws_record/sub_decree-no-179-to-manage-the-community-of-peam-krasop-wildlife-sanctuary-koh-kong-province</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2012a. </w:t>
      </w:r>
      <w:r w:rsidRPr="00256C25">
        <w:rPr>
          <w:rStyle w:val="Emphasis"/>
          <w:rFonts w:ascii="Arial" w:hAnsi="Arial" w:cs="Arial"/>
          <w:sz w:val="20"/>
          <w:szCs w:val="20"/>
        </w:rPr>
        <w:t>Royal decree on establishment of the National Committee on Coastal Area Management and Development (NCCMD).</w:t>
      </w:r>
      <w:r w:rsidRPr="00256C25">
        <w:rPr>
          <w:rFonts w:ascii="Arial" w:hAnsi="Arial" w:cs="Arial"/>
          <w:sz w:val="20"/>
          <w:szCs w:val="20"/>
        </w:rPr>
        <w:t xml:space="preserve"> Royal Government of Cambodia. </w:t>
      </w:r>
      <w:hyperlink r:id="rId144" w:tgtFrame="_new" w:history="1">
        <w:r w:rsidRPr="00256C25">
          <w:rPr>
            <w:rStyle w:val="Hyperlink"/>
            <w:rFonts w:ascii="Arial" w:hAnsi="Arial" w:cs="Arial"/>
            <w:sz w:val="20"/>
            <w:szCs w:val="20"/>
          </w:rPr>
          <w:t>https://ibccambodia.com/wp-content/uploads/2019/09/Royal-Decree-on-Establishment-of-National-Committee-on-Coastal-Area-Management-and-Development-IBC.pdf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2012b. </w:t>
      </w:r>
      <w:r w:rsidRPr="00256C25">
        <w:rPr>
          <w:rStyle w:val="Emphasis"/>
          <w:rFonts w:ascii="Arial" w:hAnsi="Arial" w:cs="Arial"/>
          <w:sz w:val="20"/>
          <w:szCs w:val="20"/>
        </w:rPr>
        <w:t>Sub-decree on organization and functioning of the General Secretariat of the National Committee on Coastal Area Management and Development.</w:t>
      </w:r>
      <w:r w:rsidRPr="00256C25">
        <w:rPr>
          <w:rFonts w:ascii="Arial" w:hAnsi="Arial" w:cs="Arial"/>
          <w:sz w:val="20"/>
          <w:szCs w:val="20"/>
        </w:rPr>
        <w:t xml:space="preserve"> Royal Government of Cambodia. </w:t>
      </w:r>
      <w:hyperlink r:id="rId145" w:tgtFrame="_new" w:history="1">
        <w:r w:rsidRPr="00256C25">
          <w:rPr>
            <w:rStyle w:val="Hyperlink"/>
            <w:rFonts w:ascii="Arial" w:hAnsi="Arial" w:cs="Arial"/>
            <w:sz w:val="20"/>
            <w:szCs w:val="20"/>
          </w:rPr>
          <w:t>https://ibccambodia.com/wp-content/uploads/2019/09/Sub-Decree-on-Organization-and-Functioning-of-General-Secretariat-of-National-Committee-on-Coastal-Area-Management-and-Developm-IBC.pdf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2016. </w:t>
      </w:r>
      <w:r w:rsidRPr="00256C25">
        <w:rPr>
          <w:rStyle w:val="Emphasis"/>
          <w:rFonts w:ascii="Arial" w:hAnsi="Arial" w:cs="Arial"/>
          <w:sz w:val="20"/>
          <w:szCs w:val="20"/>
        </w:rPr>
        <w:t>Prakas No. 364 on establishment of marine fisheries management area in Koh Rong and Koh Rong Sanloem islands (Koh Rong MFMA).</w:t>
      </w:r>
      <w:r w:rsidRPr="00256C25">
        <w:rPr>
          <w:rFonts w:ascii="Arial" w:hAnsi="Arial" w:cs="Arial"/>
          <w:sz w:val="20"/>
          <w:szCs w:val="20"/>
        </w:rPr>
        <w:t xml:space="preserve"> Open Development Cambodia. </w:t>
      </w:r>
      <w:hyperlink r:id="rId146" w:tgtFrame="_new" w:history="1">
        <w:r w:rsidRPr="00256C25">
          <w:rPr>
            <w:rStyle w:val="Hyperlink"/>
            <w:rFonts w:ascii="Arial" w:hAnsi="Arial" w:cs="Arial"/>
            <w:sz w:val="20"/>
            <w:szCs w:val="20"/>
          </w:rPr>
          <w:t>https://data.opendevelopmentcambodia.net/en/dataset/prakas-no-364-on-establishment-of-management-fishery-area-in-koh-rung-and-koh-rung-samloem-islands/resource/93c427e4-8b83-44ed-a9bc-aa4988274a49</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Government of Cambodia, 2017. </w:t>
      </w:r>
      <w:r w:rsidRPr="00256C25">
        <w:rPr>
          <w:rStyle w:val="Emphasis"/>
          <w:rFonts w:ascii="Arial" w:hAnsi="Arial" w:cs="Arial"/>
          <w:sz w:val="20"/>
          <w:szCs w:val="20"/>
        </w:rPr>
        <w:t>Prakas No. 193 on the establishment of marine fisheries management areas in Po archipelago and Koh Tonsay (Kep MFMA).</w:t>
      </w:r>
      <w:r w:rsidRPr="00256C25">
        <w:rPr>
          <w:rFonts w:ascii="Arial" w:hAnsi="Arial" w:cs="Arial"/>
          <w:sz w:val="20"/>
          <w:szCs w:val="20"/>
        </w:rPr>
        <w:t xml:space="preserve"> Open Development Cambodia. </w:t>
      </w:r>
      <w:hyperlink r:id="rId147" w:tgtFrame="_new" w:history="1">
        <w:r w:rsidRPr="00256C25">
          <w:rPr>
            <w:rStyle w:val="Hyperlink"/>
            <w:rFonts w:ascii="Arial" w:hAnsi="Arial" w:cs="Arial"/>
            <w:sz w:val="20"/>
            <w:szCs w:val="20"/>
          </w:rPr>
          <w:t>https://data.opendevelopmentcambodia.net/laws_record/prakas-no-193-on-the-establishment-of-marine-fisheries-management-areas-in-po-archipelago-and-koh-t</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Royal Government of Cambodia</w:t>
      </w:r>
      <w:r w:rsidR="00501F31">
        <w:rPr>
          <w:rFonts w:ascii="Arial" w:hAnsi="Arial" w:cs="Arial"/>
          <w:sz w:val="20"/>
          <w:szCs w:val="20"/>
        </w:rPr>
        <w:t xml:space="preserve">, </w:t>
      </w:r>
      <w:r w:rsidRPr="00256C25">
        <w:rPr>
          <w:rFonts w:ascii="Arial" w:hAnsi="Arial" w:cs="Arial"/>
          <w:sz w:val="20"/>
          <w:szCs w:val="20"/>
        </w:rPr>
        <w:t>1999. Sub-Decree on Environmental Impact Assessment Process.</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Royal Government of Cambodia</w:t>
      </w:r>
      <w:r w:rsidR="00501F31">
        <w:rPr>
          <w:rFonts w:ascii="Arial" w:hAnsi="Arial" w:cs="Arial"/>
          <w:sz w:val="20"/>
          <w:szCs w:val="20"/>
        </w:rPr>
        <w:t xml:space="preserve">, </w:t>
      </w:r>
      <w:r w:rsidRPr="00256C25">
        <w:rPr>
          <w:rFonts w:ascii="Arial" w:hAnsi="Arial" w:cs="Arial"/>
          <w:sz w:val="20"/>
          <w:szCs w:val="20"/>
        </w:rPr>
        <w:t>2008. Protected Areas Law.</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Royal Government of Cambodia</w:t>
      </w:r>
      <w:r w:rsidR="00501F31">
        <w:rPr>
          <w:rFonts w:ascii="Arial" w:hAnsi="Arial" w:cs="Arial"/>
          <w:sz w:val="20"/>
          <w:szCs w:val="20"/>
        </w:rPr>
        <w:t xml:space="preserve">, </w:t>
      </w:r>
      <w:r w:rsidRPr="00256C25">
        <w:rPr>
          <w:rFonts w:ascii="Arial" w:hAnsi="Arial" w:cs="Arial"/>
          <w:sz w:val="20"/>
          <w:szCs w:val="20"/>
        </w:rPr>
        <w:t>2023. Code on Environment and Natural Resources.</w:t>
      </w:r>
    </w:p>
    <w:p w:rsidR="00F313D2" w:rsidRDefault="00F313D2" w:rsidP="00F313D2">
      <w:pPr>
        <w:pStyle w:val="NormalWeb"/>
        <w:adjustRightInd w:val="0"/>
        <w:snapToGrid w:val="0"/>
        <w:spacing w:before="0" w:beforeAutospacing="0" w:after="0" w:afterAutospacing="0"/>
        <w:ind w:left="567" w:hanging="567"/>
        <w:rPr>
          <w:rStyle w:val="Hyperlink"/>
          <w:rFonts w:ascii="Arial" w:hAnsi="Arial" w:cs="Arial"/>
          <w:sz w:val="20"/>
          <w:szCs w:val="20"/>
        </w:rPr>
      </w:pPr>
      <w:r w:rsidRPr="00256C25">
        <w:rPr>
          <w:rFonts w:ascii="Arial" w:hAnsi="Arial" w:cs="Arial"/>
          <w:sz w:val="20"/>
          <w:szCs w:val="20"/>
        </w:rPr>
        <w:t>Royal Government of Cambodia</w:t>
      </w:r>
      <w:r w:rsidR="00501F31">
        <w:rPr>
          <w:rFonts w:ascii="Arial" w:hAnsi="Arial" w:cs="Arial"/>
          <w:sz w:val="20"/>
          <w:szCs w:val="20"/>
        </w:rPr>
        <w:t xml:space="preserve">, </w:t>
      </w:r>
      <w:r w:rsidRPr="00256C25">
        <w:rPr>
          <w:rFonts w:ascii="Arial" w:hAnsi="Arial" w:cs="Arial"/>
          <w:sz w:val="20"/>
          <w:szCs w:val="20"/>
        </w:rPr>
        <w:t xml:space="preserve">2023. </w:t>
      </w:r>
      <w:r w:rsidRPr="00256C25">
        <w:rPr>
          <w:rStyle w:val="Emphasis"/>
          <w:rFonts w:ascii="Arial" w:hAnsi="Arial" w:cs="Arial"/>
          <w:sz w:val="20"/>
          <w:szCs w:val="20"/>
        </w:rPr>
        <w:t>Sub-Decree 171—Anlung Pring Protected Landscape reclassification.</w:t>
      </w:r>
      <w:r w:rsidRPr="00256C25">
        <w:rPr>
          <w:rFonts w:ascii="Arial" w:hAnsi="Arial" w:cs="Arial"/>
          <w:sz w:val="20"/>
          <w:szCs w:val="20"/>
        </w:rPr>
        <w:t xml:space="preserve"> </w:t>
      </w:r>
      <w:hyperlink r:id="rId148" w:tgtFrame="_new" w:history="1">
        <w:r w:rsidRPr="00256C25">
          <w:rPr>
            <w:rStyle w:val="Hyperlink"/>
            <w:rFonts w:ascii="Arial" w:hAnsi="Arial" w:cs="Arial"/>
            <w:sz w:val="20"/>
            <w:szCs w:val="20"/>
          </w:rPr>
          <w:t>https://data.opendevelopmentcambodia.net/laws_record/sub-decree-no-171-on-reclassifying-anlung-pring-protected-landscape</w:t>
        </w:r>
      </w:hyperlink>
    </w:p>
    <w:p w:rsidR="00501F31" w:rsidRPr="00501F31" w:rsidRDefault="00501F31" w:rsidP="00501F31">
      <w:pPr>
        <w:pStyle w:val="NormalWeb"/>
        <w:adjustRightInd w:val="0"/>
        <w:snapToGrid w:val="0"/>
        <w:spacing w:before="0" w:beforeAutospacing="0" w:after="0" w:afterAutospacing="0"/>
        <w:ind w:left="567" w:hanging="567"/>
        <w:rPr>
          <w:rFonts w:ascii="Arial" w:hAnsi="Arial" w:cs="Arial"/>
          <w:sz w:val="20"/>
          <w:szCs w:val="20"/>
        </w:rPr>
      </w:pPr>
      <w:r w:rsidRPr="00501F31">
        <w:rPr>
          <w:rFonts w:ascii="Arial" w:hAnsi="Arial" w:cs="Arial"/>
          <w:sz w:val="20"/>
          <w:szCs w:val="20"/>
        </w:rPr>
        <w:t xml:space="preserve">Royal Government of Cambodia, 2023. Sub-Decree no. 175 on reclassifying Botum Sakor National Park. ODC. </w:t>
      </w:r>
      <w:hyperlink r:id="rId149" w:history="1">
        <w:r w:rsidRPr="00501F31">
          <w:rPr>
            <w:rStyle w:val="Hyperlink"/>
            <w:rFonts w:ascii="Arial" w:hAnsi="Arial" w:cs="Arial"/>
            <w:sz w:val="20"/>
            <w:szCs w:val="20"/>
          </w:rPr>
          <w:t>https://data.opendevelopmentcambodia.net/en/laws_record/sub-decree-no-175-on-reclassifying-botum-sakor-national-park/resource/a50208a5-5722-4e30-bd45-c2ea9bf0e304</w:t>
        </w:r>
      </w:hyperlink>
      <w:r w:rsidRPr="00501F31">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University of Agriculture, 2025. </w:t>
      </w:r>
      <w:r w:rsidRPr="00256C25">
        <w:rPr>
          <w:rStyle w:val="Emphasis"/>
          <w:rFonts w:ascii="Arial" w:hAnsi="Arial" w:cs="Arial"/>
          <w:sz w:val="20"/>
          <w:szCs w:val="20"/>
        </w:rPr>
        <w:t>Institutional profile.</w:t>
      </w:r>
      <w:r w:rsidRPr="00256C25">
        <w:rPr>
          <w:rFonts w:ascii="Arial" w:hAnsi="Arial" w:cs="Arial"/>
          <w:sz w:val="20"/>
          <w:szCs w:val="20"/>
        </w:rPr>
        <w:t xml:space="preserve"> Royal University of Agriculture. </w:t>
      </w:r>
      <w:hyperlink r:id="rId150" w:history="1">
        <w:r w:rsidRPr="00256C25">
          <w:rPr>
            <w:rStyle w:val="Hyperlink"/>
            <w:rFonts w:ascii="Arial" w:hAnsi="Arial" w:cs="Arial"/>
            <w:sz w:val="20"/>
            <w:szCs w:val="20"/>
          </w:rPr>
          <w:t>https://rua.edu.kh/</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Royal University of Phnom Penh, 2024. </w:t>
      </w:r>
      <w:r w:rsidRPr="00256C25">
        <w:rPr>
          <w:rStyle w:val="Emphasis"/>
          <w:rFonts w:ascii="Arial" w:hAnsi="Arial" w:cs="Arial"/>
          <w:sz w:val="20"/>
          <w:szCs w:val="20"/>
        </w:rPr>
        <w:t>Department of Natural Resource Management and Development – Programme information.</w:t>
      </w:r>
      <w:r w:rsidRPr="00256C25">
        <w:rPr>
          <w:rFonts w:ascii="Arial" w:hAnsi="Arial" w:cs="Arial"/>
          <w:sz w:val="20"/>
          <w:szCs w:val="20"/>
        </w:rPr>
        <w:t xml:space="preserve"> Royal University of Phnom Penh. </w:t>
      </w:r>
      <w:hyperlink r:id="rId151" w:tgtFrame="_new" w:history="1">
        <w:r w:rsidRPr="00256C25">
          <w:rPr>
            <w:rStyle w:val="Hyperlink"/>
            <w:rFonts w:ascii="Arial" w:hAnsi="Arial" w:cs="Arial"/>
            <w:sz w:val="20"/>
            <w:szCs w:val="20"/>
          </w:rPr>
          <w:t>https://rupp.edu.kh/fds/dnrmd/</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SCS-SAP, 2021. Cambodia National Profile. UNEP/GEF. </w:t>
      </w:r>
      <w:hyperlink r:id="rId152" w:history="1">
        <w:r w:rsidRPr="00256C25">
          <w:rPr>
            <w:rStyle w:val="Hyperlink"/>
            <w:rFonts w:ascii="Arial" w:hAnsi="Arial" w:cs="Arial"/>
            <w:sz w:val="20"/>
            <w:szCs w:val="20"/>
          </w:rPr>
          <w:t>https://scssap.org/scs-sap-first-steering-committee-meeting/156-psc1-inf-3-cambodia-summary-profile/file</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SDG 6 Data Portal, 2023. </w:t>
      </w:r>
      <w:r w:rsidRPr="00256C25">
        <w:rPr>
          <w:rStyle w:val="Emphasis"/>
          <w:rFonts w:ascii="Arial" w:hAnsi="Arial" w:cs="Arial"/>
          <w:sz w:val="20"/>
          <w:szCs w:val="20"/>
        </w:rPr>
        <w:t>Cambodia – SDG indicators 6.5.1 and 6.5.2.</w:t>
      </w:r>
      <w:r w:rsidRPr="00256C25">
        <w:rPr>
          <w:rFonts w:ascii="Arial" w:hAnsi="Arial" w:cs="Arial"/>
          <w:sz w:val="20"/>
          <w:szCs w:val="20"/>
        </w:rPr>
        <w:t xml:space="preserve"> UN-Water. </w:t>
      </w:r>
      <w:hyperlink r:id="rId153" w:tgtFrame="_new" w:history="1">
        <w:r w:rsidRPr="00256C25">
          <w:rPr>
            <w:rStyle w:val="Hyperlink"/>
            <w:rFonts w:ascii="Arial" w:hAnsi="Arial" w:cs="Arial"/>
            <w:sz w:val="20"/>
            <w:szCs w:val="20"/>
          </w:rPr>
          <w:t>https://www.sdg6data.org/country-or-area/Cambodia</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Sea Around Us (SAU), 2020. </w:t>
      </w:r>
      <w:r w:rsidRPr="00256C25">
        <w:rPr>
          <w:rStyle w:val="Emphasis"/>
          <w:rFonts w:ascii="Arial" w:hAnsi="Arial" w:cs="Arial"/>
          <w:sz w:val="20"/>
          <w:szCs w:val="20"/>
        </w:rPr>
        <w:t>Subsidies dataset (2003 and 2009): Totals and categories for Cambodia – ratio to landed value analysis.</w:t>
      </w:r>
      <w:r w:rsidRPr="00256C25">
        <w:rPr>
          <w:rFonts w:ascii="Arial" w:hAnsi="Arial" w:cs="Arial"/>
          <w:sz w:val="20"/>
          <w:szCs w:val="20"/>
        </w:rPr>
        <w:t xml:space="preserve"> </w:t>
      </w:r>
      <w:hyperlink r:id="rId154" w:anchor="/subsidy/29" w:tgtFrame="_new" w:history="1">
        <w:r w:rsidRPr="00256C25">
          <w:rPr>
            <w:rStyle w:val="Hyperlink"/>
            <w:rFonts w:ascii="Arial" w:hAnsi="Arial" w:cs="Arial"/>
            <w:sz w:val="20"/>
            <w:szCs w:val="20"/>
          </w:rPr>
          <w:t>https://www.seaaroundus.org/data/#/subsidy/29</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Sea Around Us Project (SAUP), (1950–2019). </w:t>
      </w:r>
      <w:r w:rsidRPr="00256C25">
        <w:rPr>
          <w:rStyle w:val="Emphasis"/>
          <w:rFonts w:ascii="Arial" w:hAnsi="Arial" w:cs="Arial"/>
          <w:sz w:val="20"/>
          <w:szCs w:val="20"/>
        </w:rPr>
        <w:t>Reconstructed catches, stock-status plots, Marine Trophic Index (MTI), Fishing-in-Balance (FiB), and Primary Production Required (PPR) for Cambodia EEZ.</w:t>
      </w:r>
      <w:r w:rsidRPr="00256C25">
        <w:rPr>
          <w:rFonts w:ascii="Arial" w:hAnsi="Arial" w:cs="Arial"/>
          <w:sz w:val="20"/>
          <w:szCs w:val="20"/>
        </w:rPr>
        <w:t xml:space="preserve"> Vancouver: University of British Columbia. </w:t>
      </w:r>
      <w:hyperlink r:id="rId155" w:tgtFrame="_new" w:history="1">
        <w:r w:rsidRPr="00256C25">
          <w:rPr>
            <w:rStyle w:val="Hyperlink"/>
            <w:rFonts w:ascii="Arial" w:hAnsi="Arial" w:cs="Arial"/>
            <w:sz w:val="20"/>
            <w:szCs w:val="20"/>
          </w:rPr>
          <w:t>https://www.seaaroundus.org</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SEAFDEC (Southeast Asian Fisheries Development Center), 2019. </w:t>
      </w:r>
      <w:r w:rsidRPr="00256C25">
        <w:rPr>
          <w:rStyle w:val="Emphasis"/>
          <w:rFonts w:ascii="Arial" w:hAnsi="Arial" w:cs="Arial"/>
          <w:sz w:val="20"/>
          <w:szCs w:val="20"/>
        </w:rPr>
        <w:t>Fisheries Resource Survey in the Gulf of Thailand off Thailand and Cambodia by Using Bottom Trawl (Abstract).</w:t>
      </w:r>
      <w:r w:rsidRPr="00256C25">
        <w:rPr>
          <w:rFonts w:ascii="Arial" w:hAnsi="Arial" w:cs="Arial"/>
          <w:sz w:val="20"/>
          <w:szCs w:val="20"/>
        </w:rPr>
        <w:t xml:space="preserve"> Training Department, SEAFDEC, Samut Prakan, Thailand. </w:t>
      </w:r>
      <w:hyperlink r:id="rId156" w:tgtFrame="_new" w:history="1">
        <w:r w:rsidRPr="00256C25">
          <w:rPr>
            <w:rStyle w:val="Hyperlink"/>
            <w:rFonts w:ascii="Arial" w:hAnsi="Arial" w:cs="Arial"/>
            <w:sz w:val="20"/>
            <w:szCs w:val="20"/>
          </w:rPr>
          <w:t>http://map.seafdec.org/gotseed2/abstract/ab-Fisheries%20Resource%20Survey%20in%20the%20Gulf%20of%20Thialand%20off%20Thailand%20and%20Cambodia%20by%20Using%20Bottom%20Trawl.pdf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SEAFDEC (Southeast Asian Fisheries Development Center), 2024. </w:t>
      </w:r>
      <w:r w:rsidRPr="00256C25">
        <w:rPr>
          <w:rStyle w:val="Emphasis"/>
          <w:rFonts w:ascii="Arial" w:hAnsi="Arial" w:cs="Arial"/>
          <w:sz w:val="20"/>
          <w:szCs w:val="20"/>
        </w:rPr>
        <w:t>Regional and country information on fisheries and aquaculture in Southeast Asia – Cambodia profiles and updates.</w:t>
      </w:r>
      <w:r w:rsidRPr="00256C25">
        <w:rPr>
          <w:rFonts w:ascii="Arial" w:hAnsi="Arial" w:cs="Arial"/>
          <w:sz w:val="20"/>
          <w:szCs w:val="20"/>
        </w:rPr>
        <w:t xml:space="preserve"> </w:t>
      </w:r>
      <w:hyperlink r:id="rId157" w:tgtFrame="_new" w:history="1">
        <w:r w:rsidRPr="00256C25">
          <w:rPr>
            <w:rStyle w:val="Hyperlink"/>
            <w:rFonts w:ascii="Arial" w:hAnsi="Arial" w:cs="Arial"/>
            <w:sz w:val="20"/>
            <w:szCs w:val="20"/>
          </w:rPr>
          <w:t>https://www.seafdec.org</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SEAFDEC, 2025. Regional progress on NPOA-IUU implementation in the Gulf of Thailand. Southeast Asian Fisheries Development Center.</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Sethy, S., Sotharith, C., &amp; Yokota, I., 2017. Country report: Cambodia. In United Nations Centre for Regional Development (Ed.), </w:t>
      </w:r>
      <w:r w:rsidRPr="00256C25">
        <w:rPr>
          <w:rStyle w:val="Emphasis"/>
          <w:rFonts w:ascii="Arial" w:hAnsi="Arial" w:cs="Arial"/>
          <w:sz w:val="20"/>
          <w:szCs w:val="20"/>
        </w:rPr>
        <w:t>State of the 3Rs in Asia and the Pacific.</w:t>
      </w:r>
      <w:r w:rsidRPr="00256C25">
        <w:rPr>
          <w:rFonts w:ascii="Arial" w:hAnsi="Arial" w:cs="Arial"/>
          <w:sz w:val="20"/>
          <w:szCs w:val="20"/>
        </w:rPr>
        <w:t xml:space="preserve"> UNCRD.</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Sovann, S., 2022, March 10. </w:t>
      </w:r>
      <w:r w:rsidRPr="00256C25">
        <w:rPr>
          <w:rStyle w:val="Emphasis"/>
          <w:rFonts w:ascii="Arial" w:hAnsi="Arial" w:cs="Arial"/>
          <w:sz w:val="20"/>
          <w:szCs w:val="20"/>
        </w:rPr>
        <w:t>Polluted Kampot city creek threatens the environment.</w:t>
      </w:r>
      <w:r w:rsidRPr="00256C25">
        <w:rPr>
          <w:rFonts w:ascii="Arial" w:hAnsi="Arial" w:cs="Arial"/>
          <w:sz w:val="20"/>
          <w:szCs w:val="20"/>
        </w:rPr>
        <w:t xml:space="preserve"> CamboJA News. </w:t>
      </w:r>
      <w:hyperlink r:id="rId158" w:tgtFrame="_new" w:history="1">
        <w:r w:rsidRPr="00256C25">
          <w:rPr>
            <w:rStyle w:val="Hyperlink"/>
            <w:rFonts w:ascii="Arial" w:eastAsiaTheme="majorEastAsia" w:hAnsi="Arial" w:cs="Arial"/>
            <w:sz w:val="20"/>
            <w:szCs w:val="20"/>
          </w:rPr>
          <w:t>https://cambojanews.com/polluted-kampot-city-creek-threatens-the-environment/</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Spalding, M. D., Burke, L., Wood, S. A., Ashpole, J., Hutchison, J., &amp; zu Ermgassen, P., 2017. Appendix A: Supplementary information for “Mapping the global value and distribution of coral reef tourism.” Marine Policy (supplementary material). </w:t>
      </w:r>
      <w:hyperlink r:id="rId159" w:history="1">
        <w:r w:rsidRPr="00256C25">
          <w:rPr>
            <w:rStyle w:val="Hyperlink"/>
            <w:rFonts w:ascii="Arial" w:hAnsi="Arial" w:cs="Arial"/>
            <w:sz w:val="20"/>
            <w:szCs w:val="20"/>
          </w:rPr>
          <w:t>https://ars.els-cdn.com/content/image/1-s2.0-S0308597X17300635-mmc1.pdf</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Stockholm Convention Secretariat. (2024). </w:t>
      </w:r>
      <w:r w:rsidRPr="00256C25">
        <w:rPr>
          <w:rStyle w:val="Emphasis"/>
          <w:rFonts w:ascii="Arial" w:hAnsi="Arial" w:cs="Arial"/>
          <w:sz w:val="20"/>
          <w:szCs w:val="20"/>
        </w:rPr>
        <w:t>Status of ratifications – Parties and signatories to the Stockholm Convention on POPs.</w:t>
      </w:r>
      <w:r w:rsidRPr="00256C25">
        <w:rPr>
          <w:rFonts w:ascii="Arial" w:hAnsi="Arial" w:cs="Arial"/>
          <w:sz w:val="20"/>
          <w:szCs w:val="20"/>
        </w:rPr>
        <w:t xml:space="preserve"> Stockholm Convention. </w:t>
      </w:r>
      <w:hyperlink r:id="rId160" w:tgtFrame="_new" w:history="1">
        <w:r w:rsidRPr="00256C25">
          <w:rPr>
            <w:rStyle w:val="Hyperlink"/>
            <w:rFonts w:ascii="Arial" w:hAnsi="Arial" w:cs="Arial"/>
            <w:sz w:val="20"/>
            <w:szCs w:val="20"/>
          </w:rPr>
          <w:t>http://chm.pops.int/Countries/StatusofRatifications/PartiesandSignatoires/tabid/4500/Default.aspx</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Thay, M. S., et al., 2022. </w:t>
      </w:r>
      <w:r w:rsidRPr="00256C25">
        <w:rPr>
          <w:rStyle w:val="Emphasis"/>
          <w:rFonts w:ascii="Arial" w:hAnsi="Arial" w:cs="Arial"/>
          <w:sz w:val="20"/>
          <w:szCs w:val="20"/>
        </w:rPr>
        <w:t>Accelerating the development of finfish mariculture in Cambodia (ACIAR–FiA Project Report).</w:t>
      </w:r>
      <w:r w:rsidRPr="00256C25">
        <w:rPr>
          <w:rFonts w:ascii="Arial" w:hAnsi="Arial" w:cs="Arial"/>
          <w:sz w:val="20"/>
          <w:szCs w:val="20"/>
        </w:rPr>
        <w:t xml:space="preserve"> Canberra: Australian Centre for International Agricultural Research (ACIAR). </w:t>
      </w:r>
      <w:hyperlink r:id="rId161" w:tgtFrame="_new" w:history="1">
        <w:r w:rsidRPr="00256C25">
          <w:rPr>
            <w:rStyle w:val="Hyperlink"/>
            <w:rFonts w:ascii="Arial" w:hAnsi="Arial" w:cs="Arial"/>
            <w:sz w:val="20"/>
            <w:szCs w:val="20"/>
          </w:rPr>
          <w:t>https://aciar.gov.au</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Tubbs, S. E., et al., 2019. </w:t>
      </w:r>
      <w:r w:rsidRPr="00256C25">
        <w:rPr>
          <w:rStyle w:val="Emphasis"/>
          <w:rFonts w:ascii="Arial" w:hAnsi="Arial" w:cs="Arial"/>
          <w:sz w:val="20"/>
          <w:szCs w:val="20"/>
        </w:rPr>
        <w:t>Sighting and Stranding Reports of Irrawaddy Dolphins (Orcaella brevirostris) and Dugongs (Dugong dugon) in Kep and Kampot, Cambodia.</w:t>
      </w:r>
      <w:r w:rsidRPr="00256C25">
        <w:rPr>
          <w:rFonts w:ascii="Arial" w:hAnsi="Arial" w:cs="Arial"/>
          <w:sz w:val="20"/>
          <w:szCs w:val="20"/>
        </w:rPr>
        <w:t xml:space="preserve"> </w:t>
      </w:r>
      <w:r w:rsidRPr="00256C25">
        <w:rPr>
          <w:rStyle w:val="Strong"/>
          <w:rFonts w:ascii="Arial" w:hAnsi="Arial" w:cs="Arial"/>
          <w:sz w:val="20"/>
          <w:szCs w:val="20"/>
        </w:rPr>
        <w:t>Aquatic Mammals, 45</w:t>
      </w:r>
      <w:r w:rsidRPr="00256C25">
        <w:rPr>
          <w:rFonts w:ascii="Arial" w:hAnsi="Arial" w:cs="Arial"/>
          <w:sz w:val="20"/>
          <w:szCs w:val="20"/>
        </w:rPr>
        <w:t xml:space="preserve">(5), 573–582. </w:t>
      </w:r>
      <w:hyperlink r:id="rId162" w:history="1">
        <w:r w:rsidRPr="00256C25">
          <w:rPr>
            <w:rStyle w:val="Hyperlink"/>
            <w:rFonts w:ascii="Arial" w:hAnsi="Arial" w:cs="Arial"/>
            <w:sz w:val="20"/>
            <w:szCs w:val="20"/>
          </w:rPr>
          <w:t>https://www.researchgate.net/publication/335829042_Sighting_and_Stranding_Reports_of_Irrawaddy_Dolphins_Orcaella_brevirostris_and_Dugongs_Dugong_dugon_in_Kep_and_Kampot_Cambodia</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UN-Habitat, 2019. </w:t>
      </w:r>
      <w:r w:rsidRPr="00256C25">
        <w:rPr>
          <w:rStyle w:val="Emphasis"/>
          <w:rFonts w:ascii="Arial" w:hAnsi="Arial" w:cs="Arial"/>
          <w:sz w:val="20"/>
          <w:szCs w:val="20"/>
        </w:rPr>
        <w:t>Cities and climate change initiative Sihanoukville, Cambodia: Climate change vulnerability assessment.</w:t>
      </w:r>
      <w:r w:rsidRPr="00256C25">
        <w:rPr>
          <w:rFonts w:ascii="Arial" w:hAnsi="Arial" w:cs="Arial"/>
          <w:sz w:val="20"/>
          <w:szCs w:val="20"/>
        </w:rPr>
        <w:t xml:space="preserve"> </w:t>
      </w:r>
      <w:hyperlink r:id="rId163" w:history="1">
        <w:r w:rsidRPr="00256C25">
          <w:rPr>
            <w:rStyle w:val="Hyperlink"/>
            <w:rFonts w:ascii="Arial" w:hAnsi="Arial" w:cs="Arial"/>
            <w:sz w:val="20"/>
            <w:szCs w:val="20"/>
          </w:rPr>
          <w:t>https://unhabitat.org/sites/default/files/documents/2019-04/sihanoukville_city_vulnerability_assessment.pdf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UN-Habitat. (2025). Urban environmental management and waste diagnostics for Cambodian secondary cities. United Nations Human Settlements Programme.</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UNDP, 2024. Human Development Report 2023/24: Statistical annex—Data center. </w:t>
      </w:r>
      <w:hyperlink r:id="rId164" w:history="1">
        <w:r w:rsidRPr="00256C25">
          <w:rPr>
            <w:rStyle w:val="Hyperlink"/>
            <w:rFonts w:ascii="Arial" w:hAnsi="Arial" w:cs="Arial"/>
            <w:sz w:val="20"/>
            <w:szCs w:val="20"/>
          </w:rPr>
          <w:t>https://hdr.undp.org/data-center/documentation-and-downloads</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UNDP, 2025. Infographics: Cambodia 2025 Human Development Status. </w:t>
      </w:r>
      <w:hyperlink r:id="rId165" w:history="1">
        <w:r w:rsidRPr="00256C25">
          <w:rPr>
            <w:rStyle w:val="Hyperlink"/>
            <w:rFonts w:ascii="Arial" w:hAnsi="Arial" w:cs="Arial"/>
            <w:sz w:val="20"/>
            <w:szCs w:val="20"/>
          </w:rPr>
          <w:t>https://www.undp.org/cambodia/publications/infographics-cambodia-2025-human-development-status</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UNEP/GEF SCS, 2008. National reports on seagrass in the South China Sea &amp; Cambodia national profile. </w:t>
      </w:r>
      <w:hyperlink r:id="rId166" w:history="1">
        <w:r w:rsidRPr="00256C25">
          <w:rPr>
            <w:rStyle w:val="Hyperlink"/>
            <w:rFonts w:ascii="Arial" w:hAnsi="Arial" w:cs="Arial"/>
            <w:sz w:val="20"/>
            <w:szCs w:val="20"/>
          </w:rPr>
          <w:t>https://iwlearn.net/resolveuid/6abc857925542c108f72e2f1e9147b97</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UNIDO; Fisheries Administration, Ministry of Agriculture, Forestry and Fisheries (FiA-MAFF). (2015). Final report on marine fish value chains. Phnom Penh, Cambodia. </w:t>
      </w:r>
      <w:hyperlink r:id="rId167" w:history="1">
        <w:r w:rsidRPr="00256C25">
          <w:rPr>
            <w:rStyle w:val="Hyperlink"/>
            <w:rFonts w:ascii="Arial" w:hAnsi="Arial" w:cs="Arial"/>
            <w:sz w:val="20"/>
            <w:szCs w:val="20"/>
          </w:rPr>
          <w:t>https://elibrary.maff.gov.kh/assets/files/books/559bdaa37b1204b52a75c8f5dc6f7e4d1700534779.pdf</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United Nations Centre for Regional Development, 2023. </w:t>
      </w:r>
      <w:r w:rsidRPr="00256C25">
        <w:rPr>
          <w:rStyle w:val="Emphasis"/>
          <w:rFonts w:ascii="Arial" w:hAnsi="Arial" w:cs="Arial"/>
          <w:sz w:val="20"/>
          <w:szCs w:val="20"/>
        </w:rPr>
        <w:t>Country summary on hazardous waste management and co-processing in cement kilns: Cambodia.</w:t>
      </w:r>
      <w:r w:rsidRPr="00256C25">
        <w:rPr>
          <w:rFonts w:ascii="Arial" w:hAnsi="Arial" w:cs="Arial"/>
          <w:sz w:val="20"/>
          <w:szCs w:val="20"/>
        </w:rPr>
        <w:t xml:space="preserve"> UNCRD.</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United Nations Development Programme, 2021. </w:t>
      </w:r>
      <w:r w:rsidRPr="00256C25">
        <w:rPr>
          <w:rStyle w:val="Emphasis"/>
          <w:rFonts w:ascii="Arial" w:hAnsi="Arial" w:cs="Arial"/>
          <w:sz w:val="20"/>
          <w:szCs w:val="20"/>
        </w:rPr>
        <w:t>COVID-19 and medical waste management in Cambodia.</w:t>
      </w:r>
      <w:r w:rsidRPr="00256C25">
        <w:rPr>
          <w:rFonts w:ascii="Arial" w:hAnsi="Arial" w:cs="Arial"/>
          <w:sz w:val="20"/>
          <w:szCs w:val="20"/>
        </w:rPr>
        <w:t xml:space="preserve"> UNDP.</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United Nations Development Programme, 2022. </w:t>
      </w:r>
      <w:r w:rsidRPr="00256C25">
        <w:rPr>
          <w:rStyle w:val="Emphasis"/>
          <w:rFonts w:ascii="Arial" w:hAnsi="Arial" w:cs="Arial"/>
          <w:sz w:val="20"/>
          <w:szCs w:val="20"/>
        </w:rPr>
        <w:t>Plastic waste management in Phnom Penh: Baseline assessment.</w:t>
      </w:r>
      <w:r w:rsidRPr="00256C25">
        <w:rPr>
          <w:rFonts w:ascii="Arial" w:hAnsi="Arial" w:cs="Arial"/>
          <w:sz w:val="20"/>
          <w:szCs w:val="20"/>
        </w:rPr>
        <w:t xml:space="preserve"> UNDP.</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United Nations Economic Commission for Europe, &amp; UN-Water, 2023. </w:t>
      </w:r>
      <w:r w:rsidRPr="00256C25">
        <w:rPr>
          <w:rStyle w:val="Emphasis"/>
          <w:rFonts w:ascii="Arial" w:hAnsi="Arial" w:cs="Arial"/>
          <w:sz w:val="20"/>
          <w:szCs w:val="20"/>
        </w:rPr>
        <w:t>Cambodia: Third reporting exercise for SDG indicator 6.5.2 – Proportion of transboundary basin area with an operational arrangement for water cooperation.</w:t>
      </w:r>
      <w:r w:rsidRPr="00256C25">
        <w:rPr>
          <w:rFonts w:ascii="Arial" w:hAnsi="Arial" w:cs="Arial"/>
          <w:sz w:val="20"/>
          <w:szCs w:val="20"/>
        </w:rPr>
        <w:t xml:space="preserve"> UNECE. </w:t>
      </w:r>
      <w:hyperlink r:id="rId168" w:history="1">
        <w:r w:rsidRPr="00256C25">
          <w:rPr>
            <w:rStyle w:val="Hyperlink"/>
            <w:rFonts w:ascii="Arial" w:hAnsi="Arial" w:cs="Arial"/>
            <w:sz w:val="20"/>
            <w:szCs w:val="20"/>
          </w:rPr>
          <w:t>https://unece.org/environmental-policy/third-reporting-exercise-202324-sdg-indicator-652</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United Nations Environment Programme / Coordinating Body on the Seas of East Asia, 2019. </w:t>
      </w:r>
      <w:r w:rsidRPr="00256C25">
        <w:rPr>
          <w:rStyle w:val="Emphasis"/>
          <w:rFonts w:ascii="Arial" w:hAnsi="Arial" w:cs="Arial"/>
          <w:sz w:val="20"/>
          <w:szCs w:val="20"/>
        </w:rPr>
        <w:t>COBSEA regional action plan on marine litter (RAP MALI).</w:t>
      </w:r>
      <w:r w:rsidRPr="00256C25">
        <w:rPr>
          <w:rFonts w:ascii="Arial" w:hAnsi="Arial" w:cs="Arial"/>
          <w:sz w:val="20"/>
          <w:szCs w:val="20"/>
        </w:rPr>
        <w:t xml:space="preserve"> UNEP. </w:t>
      </w:r>
      <w:hyperlink r:id="rId169" w:tgtFrame="_new" w:history="1">
        <w:r w:rsidRPr="00256C25">
          <w:rPr>
            <w:rStyle w:val="Hyperlink"/>
            <w:rFonts w:ascii="Arial" w:hAnsi="Arial" w:cs="Arial"/>
            <w:sz w:val="20"/>
            <w:szCs w:val="20"/>
          </w:rPr>
          <w:t>https://www.unep.org/cobsea/resources/policy-and-strategy/cobsea-regional-action-plan-marine-litter-2019-rap-mali</w:t>
        </w:r>
      </w:hyperlink>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United Nations Environment Programme, 2021. </w:t>
      </w:r>
      <w:r w:rsidRPr="00256C25">
        <w:rPr>
          <w:rStyle w:val="Emphasis"/>
          <w:rFonts w:ascii="Arial" w:hAnsi="Arial" w:cs="Arial"/>
          <w:sz w:val="20"/>
          <w:szCs w:val="20"/>
        </w:rPr>
        <w:t>Policy and regulatory framework for marine plastic waste management in Cambodia.</w:t>
      </w:r>
      <w:r w:rsidRPr="00256C25">
        <w:rPr>
          <w:rFonts w:ascii="Arial" w:hAnsi="Arial" w:cs="Arial"/>
          <w:sz w:val="20"/>
          <w:szCs w:val="20"/>
        </w:rPr>
        <w:t xml:space="preserve"> UNEP &amp; Royal Government of Cambodia.</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United Nations Environment Programme, 2022. </w:t>
      </w:r>
      <w:r w:rsidRPr="00256C25">
        <w:rPr>
          <w:rStyle w:val="Emphasis"/>
          <w:rFonts w:ascii="Arial" w:hAnsi="Arial" w:cs="Arial"/>
          <w:sz w:val="20"/>
          <w:szCs w:val="20"/>
        </w:rPr>
        <w:t>Guidelines for environmentally sound mariculture and nutrient management in the Gulf of Thailand.</w:t>
      </w:r>
      <w:r w:rsidRPr="00256C25">
        <w:rPr>
          <w:rFonts w:ascii="Arial" w:hAnsi="Arial" w:cs="Arial"/>
          <w:sz w:val="20"/>
          <w:szCs w:val="20"/>
        </w:rPr>
        <w:t xml:space="preserve"> UNEP.</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United Nations Framework Convention on Climate Change Secretariat. </w:t>
      </w:r>
      <w:r w:rsidRPr="00256C25">
        <w:rPr>
          <w:rStyle w:val="Emphasis"/>
          <w:rFonts w:ascii="Arial" w:hAnsi="Arial" w:cs="Arial"/>
          <w:sz w:val="20"/>
          <w:szCs w:val="20"/>
        </w:rPr>
        <w:t>Status of the UNFCCC, Kyoto Protocol and Paris Agreement – Cambodia.</w:t>
      </w:r>
      <w:r w:rsidRPr="00256C25">
        <w:rPr>
          <w:rFonts w:ascii="Arial" w:hAnsi="Arial" w:cs="Arial"/>
          <w:sz w:val="20"/>
          <w:szCs w:val="20"/>
        </w:rPr>
        <w:t xml:space="preserve"> UNFCCC. </w:t>
      </w:r>
      <w:hyperlink r:id="rId170" w:history="1">
        <w:r w:rsidRPr="00256C25">
          <w:rPr>
            <w:rStyle w:val="Hyperlink"/>
            <w:rFonts w:ascii="Arial" w:hAnsi="Arial" w:cs="Arial"/>
            <w:sz w:val="20"/>
            <w:szCs w:val="20"/>
          </w:rPr>
          <w:t>https://unfccc.int/node/180416</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United Nations Framework Convention on Climate Change, 2022. </w:t>
      </w:r>
      <w:r w:rsidRPr="00256C25">
        <w:rPr>
          <w:rStyle w:val="Emphasis"/>
          <w:rFonts w:ascii="Arial" w:hAnsi="Arial" w:cs="Arial"/>
          <w:sz w:val="20"/>
          <w:szCs w:val="20"/>
        </w:rPr>
        <w:t>Kingdom of Cambodia: Third national communication under the United Nations Framework Convention on Climate Change.</w:t>
      </w:r>
      <w:r w:rsidRPr="00256C25">
        <w:rPr>
          <w:rFonts w:ascii="Arial" w:hAnsi="Arial" w:cs="Arial"/>
          <w:sz w:val="20"/>
          <w:szCs w:val="20"/>
        </w:rPr>
        <w:t xml:space="preserve"> </w:t>
      </w:r>
      <w:hyperlink r:id="rId171" w:tgtFrame="_new" w:history="1">
        <w:r w:rsidRPr="00256C25">
          <w:rPr>
            <w:rStyle w:val="Hyperlink"/>
            <w:rFonts w:ascii="Arial" w:eastAsiaTheme="majorEastAsia" w:hAnsi="Arial" w:cs="Arial"/>
            <w:sz w:val="20"/>
            <w:szCs w:val="20"/>
          </w:rPr>
          <w:t>https://unfccc.int/sites/default/files/resource/20220921_Third%20National%20Communication_Cambodia.pdf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United Nations PAGE, 2025. </w:t>
      </w:r>
      <w:r w:rsidRPr="00256C25">
        <w:rPr>
          <w:rStyle w:val="Emphasis"/>
          <w:rFonts w:ascii="Arial" w:hAnsi="Arial" w:cs="Arial"/>
          <w:sz w:val="20"/>
          <w:szCs w:val="20"/>
        </w:rPr>
        <w:t>Youth-led plastic reduction campaign transforms communities in Cambodia.</w:t>
      </w:r>
      <w:r w:rsidRPr="00256C25">
        <w:rPr>
          <w:rFonts w:ascii="Arial" w:hAnsi="Arial" w:cs="Arial"/>
          <w:sz w:val="20"/>
          <w:szCs w:val="20"/>
        </w:rPr>
        <w:t xml:space="preserve"> UN PAGE. </w:t>
      </w:r>
      <w:hyperlink r:id="rId172" w:tgtFrame="_new" w:history="1">
        <w:r w:rsidRPr="00256C25">
          <w:rPr>
            <w:rStyle w:val="Hyperlink"/>
            <w:rFonts w:ascii="Arial" w:hAnsi="Arial" w:cs="Arial"/>
            <w:sz w:val="20"/>
            <w:szCs w:val="20"/>
          </w:rPr>
          <w:t>https://www.un-page.org/news/youth-led-plastic-reduction-campaign-transforms-communities-in-cambodia/</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United Nations Treaty Collection, 2002. </w:t>
      </w:r>
      <w:r w:rsidRPr="00256C25">
        <w:rPr>
          <w:rStyle w:val="Emphasis"/>
          <w:rFonts w:ascii="Arial" w:hAnsi="Arial" w:cs="Arial"/>
          <w:sz w:val="20"/>
          <w:szCs w:val="20"/>
        </w:rPr>
        <w:t>Kyoto Protocol to the United Nations Framework Convention on Climate Change – Status of ratification: Cambodia.</w:t>
      </w:r>
      <w:r w:rsidRPr="00256C25">
        <w:rPr>
          <w:rFonts w:ascii="Arial" w:hAnsi="Arial" w:cs="Arial"/>
          <w:sz w:val="20"/>
          <w:szCs w:val="20"/>
        </w:rPr>
        <w:t xml:space="preserve"> United Nations. </w:t>
      </w:r>
      <w:hyperlink r:id="rId173" w:tgtFrame="_new" w:history="1">
        <w:r w:rsidRPr="00256C25">
          <w:rPr>
            <w:rStyle w:val="Hyperlink"/>
            <w:rFonts w:ascii="Arial" w:hAnsi="Arial" w:cs="Arial"/>
            <w:sz w:val="20"/>
            <w:szCs w:val="20"/>
          </w:rPr>
          <w:t>https://treaties.un.org/Pages/ViewDetails.aspx?src=TREATY&amp;mtdsg_no=XXVII-7-a&amp;chapter=27&amp;clang=_en</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United Nations Treaty Collection, 2025. </w:t>
      </w:r>
      <w:r w:rsidRPr="00256C25">
        <w:rPr>
          <w:rStyle w:val="Emphasis"/>
          <w:rFonts w:ascii="Arial" w:hAnsi="Arial" w:cs="Arial"/>
          <w:sz w:val="20"/>
          <w:szCs w:val="20"/>
        </w:rPr>
        <w:t>Agreement under the United Nations Convention on the Law of the Sea on the conservation and sustainable use of marine biological diversity of areas beyond national jurisdiction (BBNJ Agreement) – Status of ratification.</w:t>
      </w:r>
      <w:r w:rsidRPr="00256C25">
        <w:rPr>
          <w:rFonts w:ascii="Arial" w:hAnsi="Arial" w:cs="Arial"/>
          <w:sz w:val="20"/>
          <w:szCs w:val="20"/>
        </w:rPr>
        <w:t xml:space="preserve"> United Nations. </w:t>
      </w:r>
      <w:hyperlink r:id="rId174" w:tgtFrame="_new" w:history="1">
        <w:r w:rsidRPr="00256C25">
          <w:rPr>
            <w:rStyle w:val="Hyperlink"/>
            <w:rFonts w:ascii="Arial" w:hAnsi="Arial" w:cs="Arial"/>
            <w:sz w:val="20"/>
            <w:szCs w:val="20"/>
          </w:rPr>
          <w:t>https://treaties.un.org/Pages/ViewDetails.aspx?src=TREATY&amp;mtdsg_no=XXI-10&amp;chapter=21&amp;clang=_en</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United Nations, Department of Economic and Social Affairs, Population Division, 2019. World Urbanization Prospects: The 2018 Revision – Urban and Rural Populations [dataset]. </w:t>
      </w:r>
      <w:hyperlink r:id="rId175" w:history="1">
        <w:r w:rsidRPr="00256C25">
          <w:rPr>
            <w:rStyle w:val="Hyperlink"/>
            <w:rFonts w:ascii="Arial" w:hAnsi="Arial" w:cs="Arial"/>
            <w:sz w:val="20"/>
            <w:szCs w:val="20"/>
          </w:rPr>
          <w:t>https://population.un.org/wup/downloads?tab=Urban%20and%20Rural%20Populations</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Water Environment Partnership in Asia, 2023. </w:t>
      </w:r>
      <w:r w:rsidRPr="00256C25">
        <w:rPr>
          <w:rStyle w:val="Emphasis"/>
          <w:rFonts w:ascii="Arial" w:hAnsi="Arial" w:cs="Arial"/>
          <w:sz w:val="20"/>
          <w:szCs w:val="20"/>
        </w:rPr>
        <w:t>Cambodia: State of wastewater treatment and management.</w:t>
      </w:r>
      <w:r w:rsidRPr="00256C25">
        <w:rPr>
          <w:rFonts w:ascii="Arial" w:hAnsi="Arial" w:cs="Arial"/>
          <w:sz w:val="20"/>
          <w:szCs w:val="20"/>
        </w:rPr>
        <w:t xml:space="preserve"> WEPA. </w:t>
      </w:r>
      <w:hyperlink r:id="rId176" w:history="1">
        <w:r w:rsidRPr="00256C25">
          <w:rPr>
            <w:rStyle w:val="Hyperlink"/>
            <w:rFonts w:ascii="Arial" w:hAnsi="Arial" w:cs="Arial"/>
            <w:sz w:val="20"/>
            <w:szCs w:val="20"/>
          </w:rPr>
          <w:t>https://wepa-db.net/policies/state/kh/cambodia/state-of-wastewater-treatment-management/</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WHO/UNICEF Joint Monitoring Programme (JMP) for Water Supply, Sanitation and Hygiene. (n.d.). Country data: Cambodia. </w:t>
      </w:r>
      <w:hyperlink r:id="rId177" w:history="1">
        <w:r w:rsidRPr="00256C25">
          <w:rPr>
            <w:rStyle w:val="Hyperlink"/>
            <w:rFonts w:ascii="Arial" w:hAnsi="Arial" w:cs="Arial"/>
            <w:sz w:val="20"/>
            <w:szCs w:val="20"/>
          </w:rPr>
          <w:t>https://washdata.org/data/home</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Wild Earth Allies, 2016–present. </w:t>
      </w:r>
      <w:r w:rsidRPr="00256C25">
        <w:rPr>
          <w:rStyle w:val="Emphasis"/>
          <w:rFonts w:ascii="Arial" w:hAnsi="Arial" w:cs="Arial"/>
          <w:sz w:val="20"/>
          <w:szCs w:val="20"/>
        </w:rPr>
        <w:t>Programme profile – Cambodia coastal and marine conservation.</w:t>
      </w:r>
      <w:r w:rsidRPr="00256C25">
        <w:rPr>
          <w:rFonts w:ascii="Arial" w:hAnsi="Arial" w:cs="Arial"/>
          <w:sz w:val="20"/>
          <w:szCs w:val="20"/>
        </w:rPr>
        <w:t xml:space="preserve"> Wild Earth Allies. </w:t>
      </w:r>
      <w:hyperlink r:id="rId178" w:tgtFrame="_new" w:history="1">
        <w:r w:rsidRPr="00256C25">
          <w:rPr>
            <w:rStyle w:val="Hyperlink"/>
            <w:rFonts w:ascii="Arial" w:hAnsi="Arial" w:cs="Arial"/>
            <w:sz w:val="20"/>
            <w:szCs w:val="20"/>
          </w:rPr>
          <w:t>https://wildearthallies.org/</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Wild Earth Allies, 2020. </w:t>
      </w:r>
      <w:r w:rsidRPr="00256C25">
        <w:rPr>
          <w:rStyle w:val="Emphasis"/>
          <w:rFonts w:ascii="Arial" w:hAnsi="Arial" w:cs="Arial"/>
          <w:sz w:val="20"/>
          <w:szCs w:val="20"/>
        </w:rPr>
        <w:t xml:space="preserve">Marine Biodiversity Assessment, Kampot, Cambodia: Baseline Survey of Seagrass Beds, Coral Reefs and Dolphins.  </w:t>
      </w:r>
      <w:hyperlink r:id="rId179" w:history="1">
        <w:r w:rsidRPr="00256C25">
          <w:rPr>
            <w:rStyle w:val="Hyperlink"/>
            <w:rFonts w:ascii="Arial" w:hAnsi="Arial" w:cs="Arial"/>
            <w:sz w:val="20"/>
            <w:szCs w:val="20"/>
          </w:rPr>
          <w:t>https://wildearthallies.org/wp-content/uploads/2020/10/Kampot-Marine-Biodiversity-Assessment-2020_FINAL.pdf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Wildlife Conservation Society, 2023. </w:t>
      </w:r>
      <w:r w:rsidRPr="00256C25">
        <w:rPr>
          <w:rStyle w:val="Emphasis"/>
          <w:rFonts w:ascii="Arial" w:hAnsi="Arial" w:cs="Arial"/>
          <w:sz w:val="20"/>
          <w:szCs w:val="20"/>
        </w:rPr>
        <w:t>Partners against wildlife crime (2019–2023).</w:t>
      </w:r>
      <w:r w:rsidRPr="00256C25">
        <w:rPr>
          <w:rFonts w:ascii="Arial" w:hAnsi="Arial" w:cs="Arial"/>
          <w:sz w:val="20"/>
          <w:szCs w:val="20"/>
        </w:rPr>
        <w:t xml:space="preserve"> Wildlife Conservation Society. </w:t>
      </w:r>
      <w:hyperlink r:id="rId180" w:tgtFrame="_new" w:history="1">
        <w:r w:rsidRPr="00256C25">
          <w:rPr>
            <w:rStyle w:val="Hyperlink"/>
            <w:rFonts w:ascii="Arial" w:hAnsi="Arial" w:cs="Arial"/>
            <w:sz w:val="20"/>
            <w:szCs w:val="20"/>
          </w:rPr>
          <w:t>https://brussels.wcs.org/Our-Work/Counter-Wildlife-Trafficking/Partners-against-Wildlife-Crime-2019-2023</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World Bank Group, 2025. </w:t>
      </w:r>
      <w:r w:rsidRPr="00256C25">
        <w:rPr>
          <w:rStyle w:val="Emphasis"/>
          <w:rFonts w:ascii="Arial" w:hAnsi="Arial" w:cs="Arial"/>
          <w:sz w:val="20"/>
          <w:szCs w:val="20"/>
        </w:rPr>
        <w:t>World development indicators: Cambodia.</w:t>
      </w:r>
      <w:r w:rsidRPr="00256C25">
        <w:rPr>
          <w:rFonts w:ascii="Arial" w:hAnsi="Arial" w:cs="Arial"/>
          <w:sz w:val="20"/>
          <w:szCs w:val="20"/>
        </w:rPr>
        <w:t xml:space="preserve"> World Bank. </w:t>
      </w:r>
      <w:hyperlink r:id="rId181" w:tgtFrame="_new" w:history="1">
        <w:r w:rsidRPr="00256C25">
          <w:rPr>
            <w:rStyle w:val="Hyperlink"/>
            <w:rFonts w:ascii="Arial" w:hAnsi="Arial" w:cs="Arial"/>
            <w:sz w:val="20"/>
            <w:szCs w:val="20"/>
          </w:rPr>
          <w:t>https://data.worldbank.org/?locations=KH</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World Bank Group; Asian Development Bank, 2021. Climate Risk Country Profile: Cambodia. © World Bank and Asian Development Bank. </w:t>
      </w:r>
      <w:hyperlink r:id="rId182" w:history="1">
        <w:r w:rsidRPr="00256C25">
          <w:rPr>
            <w:rStyle w:val="Hyperlink"/>
            <w:rFonts w:ascii="Arial" w:hAnsi="Arial" w:cs="Arial"/>
            <w:sz w:val="20"/>
            <w:szCs w:val="20"/>
          </w:rPr>
          <w:t>https://openknowledge.worldbank.org/entities/publication/60408468-05b9-5d25-920e-ce7010462340</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World Bank, 2014. </w:t>
      </w:r>
      <w:r w:rsidRPr="00256C25">
        <w:rPr>
          <w:rFonts w:ascii="Arial" w:hAnsi="Arial" w:cs="Arial"/>
          <w:i/>
          <w:iCs/>
          <w:sz w:val="20"/>
          <w:szCs w:val="20"/>
        </w:rPr>
        <w:t>Where have all the poor gone? Cambodia poverty assessment 2013</w:t>
      </w:r>
      <w:r w:rsidRPr="00256C25">
        <w:rPr>
          <w:rFonts w:ascii="Arial" w:hAnsi="Arial" w:cs="Arial"/>
          <w:sz w:val="20"/>
          <w:szCs w:val="20"/>
        </w:rPr>
        <w:t xml:space="preserve">. World Bank. </w:t>
      </w:r>
      <w:hyperlink r:id="rId183" w:history="1">
        <w:r w:rsidRPr="00256C25">
          <w:rPr>
            <w:rStyle w:val="Hyperlink"/>
            <w:rFonts w:ascii="Arial" w:hAnsi="Arial" w:cs="Arial"/>
            <w:sz w:val="20"/>
            <w:szCs w:val="20"/>
          </w:rPr>
          <w:t>https://documents.worldbank.org/</w:t>
        </w:r>
      </w:hyperlink>
    </w:p>
    <w:p w:rsidR="00F313D2" w:rsidRPr="00256C25" w:rsidRDefault="00F313D2" w:rsidP="00F313D2">
      <w:pPr>
        <w:pStyle w:val="NormalWeb"/>
        <w:adjustRightInd w:val="0"/>
        <w:snapToGrid w:val="0"/>
        <w:spacing w:before="0" w:beforeAutospacing="0" w:after="0" w:afterAutospacing="0"/>
        <w:ind w:left="567" w:hanging="567"/>
        <w:rPr>
          <w:rStyle w:val="Hyperlink"/>
          <w:rFonts w:ascii="Arial" w:hAnsi="Arial" w:cs="Arial"/>
          <w:sz w:val="20"/>
          <w:szCs w:val="20"/>
        </w:rPr>
      </w:pPr>
      <w:r w:rsidRPr="00256C25">
        <w:rPr>
          <w:rFonts w:ascii="Arial" w:hAnsi="Arial" w:cs="Arial"/>
          <w:sz w:val="20"/>
          <w:szCs w:val="20"/>
        </w:rPr>
        <w:t xml:space="preserve">World Bank, 2020. </w:t>
      </w:r>
      <w:r w:rsidRPr="00256C25">
        <w:rPr>
          <w:rStyle w:val="Emphasis"/>
          <w:rFonts w:ascii="Arial" w:hAnsi="Arial" w:cs="Arial"/>
          <w:sz w:val="20"/>
          <w:szCs w:val="20"/>
        </w:rPr>
        <w:t>Cambodia: Solid Waste and Plastic Management Improvement Project (P170976).</w:t>
      </w:r>
      <w:r w:rsidRPr="00256C25">
        <w:rPr>
          <w:rFonts w:ascii="Arial" w:hAnsi="Arial" w:cs="Arial"/>
          <w:sz w:val="20"/>
          <w:szCs w:val="20"/>
        </w:rPr>
        <w:t xml:space="preserve"> </w:t>
      </w:r>
      <w:hyperlink r:id="rId184" w:tgtFrame="_new" w:history="1">
        <w:r w:rsidRPr="00256C25">
          <w:rPr>
            <w:rStyle w:val="Hyperlink"/>
            <w:rFonts w:ascii="Arial" w:hAnsi="Arial" w:cs="Arial"/>
            <w:sz w:val="20"/>
            <w:szCs w:val="20"/>
          </w:rPr>
          <w:t>https://documents1.worldbank.org/curated/en/722141586260533194/pdf/Concept-Project-Information-Document-PID-Cambodia-Solid-Waste-and-Plastic-Management-Improvement-Project-P170976.pdf</w:t>
        </w:r>
      </w:hyperlink>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World Bank, 2021. Building a Blue Economy Roadmap for Cambodia. </w:t>
      </w:r>
      <w:hyperlink r:id="rId185" w:history="1">
        <w:r w:rsidRPr="00256C25">
          <w:rPr>
            <w:rStyle w:val="Hyperlink"/>
            <w:rFonts w:ascii="Arial" w:hAnsi="Arial" w:cs="Arial"/>
            <w:sz w:val="20"/>
            <w:szCs w:val="20"/>
          </w:rPr>
          <w:t>https://documents1.worldbank.org/curated/en/099556207032341413/pdf/IDU00eec67aa0872b04096088cd02fda633553f1.pdf</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World Bank, 2023b. Cambodia Country Climate and Development Report (CCDR). </w:t>
      </w:r>
      <w:hyperlink r:id="rId186" w:history="1">
        <w:r w:rsidRPr="00256C25">
          <w:rPr>
            <w:rStyle w:val="Hyperlink"/>
            <w:rFonts w:ascii="Arial" w:hAnsi="Arial" w:cs="Arial"/>
            <w:sz w:val="20"/>
            <w:szCs w:val="20"/>
          </w:rPr>
          <w:t>https://documents1.worldbank.org/curated/en/099092823045083987/pdf/P17887106c6c2d0e909aa1090f3e10505c1.pdf</w:t>
        </w:r>
      </w:hyperlink>
      <w:r w:rsidRPr="00256C25">
        <w:rPr>
          <w:rFonts w:ascii="Arial" w:hAnsi="Arial" w:cs="Arial"/>
          <w:sz w:val="20"/>
          <w:szCs w:val="20"/>
        </w:rPr>
        <w:t xml:space="preserve"> </w:t>
      </w:r>
    </w:p>
    <w:p w:rsidR="00F313D2" w:rsidRPr="00DA70B2"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DA70B2">
        <w:rPr>
          <w:rFonts w:ascii="Arial" w:hAnsi="Arial" w:cs="Arial"/>
          <w:sz w:val="20"/>
          <w:szCs w:val="20"/>
        </w:rPr>
        <w:t>World Bank</w:t>
      </w:r>
      <w:r>
        <w:rPr>
          <w:rFonts w:ascii="Arial" w:hAnsi="Arial" w:cs="Arial"/>
          <w:sz w:val="20"/>
          <w:szCs w:val="20"/>
        </w:rPr>
        <w:t xml:space="preserve">, </w:t>
      </w:r>
      <w:r w:rsidRPr="00DA70B2">
        <w:rPr>
          <w:rFonts w:ascii="Arial" w:hAnsi="Arial" w:cs="Arial"/>
          <w:sz w:val="20"/>
          <w:szCs w:val="20"/>
        </w:rPr>
        <w:t>2024</w:t>
      </w:r>
      <w:r>
        <w:rPr>
          <w:rFonts w:ascii="Arial" w:hAnsi="Arial" w:cs="Arial"/>
          <w:sz w:val="20"/>
          <w:szCs w:val="20"/>
        </w:rPr>
        <w:t xml:space="preserve">, </w:t>
      </w:r>
      <w:r w:rsidRPr="00DA70B2">
        <w:rPr>
          <w:rFonts w:ascii="Arial" w:hAnsi="Arial" w:cs="Arial"/>
          <w:sz w:val="20"/>
          <w:szCs w:val="20"/>
        </w:rPr>
        <w:t>Worldwide Governance Indicators, 2024 Update, World Bank</w:t>
      </w:r>
      <w:r>
        <w:rPr>
          <w:rFonts w:ascii="Arial" w:hAnsi="Arial" w:cs="Arial"/>
          <w:sz w:val="20"/>
          <w:szCs w:val="20"/>
        </w:rPr>
        <w:t xml:space="preserve">. </w:t>
      </w:r>
      <w:hyperlink r:id="rId187" w:history="1">
        <w:r w:rsidRPr="006600ED">
          <w:rPr>
            <w:rStyle w:val="Hyperlink"/>
            <w:rFonts w:ascii="Arial" w:hAnsi="Arial" w:cs="Arial"/>
            <w:sz w:val="20"/>
            <w:szCs w:val="20"/>
          </w:rPr>
          <w:t>www.govindicators.org</w:t>
        </w:r>
      </w:hyperlink>
      <w:r>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World Bank, 2024. Macro Poverty Outlook for Cambodia : April 2024 - Datasheet (English). Macro Poverty Outlook (MPO) Washington, D.C. : World Bank Group. </w:t>
      </w:r>
      <w:hyperlink r:id="rId188" w:history="1">
        <w:r w:rsidRPr="00256C25">
          <w:rPr>
            <w:rStyle w:val="Hyperlink"/>
            <w:rFonts w:ascii="Arial" w:hAnsi="Arial" w:cs="Arial"/>
            <w:sz w:val="20"/>
            <w:szCs w:val="20"/>
          </w:rPr>
          <w:t>http://documents.worldbank.org/curated/en/099853504032439579</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World Bank, 2024. </w:t>
      </w:r>
      <w:r w:rsidRPr="00256C25">
        <w:rPr>
          <w:rStyle w:val="Emphasis"/>
          <w:rFonts w:ascii="Arial" w:hAnsi="Arial" w:cs="Arial"/>
          <w:sz w:val="20"/>
          <w:szCs w:val="20"/>
        </w:rPr>
        <w:t>World development indicators: Fertilizer consumption (kilograms per hectare of arable land) [AG.CON.FERT.ZS] – Cambodia.</w:t>
      </w:r>
      <w:r w:rsidRPr="00256C25">
        <w:rPr>
          <w:rFonts w:ascii="Arial" w:hAnsi="Arial" w:cs="Arial"/>
          <w:sz w:val="20"/>
          <w:szCs w:val="20"/>
        </w:rPr>
        <w:t xml:space="preserve"> World Bank. </w:t>
      </w:r>
      <w:hyperlink r:id="rId189" w:tgtFrame="_new" w:history="1">
        <w:r w:rsidRPr="00256C25">
          <w:rPr>
            <w:rStyle w:val="Hyperlink"/>
            <w:rFonts w:ascii="Arial" w:eastAsiaTheme="majorEastAsia" w:hAnsi="Arial" w:cs="Arial"/>
            <w:sz w:val="20"/>
            <w:szCs w:val="20"/>
          </w:rPr>
          <w:t>https://data.worldbank.org/indicator/AG.CON.FERT.ZS?locations=KH</w:t>
        </w:r>
      </w:hyperlink>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World Bank, 2025. World Development Indicators (WDI): </w:t>
      </w:r>
      <w:hyperlink r:id="rId190" w:history="1">
        <w:r w:rsidRPr="00256C25">
          <w:rPr>
            <w:rStyle w:val="Hyperlink"/>
            <w:rFonts w:ascii="Arial" w:hAnsi="Arial" w:cs="Arial"/>
            <w:sz w:val="20"/>
            <w:szCs w:val="20"/>
          </w:rPr>
          <w:t>https://data.worldbank.org/</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567" w:hanging="567"/>
        <w:rPr>
          <w:rFonts w:ascii="Arial" w:hAnsi="Arial" w:cs="Arial"/>
          <w:sz w:val="20"/>
          <w:szCs w:val="20"/>
        </w:rPr>
      </w:pPr>
      <w:r w:rsidRPr="00256C25">
        <w:rPr>
          <w:rFonts w:ascii="Arial" w:hAnsi="Arial" w:cs="Arial"/>
          <w:sz w:val="20"/>
          <w:szCs w:val="20"/>
        </w:rPr>
        <w:t xml:space="preserve">World Bank, 2025a. </w:t>
      </w:r>
      <w:r w:rsidRPr="00256C25">
        <w:rPr>
          <w:rStyle w:val="Emphasis"/>
          <w:rFonts w:ascii="Arial" w:hAnsi="Arial" w:cs="Arial"/>
          <w:sz w:val="20"/>
          <w:szCs w:val="20"/>
        </w:rPr>
        <w:t>Cambodia economic update: June 2025.</w:t>
      </w:r>
      <w:r w:rsidRPr="00256C25">
        <w:rPr>
          <w:rFonts w:ascii="Arial" w:hAnsi="Arial" w:cs="Arial"/>
          <w:sz w:val="20"/>
          <w:szCs w:val="20"/>
        </w:rPr>
        <w:t xml:space="preserve"> World Bank. </w:t>
      </w:r>
      <w:hyperlink r:id="rId191" w:history="1">
        <w:r w:rsidRPr="00256C25">
          <w:rPr>
            <w:rStyle w:val="Hyperlink"/>
            <w:rFonts w:ascii="Arial" w:hAnsi="Arial" w:cs="Arial"/>
            <w:sz w:val="20"/>
            <w:szCs w:val="20"/>
          </w:rPr>
          <w:t>https://documents1.worldbank.org/curated/en/099060925065018354/pdf/P5068140c4e4b40a6087a3088f9f1ab9f5c.pdf</w:t>
        </w:r>
      </w:hyperlink>
      <w:r w:rsidRPr="00256C25">
        <w:rPr>
          <w:rFonts w:ascii="Arial" w:hAnsi="Arial" w:cs="Arial"/>
          <w:sz w:val="20"/>
          <w:szCs w:val="20"/>
        </w:rPr>
        <w:t xml:space="preserve"> </w:t>
      </w:r>
    </w:p>
    <w:p w:rsidR="00F313D2" w:rsidRPr="00256C25" w:rsidRDefault="00F313D2" w:rsidP="00F313D2">
      <w:pPr>
        <w:adjustRightInd w:val="0"/>
        <w:snapToGrid w:val="0"/>
        <w:ind w:left="720" w:hanging="720"/>
        <w:rPr>
          <w:rFonts w:ascii="Arial" w:hAnsi="Arial" w:cs="Arial"/>
          <w:sz w:val="20"/>
          <w:szCs w:val="20"/>
        </w:rPr>
      </w:pPr>
      <w:r w:rsidRPr="00256C25">
        <w:rPr>
          <w:rFonts w:ascii="Arial" w:hAnsi="Arial" w:cs="Arial"/>
          <w:sz w:val="20"/>
          <w:szCs w:val="20"/>
        </w:rPr>
        <w:t xml:space="preserve">World Bank. Climate Change Knowledge Portal: Cambodia country profile (including sea level). </w:t>
      </w:r>
      <w:hyperlink r:id="rId192" w:history="1">
        <w:r w:rsidRPr="00256C25">
          <w:rPr>
            <w:rStyle w:val="Hyperlink"/>
            <w:rFonts w:ascii="Arial" w:hAnsi="Arial" w:cs="Arial"/>
            <w:sz w:val="20"/>
            <w:szCs w:val="20"/>
          </w:rPr>
          <w:t>https://climateknowledgeportal.worldbank.org/country/cambodia</w:t>
        </w:r>
      </w:hyperlink>
      <w:r w:rsidRPr="00256C25">
        <w:rPr>
          <w:rFonts w:ascii="Arial" w:hAnsi="Arial" w:cs="Arial"/>
          <w:sz w:val="20"/>
          <w:szCs w:val="20"/>
        </w:rPr>
        <w:t xml:space="preserve"> </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World Meteorological Organization, &amp; Acid Deposition Monitoring Network in East Asia, 2022. </w:t>
      </w:r>
      <w:r w:rsidRPr="00256C25">
        <w:rPr>
          <w:rStyle w:val="Emphasis"/>
          <w:rFonts w:ascii="Arial" w:hAnsi="Arial" w:cs="Arial"/>
          <w:sz w:val="20"/>
          <w:szCs w:val="20"/>
        </w:rPr>
        <w:t>Fourth periodic report on the state of acid deposition in East Asia (PRSAD4).</w:t>
      </w:r>
      <w:r w:rsidRPr="00256C25">
        <w:rPr>
          <w:rFonts w:ascii="Arial" w:hAnsi="Arial" w:cs="Arial"/>
          <w:sz w:val="20"/>
          <w:szCs w:val="20"/>
        </w:rPr>
        <w:t xml:space="preserve"> EANET.</w:t>
      </w:r>
    </w:p>
    <w:p w:rsidR="00F313D2" w:rsidRPr="00256C25"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WorldFish, 2022. </w:t>
      </w:r>
      <w:r w:rsidRPr="00256C25">
        <w:rPr>
          <w:rStyle w:val="Emphasis"/>
          <w:rFonts w:ascii="Arial" w:hAnsi="Arial" w:cs="Arial"/>
          <w:sz w:val="20"/>
          <w:szCs w:val="20"/>
        </w:rPr>
        <w:t>Aquaculture in Cambodia: Country review 2022.</w:t>
      </w:r>
      <w:r w:rsidRPr="00256C25">
        <w:rPr>
          <w:rFonts w:ascii="Arial" w:hAnsi="Arial" w:cs="Arial"/>
          <w:sz w:val="20"/>
          <w:szCs w:val="20"/>
        </w:rPr>
        <w:t xml:space="preserve"> WorldFish.</w:t>
      </w:r>
    </w:p>
    <w:p w:rsidR="00F313D2" w:rsidRDefault="00F313D2" w:rsidP="00F313D2">
      <w:pPr>
        <w:pStyle w:val="NormalWeb"/>
        <w:adjustRightInd w:val="0"/>
        <w:snapToGrid w:val="0"/>
        <w:spacing w:before="0" w:beforeAutospacing="0" w:after="0" w:afterAutospacing="0"/>
        <w:ind w:left="709" w:hanging="709"/>
        <w:rPr>
          <w:rFonts w:ascii="Arial" w:hAnsi="Arial" w:cs="Arial"/>
          <w:sz w:val="20"/>
          <w:szCs w:val="20"/>
        </w:rPr>
      </w:pPr>
      <w:r w:rsidRPr="00256C25">
        <w:rPr>
          <w:rFonts w:ascii="Arial" w:hAnsi="Arial" w:cs="Arial"/>
          <w:sz w:val="20"/>
          <w:szCs w:val="20"/>
        </w:rPr>
        <w:t xml:space="preserve">Yen, N. T. H., et al., 2007. Tonlé Sap ecosystem water quality index development and application. In </w:t>
      </w:r>
      <w:r w:rsidRPr="00256C25">
        <w:rPr>
          <w:rStyle w:val="Emphasis"/>
          <w:rFonts w:ascii="Arial" w:hAnsi="Arial" w:cs="Arial"/>
          <w:sz w:val="20"/>
          <w:szCs w:val="20"/>
        </w:rPr>
        <w:t>Sustainable Development and Planning III</w:t>
      </w:r>
      <w:r w:rsidRPr="00256C25">
        <w:rPr>
          <w:rFonts w:ascii="Arial" w:hAnsi="Arial" w:cs="Arial"/>
          <w:sz w:val="20"/>
          <w:szCs w:val="20"/>
        </w:rPr>
        <w:t xml:space="preserve"> (pp. 887–897). WIT Press. </w:t>
      </w:r>
      <w:hyperlink r:id="rId193" w:history="1">
        <w:r w:rsidRPr="00256C25">
          <w:rPr>
            <w:rStyle w:val="Hyperlink"/>
            <w:rFonts w:ascii="Arial" w:hAnsi="Arial" w:cs="Arial"/>
            <w:sz w:val="20"/>
            <w:szCs w:val="20"/>
          </w:rPr>
          <w:t>https://www.witpress.com/Secure/elibrary/papers/SDP07/SDP07086FU2.pdf</w:t>
        </w:r>
      </w:hyperlink>
      <w:r w:rsidRPr="00256C25">
        <w:rPr>
          <w:rFonts w:ascii="Arial" w:hAnsi="Arial" w:cs="Arial"/>
          <w:sz w:val="20"/>
          <w:szCs w:val="20"/>
        </w:rPr>
        <w:t xml:space="preserve"> </w:t>
      </w:r>
    </w:p>
    <w:p w:rsidR="00F313D2" w:rsidRPr="00256C25" w:rsidRDefault="00F313D2" w:rsidP="00256C25">
      <w:pPr>
        <w:pStyle w:val="NormalWeb"/>
        <w:adjustRightInd w:val="0"/>
        <w:snapToGrid w:val="0"/>
        <w:spacing w:beforeLines="60" w:before="144" w:beforeAutospacing="0" w:afterLines="60" w:after="144" w:afterAutospacing="0"/>
        <w:ind w:left="709" w:hanging="709"/>
        <w:rPr>
          <w:rFonts w:ascii="Arial" w:hAnsi="Arial" w:cs="Arial"/>
          <w:sz w:val="20"/>
          <w:szCs w:val="20"/>
        </w:rPr>
      </w:pPr>
    </w:p>
    <w:p w:rsidR="00D73747" w:rsidRDefault="00256C25" w:rsidP="00D73747">
      <w:pPr>
        <w:pStyle w:val="Heading2"/>
        <w:jc w:val="both"/>
        <w:rPr>
          <w:rFonts w:ascii="Arial" w:hAnsi="Arial" w:cs="Arial"/>
          <w:sz w:val="28"/>
          <w:szCs w:val="28"/>
        </w:rPr>
      </w:pPr>
      <w:r>
        <w:rPr>
          <w:rFonts w:ascii="Arial" w:hAnsi="Arial" w:cs="Arial"/>
          <w:sz w:val="28"/>
          <w:szCs w:val="28"/>
        </w:rPr>
        <w:br w:type="column"/>
      </w:r>
      <w:r w:rsidR="00D73747" w:rsidRPr="00D73747">
        <w:rPr>
          <w:rFonts w:ascii="Arial" w:hAnsi="Arial" w:cs="Arial"/>
          <w:sz w:val="28"/>
          <w:szCs w:val="28"/>
        </w:rPr>
        <w:t>Annex</w:t>
      </w:r>
      <w:r w:rsidR="00F313D2">
        <w:rPr>
          <w:rFonts w:ascii="Arial" w:hAnsi="Arial" w:cs="Arial"/>
          <w:sz w:val="28"/>
          <w:szCs w:val="28"/>
        </w:rPr>
        <w:t xml:space="preserve"> 7</w:t>
      </w:r>
    </w:p>
    <w:sdt>
      <w:sdtPr>
        <w:rPr>
          <w:rFonts w:asciiTheme="minorHAnsi" w:eastAsiaTheme="minorHAnsi" w:hAnsiTheme="minorHAnsi" w:cstheme="minorBidi"/>
          <w:b w:val="0"/>
          <w:bCs w:val="0"/>
          <w:color w:val="auto"/>
          <w:kern w:val="2"/>
          <w:sz w:val="24"/>
          <w:szCs w:val="24"/>
          <w14:ligatures w14:val="standardContextual"/>
        </w:rPr>
        <w:id w:val="-774162458"/>
        <w:docPartObj>
          <w:docPartGallery w:val="Table of Contents"/>
          <w:docPartUnique/>
        </w:docPartObj>
      </w:sdtPr>
      <w:sdtEndPr>
        <w:rPr>
          <w:noProof/>
        </w:rPr>
      </w:sdtEndPr>
      <w:sdtContent>
        <w:p w:rsidR="00D73747" w:rsidRPr="003F5808" w:rsidRDefault="00D73747" w:rsidP="00F22A59">
          <w:pPr>
            <w:pStyle w:val="TOCHeading"/>
            <w:rPr>
              <w:rFonts w:ascii="Arial" w:hAnsi="Arial" w:cs="Arial"/>
            </w:rPr>
          </w:pPr>
          <w:r w:rsidRPr="003F5808">
            <w:rPr>
              <w:rFonts w:ascii="Arial" w:hAnsi="Arial" w:cs="Arial"/>
            </w:rPr>
            <w:t>Table of Contents</w:t>
          </w:r>
        </w:p>
        <w:p w:rsidR="00D73747" w:rsidRPr="00D73747" w:rsidRDefault="00D73747" w:rsidP="00D73747">
          <w:pPr>
            <w:pStyle w:val="TOC1"/>
            <w:tabs>
              <w:tab w:val="right" w:leader="dot" w:pos="9010"/>
            </w:tabs>
            <w:rPr>
              <w:rFonts w:ascii="Arial" w:hAnsi="Arial" w:cs="Arial"/>
              <w:noProof/>
            </w:rPr>
          </w:pPr>
          <w:r w:rsidRPr="00D73747">
            <w:rPr>
              <w:rFonts w:ascii="Arial" w:hAnsi="Arial" w:cs="Arial"/>
              <w:b w:val="0"/>
              <w:bCs w:val="0"/>
            </w:rPr>
            <w:fldChar w:fldCharType="begin"/>
          </w:r>
          <w:r w:rsidRPr="00D73747">
            <w:rPr>
              <w:rFonts w:ascii="Arial" w:hAnsi="Arial" w:cs="Arial"/>
            </w:rPr>
            <w:instrText xml:space="preserve"> TOC \o "1-3" \h \z \u </w:instrText>
          </w:r>
          <w:r w:rsidRPr="00D73747">
            <w:rPr>
              <w:rFonts w:ascii="Arial" w:hAnsi="Arial" w:cs="Arial"/>
              <w:b w:val="0"/>
              <w:bCs w:val="0"/>
            </w:rPr>
            <w:fldChar w:fldCharType="separate"/>
          </w:r>
          <w:hyperlink w:anchor="_Toc215343637" w:history="1">
            <w:r w:rsidRPr="00D73747">
              <w:rPr>
                <w:rStyle w:val="Hyperlink"/>
                <w:rFonts w:ascii="Arial" w:hAnsi="Arial" w:cs="Arial"/>
                <w:noProof/>
              </w:rPr>
              <w:t>7. Conclusion</w:t>
            </w:r>
            <w:r w:rsidRPr="00D73747">
              <w:rPr>
                <w:rFonts w:ascii="Arial" w:hAnsi="Arial" w:cs="Arial"/>
                <w:noProof/>
                <w:webHidden/>
              </w:rPr>
              <w:tab/>
            </w:r>
            <w:r w:rsidRPr="00D73747">
              <w:rPr>
                <w:rFonts w:ascii="Arial" w:hAnsi="Arial" w:cs="Arial"/>
                <w:noProof/>
                <w:webHidden/>
              </w:rPr>
              <w:fldChar w:fldCharType="begin"/>
            </w:r>
            <w:r w:rsidRPr="00D73747">
              <w:rPr>
                <w:rFonts w:ascii="Arial" w:hAnsi="Arial" w:cs="Arial"/>
                <w:noProof/>
                <w:webHidden/>
              </w:rPr>
              <w:instrText xml:space="preserve"> PAGEREF _Toc215343637 \h </w:instrText>
            </w:r>
            <w:r w:rsidRPr="00D73747">
              <w:rPr>
                <w:rFonts w:ascii="Arial" w:hAnsi="Arial" w:cs="Arial"/>
                <w:noProof/>
                <w:webHidden/>
              </w:rPr>
            </w:r>
            <w:r w:rsidRPr="00D73747">
              <w:rPr>
                <w:rFonts w:ascii="Arial" w:hAnsi="Arial" w:cs="Arial"/>
                <w:noProof/>
                <w:webHidden/>
              </w:rPr>
              <w:fldChar w:fldCharType="separate"/>
            </w:r>
            <w:r w:rsidR="00222093">
              <w:rPr>
                <w:rFonts w:ascii="Arial" w:hAnsi="Arial" w:cs="Arial"/>
                <w:noProof/>
                <w:webHidden/>
              </w:rPr>
              <w:t>1</w:t>
            </w:r>
            <w:r w:rsidRPr="00D73747">
              <w:rPr>
                <w:rFonts w:ascii="Arial" w:hAnsi="Arial" w:cs="Arial"/>
                <w:noProof/>
                <w:webHidden/>
              </w:rPr>
              <w:fldChar w:fldCharType="end"/>
            </w:r>
          </w:hyperlink>
        </w:p>
        <w:p w:rsidR="00D73747" w:rsidRPr="00D73747" w:rsidRDefault="00000000" w:rsidP="00940620">
          <w:pPr>
            <w:pStyle w:val="TOC2"/>
            <w:rPr>
              <w:noProof/>
            </w:rPr>
          </w:pPr>
          <w:hyperlink w:anchor="_Toc215343638" w:history="1">
            <w:r w:rsidR="00D73747" w:rsidRPr="00D73747">
              <w:rPr>
                <w:rStyle w:val="Hyperlink"/>
                <w:rFonts w:ascii="Arial" w:hAnsi="Arial" w:cs="Arial"/>
                <w:noProof/>
              </w:rPr>
              <w:t>7.1 Meeting the TDA Objectives</w:t>
            </w:r>
            <w:r w:rsidR="00D73747" w:rsidRPr="00D73747">
              <w:rPr>
                <w:noProof/>
                <w:webHidden/>
              </w:rPr>
              <w:tab/>
            </w:r>
            <w:r w:rsidR="00D73747" w:rsidRPr="00D73747">
              <w:rPr>
                <w:noProof/>
                <w:webHidden/>
              </w:rPr>
              <w:fldChar w:fldCharType="begin"/>
            </w:r>
            <w:r w:rsidR="00D73747" w:rsidRPr="00D73747">
              <w:rPr>
                <w:noProof/>
                <w:webHidden/>
              </w:rPr>
              <w:instrText xml:space="preserve"> PAGEREF _Toc215343638 \h </w:instrText>
            </w:r>
            <w:r w:rsidR="00D73747" w:rsidRPr="00D73747">
              <w:rPr>
                <w:noProof/>
                <w:webHidden/>
              </w:rPr>
            </w:r>
            <w:r w:rsidR="00D73747" w:rsidRPr="00D73747">
              <w:rPr>
                <w:noProof/>
                <w:webHidden/>
              </w:rPr>
              <w:fldChar w:fldCharType="separate"/>
            </w:r>
            <w:r w:rsidR="00222093">
              <w:rPr>
                <w:noProof/>
                <w:webHidden/>
              </w:rPr>
              <w:t>1</w:t>
            </w:r>
            <w:r w:rsidR="00D73747" w:rsidRPr="00D73747">
              <w:rPr>
                <w:noProof/>
                <w:webHidden/>
              </w:rPr>
              <w:fldChar w:fldCharType="end"/>
            </w:r>
          </w:hyperlink>
        </w:p>
        <w:p w:rsidR="00D73747" w:rsidRPr="00D73747" w:rsidRDefault="00000000" w:rsidP="00940620">
          <w:pPr>
            <w:pStyle w:val="TOC2"/>
            <w:rPr>
              <w:noProof/>
            </w:rPr>
          </w:pPr>
          <w:hyperlink w:anchor="_Toc215343639" w:history="1">
            <w:r w:rsidR="00D73747" w:rsidRPr="00D73747">
              <w:rPr>
                <w:rStyle w:val="Hyperlink"/>
                <w:rFonts w:ascii="Arial" w:hAnsi="Arial" w:cs="Arial"/>
                <w:noProof/>
              </w:rPr>
              <w:t>7.2 Key Conclusions and Cross-Cutting Interactions</w:t>
            </w:r>
            <w:r w:rsidR="00D73747" w:rsidRPr="00D73747">
              <w:rPr>
                <w:noProof/>
                <w:webHidden/>
              </w:rPr>
              <w:tab/>
            </w:r>
            <w:r w:rsidR="00D73747" w:rsidRPr="00D73747">
              <w:rPr>
                <w:noProof/>
                <w:webHidden/>
              </w:rPr>
              <w:fldChar w:fldCharType="begin"/>
            </w:r>
            <w:r w:rsidR="00D73747" w:rsidRPr="00D73747">
              <w:rPr>
                <w:noProof/>
                <w:webHidden/>
              </w:rPr>
              <w:instrText xml:space="preserve"> PAGEREF _Toc215343639 \h </w:instrText>
            </w:r>
            <w:r w:rsidR="00D73747" w:rsidRPr="00D73747">
              <w:rPr>
                <w:noProof/>
                <w:webHidden/>
              </w:rPr>
            </w:r>
            <w:r w:rsidR="00D73747" w:rsidRPr="00D73747">
              <w:rPr>
                <w:noProof/>
                <w:webHidden/>
              </w:rPr>
              <w:fldChar w:fldCharType="separate"/>
            </w:r>
            <w:r w:rsidR="00222093">
              <w:rPr>
                <w:noProof/>
                <w:webHidden/>
              </w:rPr>
              <w:t>2</w:t>
            </w:r>
            <w:r w:rsidR="00D73747" w:rsidRPr="00D73747">
              <w:rPr>
                <w:noProof/>
                <w:webHidden/>
              </w:rPr>
              <w:fldChar w:fldCharType="end"/>
            </w:r>
          </w:hyperlink>
        </w:p>
        <w:p w:rsidR="00D73747" w:rsidRPr="00D73747" w:rsidRDefault="00000000" w:rsidP="00940620">
          <w:pPr>
            <w:pStyle w:val="TOC2"/>
            <w:rPr>
              <w:noProof/>
            </w:rPr>
          </w:pPr>
          <w:hyperlink w:anchor="_Toc215343640" w:history="1">
            <w:r w:rsidR="00D73747" w:rsidRPr="00D73747">
              <w:rPr>
                <w:rStyle w:val="Hyperlink"/>
                <w:rFonts w:ascii="Arial" w:hAnsi="Arial" w:cs="Arial"/>
                <w:noProof/>
              </w:rPr>
              <w:t>7.3 Patterns of Risk Among Spatial Units of Analyses and at Country Scale</w:t>
            </w:r>
            <w:r w:rsidR="00D73747" w:rsidRPr="00D73747">
              <w:rPr>
                <w:noProof/>
                <w:webHidden/>
              </w:rPr>
              <w:tab/>
            </w:r>
            <w:r w:rsidR="00D73747" w:rsidRPr="00D73747">
              <w:rPr>
                <w:noProof/>
                <w:webHidden/>
              </w:rPr>
              <w:fldChar w:fldCharType="begin"/>
            </w:r>
            <w:r w:rsidR="00D73747" w:rsidRPr="00D73747">
              <w:rPr>
                <w:noProof/>
                <w:webHidden/>
              </w:rPr>
              <w:instrText xml:space="preserve"> PAGEREF _Toc215343640 \h </w:instrText>
            </w:r>
            <w:r w:rsidR="00D73747" w:rsidRPr="00D73747">
              <w:rPr>
                <w:noProof/>
                <w:webHidden/>
              </w:rPr>
            </w:r>
            <w:r w:rsidR="00D73747" w:rsidRPr="00D73747">
              <w:rPr>
                <w:noProof/>
                <w:webHidden/>
              </w:rPr>
              <w:fldChar w:fldCharType="separate"/>
            </w:r>
            <w:r w:rsidR="00222093">
              <w:rPr>
                <w:noProof/>
                <w:webHidden/>
              </w:rPr>
              <w:t>6</w:t>
            </w:r>
            <w:r w:rsidR="00D73747" w:rsidRPr="00D73747">
              <w:rPr>
                <w:noProof/>
                <w:webHidden/>
              </w:rPr>
              <w:fldChar w:fldCharType="end"/>
            </w:r>
          </w:hyperlink>
        </w:p>
        <w:p w:rsidR="00D73747" w:rsidRPr="00D73747" w:rsidRDefault="00000000" w:rsidP="00940620">
          <w:pPr>
            <w:pStyle w:val="TOC2"/>
            <w:rPr>
              <w:noProof/>
            </w:rPr>
          </w:pPr>
          <w:hyperlink w:anchor="_Toc215343641" w:history="1">
            <w:r w:rsidR="00D73747" w:rsidRPr="00D73747">
              <w:rPr>
                <w:rStyle w:val="Hyperlink"/>
                <w:rFonts w:ascii="Arial" w:hAnsi="Arial" w:cs="Arial"/>
                <w:noProof/>
              </w:rPr>
              <w:t>7.4 Target Audience</w:t>
            </w:r>
            <w:r w:rsidR="00D73747" w:rsidRPr="00D73747">
              <w:rPr>
                <w:noProof/>
                <w:webHidden/>
              </w:rPr>
              <w:tab/>
            </w:r>
            <w:r w:rsidR="00D73747" w:rsidRPr="00D73747">
              <w:rPr>
                <w:noProof/>
                <w:webHidden/>
              </w:rPr>
              <w:fldChar w:fldCharType="begin"/>
            </w:r>
            <w:r w:rsidR="00D73747" w:rsidRPr="00D73747">
              <w:rPr>
                <w:noProof/>
                <w:webHidden/>
              </w:rPr>
              <w:instrText xml:space="preserve"> PAGEREF _Toc215343641 \h </w:instrText>
            </w:r>
            <w:r w:rsidR="00D73747" w:rsidRPr="00D73747">
              <w:rPr>
                <w:noProof/>
                <w:webHidden/>
              </w:rPr>
            </w:r>
            <w:r w:rsidR="00D73747" w:rsidRPr="00D73747">
              <w:rPr>
                <w:noProof/>
                <w:webHidden/>
              </w:rPr>
              <w:fldChar w:fldCharType="separate"/>
            </w:r>
            <w:r w:rsidR="00222093">
              <w:rPr>
                <w:noProof/>
                <w:webHidden/>
              </w:rPr>
              <w:t>8</w:t>
            </w:r>
            <w:r w:rsidR="00D73747" w:rsidRPr="00D73747">
              <w:rPr>
                <w:noProof/>
                <w:webHidden/>
              </w:rPr>
              <w:fldChar w:fldCharType="end"/>
            </w:r>
          </w:hyperlink>
        </w:p>
        <w:p w:rsidR="00D73747" w:rsidRPr="00D73747" w:rsidRDefault="00000000" w:rsidP="00940620">
          <w:pPr>
            <w:pStyle w:val="TOC2"/>
            <w:rPr>
              <w:noProof/>
            </w:rPr>
          </w:pPr>
          <w:hyperlink w:anchor="_Toc215343642" w:history="1">
            <w:r w:rsidR="00D73747" w:rsidRPr="00D73747">
              <w:rPr>
                <w:rStyle w:val="Hyperlink"/>
                <w:rFonts w:ascii="Arial" w:hAnsi="Arial" w:cs="Arial"/>
                <w:noProof/>
              </w:rPr>
              <w:t>7.5 Future Indicator-Based Environmental Assessments</w:t>
            </w:r>
            <w:r w:rsidR="00D73747" w:rsidRPr="00D73747">
              <w:rPr>
                <w:noProof/>
                <w:webHidden/>
              </w:rPr>
              <w:tab/>
            </w:r>
            <w:r w:rsidR="00D73747" w:rsidRPr="00D73747">
              <w:rPr>
                <w:noProof/>
                <w:webHidden/>
              </w:rPr>
              <w:fldChar w:fldCharType="begin"/>
            </w:r>
            <w:r w:rsidR="00D73747" w:rsidRPr="00D73747">
              <w:rPr>
                <w:noProof/>
                <w:webHidden/>
              </w:rPr>
              <w:instrText xml:space="preserve"> PAGEREF _Toc215343642 \h </w:instrText>
            </w:r>
            <w:r w:rsidR="00D73747" w:rsidRPr="00D73747">
              <w:rPr>
                <w:noProof/>
                <w:webHidden/>
              </w:rPr>
            </w:r>
            <w:r w:rsidR="00D73747" w:rsidRPr="00D73747">
              <w:rPr>
                <w:noProof/>
                <w:webHidden/>
              </w:rPr>
              <w:fldChar w:fldCharType="separate"/>
            </w:r>
            <w:r w:rsidR="00222093">
              <w:rPr>
                <w:noProof/>
                <w:webHidden/>
              </w:rPr>
              <w:t>9</w:t>
            </w:r>
            <w:r w:rsidR="00D73747" w:rsidRPr="00D73747">
              <w:rPr>
                <w:noProof/>
                <w:webHidden/>
              </w:rPr>
              <w:fldChar w:fldCharType="end"/>
            </w:r>
          </w:hyperlink>
        </w:p>
        <w:p w:rsidR="00D73747" w:rsidRPr="00D73747" w:rsidRDefault="00000000" w:rsidP="00940620">
          <w:pPr>
            <w:pStyle w:val="TOC2"/>
            <w:rPr>
              <w:noProof/>
            </w:rPr>
          </w:pPr>
          <w:hyperlink w:anchor="_Toc215343643" w:history="1">
            <w:r w:rsidR="00D73747" w:rsidRPr="00D73747">
              <w:rPr>
                <w:rStyle w:val="Hyperlink"/>
                <w:rFonts w:ascii="Arial" w:hAnsi="Arial" w:cs="Arial"/>
                <w:noProof/>
              </w:rPr>
              <w:t>7.6. Overall Conclusion</w:t>
            </w:r>
            <w:r w:rsidR="00D73747" w:rsidRPr="00D73747">
              <w:rPr>
                <w:noProof/>
                <w:webHidden/>
              </w:rPr>
              <w:tab/>
            </w:r>
            <w:r w:rsidR="00D73747" w:rsidRPr="00D73747">
              <w:rPr>
                <w:noProof/>
                <w:webHidden/>
              </w:rPr>
              <w:fldChar w:fldCharType="begin"/>
            </w:r>
            <w:r w:rsidR="00D73747" w:rsidRPr="00D73747">
              <w:rPr>
                <w:noProof/>
                <w:webHidden/>
              </w:rPr>
              <w:instrText xml:space="preserve"> PAGEREF _Toc215343643 \h </w:instrText>
            </w:r>
            <w:r w:rsidR="00D73747" w:rsidRPr="00D73747">
              <w:rPr>
                <w:noProof/>
                <w:webHidden/>
              </w:rPr>
            </w:r>
            <w:r w:rsidR="00D73747" w:rsidRPr="00D73747">
              <w:rPr>
                <w:noProof/>
                <w:webHidden/>
              </w:rPr>
              <w:fldChar w:fldCharType="separate"/>
            </w:r>
            <w:r w:rsidR="00222093">
              <w:rPr>
                <w:noProof/>
                <w:webHidden/>
              </w:rPr>
              <w:t>11</w:t>
            </w:r>
            <w:r w:rsidR="00D73747" w:rsidRPr="00D73747">
              <w:rPr>
                <w:noProof/>
                <w:webHidden/>
              </w:rPr>
              <w:fldChar w:fldCharType="end"/>
            </w:r>
          </w:hyperlink>
        </w:p>
        <w:p w:rsidR="00D73747" w:rsidRDefault="00D73747" w:rsidP="00D73747">
          <w:r w:rsidRPr="00D73747">
            <w:rPr>
              <w:rFonts w:ascii="Arial" w:hAnsi="Arial" w:cs="Arial"/>
              <w:b/>
              <w:bCs/>
              <w:noProof/>
            </w:rPr>
            <w:fldChar w:fldCharType="end"/>
          </w:r>
        </w:p>
      </w:sdtContent>
    </w:sdt>
    <w:p w:rsidR="00D73747" w:rsidRPr="003F5808" w:rsidRDefault="00D73747" w:rsidP="00F22A59">
      <w:pPr>
        <w:pStyle w:val="TOCHeading"/>
        <w:rPr>
          <w:rFonts w:ascii="Arial" w:hAnsi="Arial" w:cs="Arial"/>
        </w:rPr>
      </w:pPr>
      <w:r w:rsidRPr="003F5808">
        <w:rPr>
          <w:rFonts w:ascii="Arial" w:hAnsi="Arial" w:cs="Arial"/>
        </w:rPr>
        <w:t>List of Figures</w:t>
      </w:r>
    </w:p>
    <w:p w:rsidR="00D73747" w:rsidRPr="00F313D2" w:rsidRDefault="00D73747">
      <w:pPr>
        <w:pStyle w:val="TableofFigures"/>
        <w:tabs>
          <w:tab w:val="right" w:leader="dot" w:pos="9010"/>
        </w:tabs>
        <w:rPr>
          <w:rFonts w:ascii="Arial" w:eastAsiaTheme="minorEastAsia" w:hAnsi="Arial" w:cs="Arial"/>
          <w:noProof/>
          <w:sz w:val="22"/>
          <w:szCs w:val="22"/>
        </w:rPr>
      </w:pPr>
      <w:r w:rsidRPr="00F313D2">
        <w:rPr>
          <w:rFonts w:ascii="Arial" w:hAnsi="Arial" w:cs="Arial"/>
          <w:sz w:val="22"/>
          <w:szCs w:val="22"/>
        </w:rPr>
        <w:fldChar w:fldCharType="begin"/>
      </w:r>
      <w:r w:rsidRPr="00F313D2">
        <w:rPr>
          <w:rFonts w:ascii="Arial" w:hAnsi="Arial" w:cs="Arial"/>
          <w:sz w:val="22"/>
          <w:szCs w:val="22"/>
        </w:rPr>
        <w:instrText xml:space="preserve"> TOC \h \z \c "Figure 7-" </w:instrText>
      </w:r>
      <w:r w:rsidRPr="00F313D2">
        <w:rPr>
          <w:rFonts w:ascii="Arial" w:hAnsi="Arial" w:cs="Arial"/>
          <w:sz w:val="22"/>
          <w:szCs w:val="22"/>
        </w:rPr>
        <w:fldChar w:fldCharType="separate"/>
      </w:r>
      <w:hyperlink w:anchor="_Toc215343941" w:history="1">
        <w:r w:rsidRPr="00F313D2">
          <w:rPr>
            <w:rStyle w:val="Hyperlink"/>
            <w:rFonts w:ascii="Arial" w:hAnsi="Arial" w:cs="Arial"/>
            <w:noProof/>
            <w:sz w:val="22"/>
            <w:szCs w:val="22"/>
          </w:rPr>
          <w:t>Figure 7-1 Cross-sectoral feedback loops intensify degradation</w:t>
        </w:r>
        <w:r w:rsidRPr="00F313D2">
          <w:rPr>
            <w:rFonts w:ascii="Arial" w:hAnsi="Arial" w:cs="Arial"/>
            <w:noProof/>
            <w:webHidden/>
            <w:sz w:val="22"/>
            <w:szCs w:val="22"/>
          </w:rPr>
          <w:tab/>
        </w:r>
        <w:r w:rsidRPr="00F313D2">
          <w:rPr>
            <w:rFonts w:ascii="Arial" w:hAnsi="Arial" w:cs="Arial"/>
            <w:noProof/>
            <w:webHidden/>
            <w:sz w:val="22"/>
            <w:szCs w:val="22"/>
          </w:rPr>
          <w:fldChar w:fldCharType="begin"/>
        </w:r>
        <w:r w:rsidRPr="00F313D2">
          <w:rPr>
            <w:rFonts w:ascii="Arial" w:hAnsi="Arial" w:cs="Arial"/>
            <w:noProof/>
            <w:webHidden/>
            <w:sz w:val="22"/>
            <w:szCs w:val="22"/>
          </w:rPr>
          <w:instrText xml:space="preserve"> PAGEREF _Toc215343941 \h </w:instrText>
        </w:r>
        <w:r w:rsidRPr="00F313D2">
          <w:rPr>
            <w:rFonts w:ascii="Arial" w:hAnsi="Arial" w:cs="Arial"/>
            <w:noProof/>
            <w:webHidden/>
            <w:sz w:val="22"/>
            <w:szCs w:val="22"/>
          </w:rPr>
        </w:r>
        <w:r w:rsidRPr="00F313D2">
          <w:rPr>
            <w:rFonts w:ascii="Arial" w:hAnsi="Arial" w:cs="Arial"/>
            <w:noProof/>
            <w:webHidden/>
            <w:sz w:val="22"/>
            <w:szCs w:val="22"/>
          </w:rPr>
          <w:fldChar w:fldCharType="separate"/>
        </w:r>
        <w:r w:rsidR="00222093">
          <w:rPr>
            <w:rFonts w:ascii="Arial" w:hAnsi="Arial" w:cs="Arial"/>
            <w:noProof/>
            <w:webHidden/>
            <w:sz w:val="22"/>
            <w:szCs w:val="22"/>
          </w:rPr>
          <w:t>5</w:t>
        </w:r>
        <w:r w:rsidRPr="00F313D2">
          <w:rPr>
            <w:rFonts w:ascii="Arial" w:hAnsi="Arial" w:cs="Arial"/>
            <w:noProof/>
            <w:webHidden/>
            <w:sz w:val="22"/>
            <w:szCs w:val="22"/>
          </w:rPr>
          <w:fldChar w:fldCharType="end"/>
        </w:r>
      </w:hyperlink>
    </w:p>
    <w:p w:rsidR="00D73747" w:rsidRPr="00D73747" w:rsidRDefault="00D73747" w:rsidP="00D73747">
      <w:r w:rsidRPr="00F313D2">
        <w:rPr>
          <w:rFonts w:ascii="Arial" w:hAnsi="Arial" w:cs="Arial"/>
          <w:sz w:val="22"/>
          <w:szCs w:val="22"/>
        </w:rPr>
        <w:fldChar w:fldCharType="end"/>
      </w:r>
    </w:p>
    <w:p w:rsidR="00D73747" w:rsidRPr="003F5808" w:rsidRDefault="00D73747" w:rsidP="00F22A59">
      <w:pPr>
        <w:pStyle w:val="TOCHeading"/>
        <w:rPr>
          <w:rFonts w:ascii="Arial" w:hAnsi="Arial" w:cs="Arial"/>
        </w:rPr>
      </w:pPr>
      <w:r w:rsidRPr="003F5808">
        <w:rPr>
          <w:rFonts w:ascii="Arial" w:hAnsi="Arial" w:cs="Arial"/>
        </w:rPr>
        <w:t>List of Tables</w:t>
      </w:r>
    </w:p>
    <w:p w:rsidR="00D73747" w:rsidRPr="00F313D2" w:rsidRDefault="00D73747">
      <w:pPr>
        <w:pStyle w:val="TableofFigures"/>
        <w:tabs>
          <w:tab w:val="right" w:leader="dot" w:pos="9010"/>
        </w:tabs>
        <w:rPr>
          <w:rFonts w:ascii="Arial" w:eastAsiaTheme="minorEastAsia" w:hAnsi="Arial" w:cs="Arial"/>
          <w:noProof/>
          <w:sz w:val="22"/>
          <w:szCs w:val="22"/>
        </w:rPr>
      </w:pPr>
      <w:r w:rsidRPr="00F313D2">
        <w:rPr>
          <w:rFonts w:ascii="Arial" w:hAnsi="Arial" w:cs="Arial"/>
          <w:sz w:val="22"/>
          <w:szCs w:val="22"/>
        </w:rPr>
        <w:fldChar w:fldCharType="begin"/>
      </w:r>
      <w:r w:rsidRPr="00F313D2">
        <w:rPr>
          <w:rFonts w:ascii="Arial" w:hAnsi="Arial" w:cs="Arial"/>
          <w:sz w:val="22"/>
          <w:szCs w:val="22"/>
        </w:rPr>
        <w:instrText xml:space="preserve"> TOC \h \z \c "Table 7-" </w:instrText>
      </w:r>
      <w:r w:rsidRPr="00F313D2">
        <w:rPr>
          <w:rFonts w:ascii="Arial" w:hAnsi="Arial" w:cs="Arial"/>
          <w:sz w:val="22"/>
          <w:szCs w:val="22"/>
        </w:rPr>
        <w:fldChar w:fldCharType="separate"/>
      </w:r>
      <w:hyperlink w:anchor="_Toc215343928" w:history="1">
        <w:r w:rsidRPr="00F313D2">
          <w:rPr>
            <w:rStyle w:val="Hyperlink"/>
            <w:rFonts w:ascii="Arial" w:hAnsi="Arial" w:cs="Arial"/>
            <w:noProof/>
            <w:sz w:val="22"/>
            <w:szCs w:val="22"/>
          </w:rPr>
          <w:t>Table 7-1 Summary of key problem clusters and indicators of Cambodia TDA</w:t>
        </w:r>
        <w:r w:rsidRPr="00F313D2">
          <w:rPr>
            <w:rFonts w:ascii="Arial" w:hAnsi="Arial" w:cs="Arial"/>
            <w:noProof/>
            <w:webHidden/>
            <w:sz w:val="22"/>
            <w:szCs w:val="22"/>
          </w:rPr>
          <w:tab/>
        </w:r>
        <w:r w:rsidRPr="00F313D2">
          <w:rPr>
            <w:rFonts w:ascii="Arial" w:hAnsi="Arial" w:cs="Arial"/>
            <w:noProof/>
            <w:webHidden/>
            <w:sz w:val="22"/>
            <w:szCs w:val="22"/>
          </w:rPr>
          <w:fldChar w:fldCharType="begin"/>
        </w:r>
        <w:r w:rsidRPr="00F313D2">
          <w:rPr>
            <w:rFonts w:ascii="Arial" w:hAnsi="Arial" w:cs="Arial"/>
            <w:noProof/>
            <w:webHidden/>
            <w:sz w:val="22"/>
            <w:szCs w:val="22"/>
          </w:rPr>
          <w:instrText xml:space="preserve"> PAGEREF _Toc215343928 \h </w:instrText>
        </w:r>
        <w:r w:rsidRPr="00F313D2">
          <w:rPr>
            <w:rFonts w:ascii="Arial" w:hAnsi="Arial" w:cs="Arial"/>
            <w:noProof/>
            <w:webHidden/>
            <w:sz w:val="22"/>
            <w:szCs w:val="22"/>
          </w:rPr>
        </w:r>
        <w:r w:rsidRPr="00F313D2">
          <w:rPr>
            <w:rFonts w:ascii="Arial" w:hAnsi="Arial" w:cs="Arial"/>
            <w:noProof/>
            <w:webHidden/>
            <w:sz w:val="22"/>
            <w:szCs w:val="22"/>
          </w:rPr>
          <w:fldChar w:fldCharType="separate"/>
        </w:r>
        <w:r w:rsidR="00222093">
          <w:rPr>
            <w:rFonts w:ascii="Arial" w:hAnsi="Arial" w:cs="Arial"/>
            <w:noProof/>
            <w:webHidden/>
            <w:sz w:val="22"/>
            <w:szCs w:val="22"/>
          </w:rPr>
          <w:t>4</w:t>
        </w:r>
        <w:r w:rsidRPr="00F313D2">
          <w:rPr>
            <w:rFonts w:ascii="Arial" w:hAnsi="Arial" w:cs="Arial"/>
            <w:noProof/>
            <w:webHidden/>
            <w:sz w:val="22"/>
            <w:szCs w:val="22"/>
          </w:rPr>
          <w:fldChar w:fldCharType="end"/>
        </w:r>
      </w:hyperlink>
    </w:p>
    <w:p w:rsidR="00D73747" w:rsidRPr="00D73747" w:rsidRDefault="00D73747" w:rsidP="00D73747">
      <w:r w:rsidRPr="00F313D2">
        <w:rPr>
          <w:rFonts w:ascii="Arial" w:hAnsi="Arial" w:cs="Arial"/>
          <w:sz w:val="22"/>
          <w:szCs w:val="22"/>
        </w:rPr>
        <w:fldChar w:fldCharType="end"/>
      </w:r>
    </w:p>
    <w:p w:rsidR="00D73747" w:rsidRPr="00D73747" w:rsidRDefault="00D73747" w:rsidP="00D73747">
      <w:pPr>
        <w:pStyle w:val="Heading2"/>
        <w:jc w:val="both"/>
        <w:rPr>
          <w:rFonts w:ascii="Arial" w:hAnsi="Arial" w:cs="Arial"/>
          <w:sz w:val="28"/>
          <w:szCs w:val="28"/>
        </w:rPr>
      </w:pPr>
    </w:p>
    <w:sectPr w:rsidR="00D73747" w:rsidRPr="00D73747" w:rsidSect="005863DD">
      <w:footerReference w:type="default" r:id="rId194"/>
      <w:pgSz w:w="11900" w:h="16840"/>
      <w:pgMar w:top="1440" w:right="1440" w:bottom="1440" w:left="1440"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165FE" w:rsidRDefault="008165FE" w:rsidP="00BB218B">
      <w:r>
        <w:separator/>
      </w:r>
    </w:p>
  </w:endnote>
  <w:endnote w:type="continuationSeparator" w:id="0">
    <w:p w:rsidR="008165FE" w:rsidRDefault="008165FE" w:rsidP="00BB2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41285781"/>
      <w:docPartObj>
        <w:docPartGallery w:val="Page Numbers (Bottom of Page)"/>
        <w:docPartUnique/>
      </w:docPartObj>
    </w:sdtPr>
    <w:sdtContent>
      <w:p w:rsidR="00212E84" w:rsidRDefault="00000000" w:rsidP="00BB218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212E84" w:rsidRDefault="00212E84"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12E84" w:rsidRDefault="00212E84" w:rsidP="00452AF6">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46030397"/>
      <w:docPartObj>
        <w:docPartGallery w:val="Page Numbers (Bottom of Page)"/>
        <w:docPartUnique/>
      </w:docPartObj>
    </w:sdtPr>
    <w:sdtContent>
      <w:p w:rsidR="00BB218B" w:rsidRDefault="00BB218B" w:rsidP="001D1B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rsidR="00BB218B" w:rsidRDefault="00BB218B" w:rsidP="00452AF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165FE" w:rsidRDefault="008165FE" w:rsidP="00BB218B">
      <w:r>
        <w:separator/>
      </w:r>
    </w:p>
  </w:footnote>
  <w:footnote w:type="continuationSeparator" w:id="0">
    <w:p w:rsidR="008165FE" w:rsidRDefault="008165FE" w:rsidP="00BB21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F613B"/>
    <w:multiLevelType w:val="multilevel"/>
    <w:tmpl w:val="9FAE5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3C1243"/>
    <w:multiLevelType w:val="multilevel"/>
    <w:tmpl w:val="A0C2C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623649"/>
    <w:multiLevelType w:val="multilevel"/>
    <w:tmpl w:val="B3FEC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19115C"/>
    <w:multiLevelType w:val="multilevel"/>
    <w:tmpl w:val="5DC4BE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7F6AEB"/>
    <w:multiLevelType w:val="multilevel"/>
    <w:tmpl w:val="044AE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8E1F9E"/>
    <w:multiLevelType w:val="multilevel"/>
    <w:tmpl w:val="767AA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DA56B9"/>
    <w:multiLevelType w:val="multilevel"/>
    <w:tmpl w:val="5B60C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764454"/>
    <w:multiLevelType w:val="multilevel"/>
    <w:tmpl w:val="106A1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CD52BC"/>
    <w:multiLevelType w:val="multilevel"/>
    <w:tmpl w:val="563216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502CDF"/>
    <w:multiLevelType w:val="multilevel"/>
    <w:tmpl w:val="5FC8F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215C32"/>
    <w:multiLevelType w:val="multilevel"/>
    <w:tmpl w:val="83DC0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E61165A"/>
    <w:multiLevelType w:val="multilevel"/>
    <w:tmpl w:val="77905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787180"/>
    <w:multiLevelType w:val="multilevel"/>
    <w:tmpl w:val="1BF4B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36672B"/>
    <w:multiLevelType w:val="multilevel"/>
    <w:tmpl w:val="2F7AC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6E71F04"/>
    <w:multiLevelType w:val="multilevel"/>
    <w:tmpl w:val="27C63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6D325B"/>
    <w:multiLevelType w:val="multilevel"/>
    <w:tmpl w:val="05DE7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E25B75"/>
    <w:multiLevelType w:val="multilevel"/>
    <w:tmpl w:val="BECC1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493EA4"/>
    <w:multiLevelType w:val="multilevel"/>
    <w:tmpl w:val="C0FE8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D97B74"/>
    <w:multiLevelType w:val="multilevel"/>
    <w:tmpl w:val="DA881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6732DF"/>
    <w:multiLevelType w:val="multilevel"/>
    <w:tmpl w:val="7F58F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2F0E24"/>
    <w:multiLevelType w:val="multilevel"/>
    <w:tmpl w:val="7C3A5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3732DA"/>
    <w:multiLevelType w:val="multilevel"/>
    <w:tmpl w:val="01D0D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F674A9"/>
    <w:multiLevelType w:val="multilevel"/>
    <w:tmpl w:val="C36A5E7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color w:val="auto"/>
        <w:sz w:val="13"/>
        <w:szCs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AFB4AF7"/>
    <w:multiLevelType w:val="multilevel"/>
    <w:tmpl w:val="488CB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FD1FE2"/>
    <w:multiLevelType w:val="multilevel"/>
    <w:tmpl w:val="912A6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9A12AF"/>
    <w:multiLevelType w:val="multilevel"/>
    <w:tmpl w:val="0458F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116E8F"/>
    <w:multiLevelType w:val="multilevel"/>
    <w:tmpl w:val="71986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43E0B7B"/>
    <w:multiLevelType w:val="multilevel"/>
    <w:tmpl w:val="1DCEE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4B32FAC"/>
    <w:multiLevelType w:val="multilevel"/>
    <w:tmpl w:val="09F42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F040FD"/>
    <w:multiLevelType w:val="hybridMultilevel"/>
    <w:tmpl w:val="9C8AD1E8"/>
    <w:lvl w:ilvl="0" w:tplc="C00E642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5D687D"/>
    <w:multiLevelType w:val="multilevel"/>
    <w:tmpl w:val="9260E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FEC327D"/>
    <w:multiLevelType w:val="multilevel"/>
    <w:tmpl w:val="47BEB56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sz w:val="1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5C048B3"/>
    <w:multiLevelType w:val="multilevel"/>
    <w:tmpl w:val="6C06B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5DB3F7B"/>
    <w:multiLevelType w:val="multilevel"/>
    <w:tmpl w:val="16C29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3745F8"/>
    <w:multiLevelType w:val="multilevel"/>
    <w:tmpl w:val="0CCC6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8D27D19"/>
    <w:multiLevelType w:val="multilevel"/>
    <w:tmpl w:val="EE665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95C4DE1"/>
    <w:multiLevelType w:val="multilevel"/>
    <w:tmpl w:val="E006D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9F2FD1"/>
    <w:multiLevelType w:val="multilevel"/>
    <w:tmpl w:val="9ECEB384"/>
    <w:lvl w:ilvl="0">
      <w:start w:val="1"/>
      <w:numFmt w:val="decimal"/>
      <w:lvlText w:val="%1."/>
      <w:lvlJc w:val="left"/>
      <w:pPr>
        <w:ind w:left="360" w:hanging="360"/>
      </w:pPr>
      <w:rPr>
        <w:rFonts w:hint="default"/>
      </w:rPr>
    </w:lvl>
    <w:lvl w:ilvl="1">
      <w:start w:val="1"/>
      <w:numFmt w:val="decimal"/>
      <w:lvlText w:val="%1.%2."/>
      <w:lvlJc w:val="left"/>
      <w:pPr>
        <w:ind w:left="720" w:hanging="720"/>
      </w:pPr>
      <w:rPr>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8" w15:restartNumberingAfterBreak="0">
    <w:nsid w:val="6DD96ED0"/>
    <w:multiLevelType w:val="multilevel"/>
    <w:tmpl w:val="D1CAF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EB6CB7"/>
    <w:multiLevelType w:val="multilevel"/>
    <w:tmpl w:val="F522B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103513"/>
    <w:multiLevelType w:val="multilevel"/>
    <w:tmpl w:val="7932EBC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1F45E06"/>
    <w:multiLevelType w:val="multilevel"/>
    <w:tmpl w:val="AE86F3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5760F3C"/>
    <w:multiLevelType w:val="multilevel"/>
    <w:tmpl w:val="3FB0C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8227C8B"/>
    <w:multiLevelType w:val="multilevel"/>
    <w:tmpl w:val="6054E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E4E5BA6"/>
    <w:multiLevelType w:val="multilevel"/>
    <w:tmpl w:val="75083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EBF3CBE"/>
    <w:multiLevelType w:val="multilevel"/>
    <w:tmpl w:val="F5BCA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F150A84"/>
    <w:multiLevelType w:val="multilevel"/>
    <w:tmpl w:val="2D209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5812791">
    <w:abstractNumId w:val="37"/>
  </w:num>
  <w:num w:numId="2" w16cid:durableId="1066799261">
    <w:abstractNumId w:val="0"/>
  </w:num>
  <w:num w:numId="3" w16cid:durableId="1619485562">
    <w:abstractNumId w:val="3"/>
  </w:num>
  <w:num w:numId="4" w16cid:durableId="1119571069">
    <w:abstractNumId w:val="11"/>
  </w:num>
  <w:num w:numId="5" w16cid:durableId="1298610359">
    <w:abstractNumId w:val="9"/>
  </w:num>
  <w:num w:numId="6" w16cid:durableId="138233775">
    <w:abstractNumId w:val="44"/>
  </w:num>
  <w:num w:numId="7" w16cid:durableId="581183912">
    <w:abstractNumId w:val="19"/>
  </w:num>
  <w:num w:numId="8" w16cid:durableId="2052996973">
    <w:abstractNumId w:val="25"/>
  </w:num>
  <w:num w:numId="9" w16cid:durableId="16855926">
    <w:abstractNumId w:val="2"/>
  </w:num>
  <w:num w:numId="10" w16cid:durableId="925771588">
    <w:abstractNumId w:val="33"/>
  </w:num>
  <w:num w:numId="11" w16cid:durableId="698896301">
    <w:abstractNumId w:val="10"/>
  </w:num>
  <w:num w:numId="12" w16cid:durableId="1899971503">
    <w:abstractNumId w:val="38"/>
  </w:num>
  <w:num w:numId="13" w16cid:durableId="1389526909">
    <w:abstractNumId w:val="32"/>
  </w:num>
  <w:num w:numId="14" w16cid:durableId="843083122">
    <w:abstractNumId w:val="16"/>
  </w:num>
  <w:num w:numId="15" w16cid:durableId="121969633">
    <w:abstractNumId w:val="45"/>
  </w:num>
  <w:num w:numId="16" w16cid:durableId="1046297310">
    <w:abstractNumId w:val="26"/>
  </w:num>
  <w:num w:numId="17" w16cid:durableId="492529457">
    <w:abstractNumId w:val="6"/>
  </w:num>
  <w:num w:numId="18" w16cid:durableId="782114449">
    <w:abstractNumId w:val="4"/>
  </w:num>
  <w:num w:numId="19" w16cid:durableId="372267806">
    <w:abstractNumId w:val="28"/>
  </w:num>
  <w:num w:numId="20" w16cid:durableId="826558454">
    <w:abstractNumId w:val="24"/>
  </w:num>
  <w:num w:numId="21" w16cid:durableId="1712728667">
    <w:abstractNumId w:val="41"/>
  </w:num>
  <w:num w:numId="22" w16cid:durableId="1132986691">
    <w:abstractNumId w:val="13"/>
  </w:num>
  <w:num w:numId="23" w16cid:durableId="818182839">
    <w:abstractNumId w:val="5"/>
  </w:num>
  <w:num w:numId="24" w16cid:durableId="1689789694">
    <w:abstractNumId w:val="12"/>
  </w:num>
  <w:num w:numId="25" w16cid:durableId="1535388152">
    <w:abstractNumId w:val="23"/>
  </w:num>
  <w:num w:numId="26" w16cid:durableId="858588517">
    <w:abstractNumId w:val="27"/>
  </w:num>
  <w:num w:numId="27" w16cid:durableId="338852341">
    <w:abstractNumId w:val="7"/>
  </w:num>
  <w:num w:numId="28" w16cid:durableId="1058669590">
    <w:abstractNumId w:val="43"/>
  </w:num>
  <w:num w:numId="29" w16cid:durableId="1304236068">
    <w:abstractNumId w:val="46"/>
  </w:num>
  <w:num w:numId="30" w16cid:durableId="1640956095">
    <w:abstractNumId w:val="39"/>
  </w:num>
  <w:num w:numId="31" w16cid:durableId="1990933937">
    <w:abstractNumId w:val="20"/>
  </w:num>
  <w:num w:numId="32" w16cid:durableId="1798178675">
    <w:abstractNumId w:val="17"/>
  </w:num>
  <w:num w:numId="33" w16cid:durableId="386760286">
    <w:abstractNumId w:val="18"/>
  </w:num>
  <w:num w:numId="34" w16cid:durableId="1285230293">
    <w:abstractNumId w:val="21"/>
  </w:num>
  <w:num w:numId="35" w16cid:durableId="1883050513">
    <w:abstractNumId w:val="1"/>
  </w:num>
  <w:num w:numId="36" w16cid:durableId="1780249235">
    <w:abstractNumId w:val="14"/>
  </w:num>
  <w:num w:numId="37" w16cid:durableId="2113815034">
    <w:abstractNumId w:val="15"/>
  </w:num>
  <w:num w:numId="38" w16cid:durableId="793252440">
    <w:abstractNumId w:val="29"/>
  </w:num>
  <w:num w:numId="39" w16cid:durableId="999499828">
    <w:abstractNumId w:val="8"/>
  </w:num>
  <w:num w:numId="40" w16cid:durableId="1054355908">
    <w:abstractNumId w:val="22"/>
  </w:num>
  <w:num w:numId="41" w16cid:durableId="707415949">
    <w:abstractNumId w:val="31"/>
  </w:num>
  <w:num w:numId="42" w16cid:durableId="1188106352">
    <w:abstractNumId w:val="40"/>
  </w:num>
  <w:num w:numId="43" w16cid:durableId="483934694">
    <w:abstractNumId w:val="42"/>
  </w:num>
  <w:num w:numId="44" w16cid:durableId="1481342059">
    <w:abstractNumId w:val="36"/>
  </w:num>
  <w:num w:numId="45" w16cid:durableId="2008365519">
    <w:abstractNumId w:val="34"/>
  </w:num>
  <w:num w:numId="46" w16cid:durableId="321813527">
    <w:abstractNumId w:val="35"/>
  </w:num>
  <w:num w:numId="47" w16cid:durableId="31892815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F75"/>
    <w:rsid w:val="00067B26"/>
    <w:rsid w:val="00095F75"/>
    <w:rsid w:val="000F7DCF"/>
    <w:rsid w:val="00102B9C"/>
    <w:rsid w:val="00130FEA"/>
    <w:rsid w:val="00146746"/>
    <w:rsid w:val="001804DB"/>
    <w:rsid w:val="001D0099"/>
    <w:rsid w:val="001D6CDB"/>
    <w:rsid w:val="001F7BB6"/>
    <w:rsid w:val="00212E84"/>
    <w:rsid w:val="002133A7"/>
    <w:rsid w:val="00222093"/>
    <w:rsid w:val="0023589E"/>
    <w:rsid w:val="00237E34"/>
    <w:rsid w:val="00256C25"/>
    <w:rsid w:val="00260429"/>
    <w:rsid w:val="002966BD"/>
    <w:rsid w:val="002D0E75"/>
    <w:rsid w:val="002E1924"/>
    <w:rsid w:val="00300CB6"/>
    <w:rsid w:val="003518C4"/>
    <w:rsid w:val="00370CC1"/>
    <w:rsid w:val="003B0C6D"/>
    <w:rsid w:val="003C370B"/>
    <w:rsid w:val="003D7DCB"/>
    <w:rsid w:val="003E1553"/>
    <w:rsid w:val="003F5808"/>
    <w:rsid w:val="004015B8"/>
    <w:rsid w:val="00404D30"/>
    <w:rsid w:val="004B2A3D"/>
    <w:rsid w:val="004B5264"/>
    <w:rsid w:val="00501F31"/>
    <w:rsid w:val="0058400F"/>
    <w:rsid w:val="005863DD"/>
    <w:rsid w:val="005B3D05"/>
    <w:rsid w:val="005D2E7C"/>
    <w:rsid w:val="005D7827"/>
    <w:rsid w:val="006477C6"/>
    <w:rsid w:val="006B2E19"/>
    <w:rsid w:val="00783DCC"/>
    <w:rsid w:val="007D4CAE"/>
    <w:rsid w:val="00815D54"/>
    <w:rsid w:val="008165FE"/>
    <w:rsid w:val="00821CA9"/>
    <w:rsid w:val="008931B0"/>
    <w:rsid w:val="00895B4D"/>
    <w:rsid w:val="008C5C82"/>
    <w:rsid w:val="008C7A66"/>
    <w:rsid w:val="008F2864"/>
    <w:rsid w:val="00940620"/>
    <w:rsid w:val="00941310"/>
    <w:rsid w:val="00956510"/>
    <w:rsid w:val="00981AEF"/>
    <w:rsid w:val="0099028A"/>
    <w:rsid w:val="009E6B4E"/>
    <w:rsid w:val="00A1389F"/>
    <w:rsid w:val="00A74302"/>
    <w:rsid w:val="00AB2A61"/>
    <w:rsid w:val="00B15FE7"/>
    <w:rsid w:val="00B36951"/>
    <w:rsid w:val="00B472EA"/>
    <w:rsid w:val="00B940AF"/>
    <w:rsid w:val="00BB218B"/>
    <w:rsid w:val="00BB5B2E"/>
    <w:rsid w:val="00BF79A7"/>
    <w:rsid w:val="00C07253"/>
    <w:rsid w:val="00C275AE"/>
    <w:rsid w:val="00C54732"/>
    <w:rsid w:val="00C61DC2"/>
    <w:rsid w:val="00CA5FCF"/>
    <w:rsid w:val="00CF383C"/>
    <w:rsid w:val="00D114DF"/>
    <w:rsid w:val="00D14DBA"/>
    <w:rsid w:val="00D46CD7"/>
    <w:rsid w:val="00D61C59"/>
    <w:rsid w:val="00D73747"/>
    <w:rsid w:val="00E06BEC"/>
    <w:rsid w:val="00E24673"/>
    <w:rsid w:val="00E75DAD"/>
    <w:rsid w:val="00EA0880"/>
    <w:rsid w:val="00F22A59"/>
    <w:rsid w:val="00F23AFD"/>
    <w:rsid w:val="00F313D2"/>
    <w:rsid w:val="00F336E0"/>
    <w:rsid w:val="00F40342"/>
    <w:rsid w:val="00F55744"/>
    <w:rsid w:val="00FB5D55"/>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efaultImageDpi w14:val="32767"/>
  <w15:chartTrackingRefBased/>
  <w15:docId w15:val="{C86C5755-7429-AE41-811D-3E8C9DC46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F22A59"/>
    <w:pPr>
      <w:keepNext/>
      <w:ind w:left="360" w:hanging="360"/>
      <w:jc w:val="both"/>
      <w:outlineLvl w:val="0"/>
    </w:pPr>
    <w:rPr>
      <w:rFonts w:ascii="Arial" w:eastAsia="Times New Roman" w:hAnsi="Arial" w:cs="Arial"/>
      <w:b/>
      <w:bCs/>
      <w:sz w:val="32"/>
      <w:szCs w:val="32"/>
    </w:rPr>
  </w:style>
  <w:style w:type="paragraph" w:styleId="Heading2">
    <w:name w:val="heading 2"/>
    <w:basedOn w:val="Normal"/>
    <w:link w:val="Heading2Char"/>
    <w:uiPriority w:val="9"/>
    <w:qFormat/>
    <w:rsid w:val="00095F75"/>
    <w:pPr>
      <w:spacing w:before="100" w:beforeAutospacing="1" w:after="100" w:afterAutospacing="1"/>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095F75"/>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2A59"/>
    <w:rPr>
      <w:rFonts w:ascii="Arial" w:eastAsia="Times New Roman" w:hAnsi="Arial" w:cs="Arial"/>
      <w:b/>
      <w:bCs/>
      <w:sz w:val="32"/>
      <w:szCs w:val="32"/>
    </w:rPr>
  </w:style>
  <w:style w:type="character" w:customStyle="1" w:styleId="Heading2Char">
    <w:name w:val="Heading 2 Char"/>
    <w:basedOn w:val="DefaultParagraphFont"/>
    <w:link w:val="Heading2"/>
    <w:uiPriority w:val="9"/>
    <w:rsid w:val="00095F75"/>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095F75"/>
    <w:rPr>
      <w:rFonts w:ascii="Times New Roman" w:eastAsia="Times New Roman" w:hAnsi="Times New Roman" w:cs="Times New Roman"/>
      <w:b/>
      <w:bCs/>
      <w:kern w:val="0"/>
      <w:sz w:val="27"/>
      <w:szCs w:val="27"/>
      <w14:ligatures w14:val="none"/>
    </w:rPr>
  </w:style>
  <w:style w:type="character" w:styleId="Strong">
    <w:name w:val="Strong"/>
    <w:basedOn w:val="DefaultParagraphFont"/>
    <w:uiPriority w:val="22"/>
    <w:qFormat/>
    <w:rsid w:val="00095F75"/>
    <w:rPr>
      <w:b/>
      <w:bCs/>
    </w:rPr>
  </w:style>
  <w:style w:type="paragraph" w:styleId="NormalWeb">
    <w:name w:val="Normal (Web)"/>
    <w:basedOn w:val="Normal"/>
    <w:uiPriority w:val="99"/>
    <w:unhideWhenUsed/>
    <w:rsid w:val="00095F75"/>
    <w:pPr>
      <w:spacing w:before="100" w:beforeAutospacing="1" w:after="100" w:afterAutospacing="1"/>
    </w:pPr>
    <w:rPr>
      <w:rFonts w:ascii="Times New Roman" w:eastAsia="Times New Roman" w:hAnsi="Times New Roman" w:cs="Times New Roman"/>
      <w:kern w:val="0"/>
      <w14:ligatures w14:val="none"/>
    </w:rPr>
  </w:style>
  <w:style w:type="character" w:customStyle="1" w:styleId="relative">
    <w:name w:val="relative"/>
    <w:basedOn w:val="DefaultParagraphFont"/>
    <w:rsid w:val="00095F75"/>
  </w:style>
  <w:style w:type="paragraph" w:customStyle="1" w:styleId="not-prose">
    <w:name w:val="not-prose"/>
    <w:basedOn w:val="Normal"/>
    <w:rsid w:val="00095F75"/>
    <w:pPr>
      <w:spacing w:before="100" w:beforeAutospacing="1" w:after="100" w:afterAutospacing="1"/>
    </w:pPr>
    <w:rPr>
      <w:rFonts w:ascii="Times New Roman" w:eastAsia="Times New Roman" w:hAnsi="Times New Roman" w:cs="Times New Roman"/>
      <w:kern w:val="0"/>
      <w14:ligatures w14:val="none"/>
    </w:rPr>
  </w:style>
  <w:style w:type="table" w:styleId="GridTable4-Accent5">
    <w:name w:val="Grid Table 4 Accent 5"/>
    <w:basedOn w:val="TableNormal"/>
    <w:uiPriority w:val="49"/>
    <w:rsid w:val="005D7827"/>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Footer">
    <w:name w:val="footer"/>
    <w:basedOn w:val="Normal"/>
    <w:link w:val="FooterChar"/>
    <w:uiPriority w:val="99"/>
    <w:unhideWhenUsed/>
    <w:rsid w:val="00CF383C"/>
    <w:pPr>
      <w:tabs>
        <w:tab w:val="center" w:pos="4680"/>
        <w:tab w:val="right" w:pos="9360"/>
      </w:tabs>
    </w:pPr>
    <w:rPr>
      <w:rFonts w:ascii="Times New Roman" w:eastAsia="Times New Roman" w:hAnsi="Times New Roman" w:cs="Times New Roman"/>
      <w:kern w:val="0"/>
      <w14:ligatures w14:val="none"/>
    </w:rPr>
  </w:style>
  <w:style w:type="character" w:customStyle="1" w:styleId="FooterChar">
    <w:name w:val="Footer Char"/>
    <w:basedOn w:val="DefaultParagraphFont"/>
    <w:link w:val="Footer"/>
    <w:uiPriority w:val="99"/>
    <w:rsid w:val="00CF383C"/>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CF383C"/>
  </w:style>
  <w:style w:type="paragraph" w:styleId="Caption">
    <w:name w:val="caption"/>
    <w:basedOn w:val="Normal"/>
    <w:next w:val="Normal"/>
    <w:uiPriority w:val="35"/>
    <w:unhideWhenUsed/>
    <w:qFormat/>
    <w:rsid w:val="003C370B"/>
    <w:pPr>
      <w:spacing w:after="200"/>
    </w:pPr>
    <w:rPr>
      <w:i/>
      <w:iCs/>
      <w:color w:val="44546A" w:themeColor="text2"/>
      <w:sz w:val="18"/>
      <w:szCs w:val="18"/>
    </w:rPr>
  </w:style>
  <w:style w:type="paragraph" w:styleId="ListParagraph">
    <w:name w:val="List Paragraph"/>
    <w:basedOn w:val="Normal"/>
    <w:uiPriority w:val="34"/>
    <w:qFormat/>
    <w:rsid w:val="003C370B"/>
    <w:pPr>
      <w:ind w:left="720"/>
      <w:contextualSpacing/>
    </w:pPr>
  </w:style>
  <w:style w:type="paragraph" w:styleId="Header">
    <w:name w:val="header"/>
    <w:basedOn w:val="Normal"/>
    <w:link w:val="HeaderChar"/>
    <w:uiPriority w:val="99"/>
    <w:unhideWhenUsed/>
    <w:rsid w:val="00BB218B"/>
    <w:pPr>
      <w:tabs>
        <w:tab w:val="center" w:pos="4680"/>
        <w:tab w:val="right" w:pos="9360"/>
      </w:tabs>
    </w:pPr>
  </w:style>
  <w:style w:type="character" w:customStyle="1" w:styleId="HeaderChar">
    <w:name w:val="Header Char"/>
    <w:basedOn w:val="DefaultParagraphFont"/>
    <w:link w:val="Header"/>
    <w:uiPriority w:val="99"/>
    <w:rsid w:val="00BB218B"/>
  </w:style>
  <w:style w:type="character" w:styleId="Emphasis">
    <w:name w:val="Emphasis"/>
    <w:basedOn w:val="DefaultParagraphFont"/>
    <w:uiPriority w:val="20"/>
    <w:qFormat/>
    <w:rsid w:val="00B940AF"/>
    <w:rPr>
      <w:i/>
      <w:iCs/>
    </w:rPr>
  </w:style>
  <w:style w:type="paragraph" w:styleId="TOCHeading">
    <w:name w:val="TOC Heading"/>
    <w:basedOn w:val="Heading1"/>
    <w:next w:val="Normal"/>
    <w:uiPriority w:val="39"/>
    <w:unhideWhenUsed/>
    <w:qFormat/>
    <w:rsid w:val="00D73747"/>
    <w:pPr>
      <w:keepLines/>
      <w:spacing w:before="480" w:line="276" w:lineRule="auto"/>
      <w:ind w:left="0" w:firstLine="0"/>
      <w:jc w:val="left"/>
      <w:outlineLvl w:val="9"/>
    </w:pPr>
    <w:rPr>
      <w:rFonts w:asciiTheme="majorHAnsi" w:eastAsiaTheme="majorEastAsia" w:hAnsiTheme="majorHAnsi" w:cstheme="majorBidi"/>
      <w:color w:val="2F5496" w:themeColor="accent1" w:themeShade="BF"/>
      <w:kern w:val="0"/>
      <w:sz w:val="28"/>
      <w:szCs w:val="28"/>
      <w14:ligatures w14:val="none"/>
    </w:rPr>
  </w:style>
  <w:style w:type="paragraph" w:styleId="TOC1">
    <w:name w:val="toc 1"/>
    <w:basedOn w:val="Normal"/>
    <w:next w:val="Normal"/>
    <w:autoRedefine/>
    <w:uiPriority w:val="39"/>
    <w:unhideWhenUsed/>
    <w:rsid w:val="00D73747"/>
    <w:pPr>
      <w:spacing w:before="120"/>
    </w:pPr>
    <w:rPr>
      <w:rFonts w:cstheme="minorHAnsi"/>
      <w:b/>
      <w:bCs/>
      <w:i/>
      <w:iCs/>
    </w:rPr>
  </w:style>
  <w:style w:type="paragraph" w:styleId="TOC2">
    <w:name w:val="toc 2"/>
    <w:basedOn w:val="Normal"/>
    <w:next w:val="Normal"/>
    <w:autoRedefine/>
    <w:uiPriority w:val="39"/>
    <w:unhideWhenUsed/>
    <w:rsid w:val="00940620"/>
    <w:pPr>
      <w:tabs>
        <w:tab w:val="right" w:leader="dot" w:pos="9010"/>
      </w:tabs>
      <w:spacing w:before="120"/>
      <w:ind w:left="240"/>
    </w:pPr>
    <w:rPr>
      <w:rFonts w:cstheme="minorHAnsi"/>
      <w:b/>
      <w:bCs/>
      <w:sz w:val="22"/>
      <w:szCs w:val="22"/>
    </w:rPr>
  </w:style>
  <w:style w:type="character" w:styleId="Hyperlink">
    <w:name w:val="Hyperlink"/>
    <w:basedOn w:val="DefaultParagraphFont"/>
    <w:uiPriority w:val="99"/>
    <w:unhideWhenUsed/>
    <w:rsid w:val="00D73747"/>
    <w:rPr>
      <w:color w:val="0563C1" w:themeColor="hyperlink"/>
      <w:u w:val="single"/>
    </w:rPr>
  </w:style>
  <w:style w:type="paragraph" w:styleId="TOC3">
    <w:name w:val="toc 3"/>
    <w:basedOn w:val="Normal"/>
    <w:next w:val="Normal"/>
    <w:autoRedefine/>
    <w:uiPriority w:val="39"/>
    <w:semiHidden/>
    <w:unhideWhenUsed/>
    <w:rsid w:val="00D73747"/>
    <w:pPr>
      <w:ind w:left="480"/>
    </w:pPr>
    <w:rPr>
      <w:rFonts w:cstheme="minorHAnsi"/>
      <w:sz w:val="20"/>
      <w:szCs w:val="20"/>
    </w:rPr>
  </w:style>
  <w:style w:type="paragraph" w:styleId="TOC4">
    <w:name w:val="toc 4"/>
    <w:basedOn w:val="Normal"/>
    <w:next w:val="Normal"/>
    <w:autoRedefine/>
    <w:uiPriority w:val="39"/>
    <w:semiHidden/>
    <w:unhideWhenUsed/>
    <w:rsid w:val="00D73747"/>
    <w:pPr>
      <w:ind w:left="720"/>
    </w:pPr>
    <w:rPr>
      <w:rFonts w:cstheme="minorHAnsi"/>
      <w:sz w:val="20"/>
      <w:szCs w:val="20"/>
    </w:rPr>
  </w:style>
  <w:style w:type="paragraph" w:styleId="TOC5">
    <w:name w:val="toc 5"/>
    <w:basedOn w:val="Normal"/>
    <w:next w:val="Normal"/>
    <w:autoRedefine/>
    <w:uiPriority w:val="39"/>
    <w:semiHidden/>
    <w:unhideWhenUsed/>
    <w:rsid w:val="00D73747"/>
    <w:pPr>
      <w:ind w:left="960"/>
    </w:pPr>
    <w:rPr>
      <w:rFonts w:cstheme="minorHAnsi"/>
      <w:sz w:val="20"/>
      <w:szCs w:val="20"/>
    </w:rPr>
  </w:style>
  <w:style w:type="paragraph" w:styleId="TOC6">
    <w:name w:val="toc 6"/>
    <w:basedOn w:val="Normal"/>
    <w:next w:val="Normal"/>
    <w:autoRedefine/>
    <w:uiPriority w:val="39"/>
    <w:semiHidden/>
    <w:unhideWhenUsed/>
    <w:rsid w:val="00D73747"/>
    <w:pPr>
      <w:ind w:left="1200"/>
    </w:pPr>
    <w:rPr>
      <w:rFonts w:cstheme="minorHAnsi"/>
      <w:sz w:val="20"/>
      <w:szCs w:val="20"/>
    </w:rPr>
  </w:style>
  <w:style w:type="paragraph" w:styleId="TOC7">
    <w:name w:val="toc 7"/>
    <w:basedOn w:val="Normal"/>
    <w:next w:val="Normal"/>
    <w:autoRedefine/>
    <w:uiPriority w:val="39"/>
    <w:semiHidden/>
    <w:unhideWhenUsed/>
    <w:rsid w:val="00D73747"/>
    <w:pPr>
      <w:ind w:left="1440"/>
    </w:pPr>
    <w:rPr>
      <w:rFonts w:cstheme="minorHAnsi"/>
      <w:sz w:val="20"/>
      <w:szCs w:val="20"/>
    </w:rPr>
  </w:style>
  <w:style w:type="paragraph" w:styleId="TOC8">
    <w:name w:val="toc 8"/>
    <w:basedOn w:val="Normal"/>
    <w:next w:val="Normal"/>
    <w:autoRedefine/>
    <w:uiPriority w:val="39"/>
    <w:semiHidden/>
    <w:unhideWhenUsed/>
    <w:rsid w:val="00D73747"/>
    <w:pPr>
      <w:ind w:left="1680"/>
    </w:pPr>
    <w:rPr>
      <w:rFonts w:cstheme="minorHAnsi"/>
      <w:sz w:val="20"/>
      <w:szCs w:val="20"/>
    </w:rPr>
  </w:style>
  <w:style w:type="paragraph" w:styleId="TOC9">
    <w:name w:val="toc 9"/>
    <w:basedOn w:val="Normal"/>
    <w:next w:val="Normal"/>
    <w:autoRedefine/>
    <w:uiPriority w:val="39"/>
    <w:semiHidden/>
    <w:unhideWhenUsed/>
    <w:rsid w:val="00D73747"/>
    <w:pPr>
      <w:ind w:left="1920"/>
    </w:pPr>
    <w:rPr>
      <w:rFonts w:cstheme="minorHAnsi"/>
      <w:sz w:val="20"/>
      <w:szCs w:val="20"/>
    </w:rPr>
  </w:style>
  <w:style w:type="paragraph" w:styleId="TableofFigures">
    <w:name w:val="table of figures"/>
    <w:basedOn w:val="Normal"/>
    <w:next w:val="Normal"/>
    <w:uiPriority w:val="99"/>
    <w:unhideWhenUsed/>
    <w:rsid w:val="00D73747"/>
  </w:style>
  <w:style w:type="character" w:styleId="UnresolvedMention">
    <w:name w:val="Unresolved Mention"/>
    <w:basedOn w:val="DefaultParagraphFont"/>
    <w:uiPriority w:val="99"/>
    <w:rsid w:val="00815D54"/>
    <w:rPr>
      <w:color w:val="605E5C"/>
      <w:shd w:val="clear" w:color="auto" w:fill="E1DFDD"/>
    </w:rPr>
  </w:style>
  <w:style w:type="character" w:styleId="FollowedHyperlink">
    <w:name w:val="FollowedHyperlink"/>
    <w:basedOn w:val="DefaultParagraphFont"/>
    <w:uiPriority w:val="99"/>
    <w:semiHidden/>
    <w:unhideWhenUsed/>
    <w:rsid w:val="00815D5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603160">
      <w:bodyDiv w:val="1"/>
      <w:marLeft w:val="0"/>
      <w:marRight w:val="0"/>
      <w:marTop w:val="0"/>
      <w:marBottom w:val="0"/>
      <w:divBdr>
        <w:top w:val="none" w:sz="0" w:space="0" w:color="auto"/>
        <w:left w:val="none" w:sz="0" w:space="0" w:color="auto"/>
        <w:bottom w:val="none" w:sz="0" w:space="0" w:color="auto"/>
        <w:right w:val="none" w:sz="0" w:space="0" w:color="auto"/>
      </w:divBdr>
    </w:div>
    <w:div w:id="317610286">
      <w:bodyDiv w:val="1"/>
      <w:marLeft w:val="0"/>
      <w:marRight w:val="0"/>
      <w:marTop w:val="0"/>
      <w:marBottom w:val="0"/>
      <w:divBdr>
        <w:top w:val="none" w:sz="0" w:space="0" w:color="auto"/>
        <w:left w:val="none" w:sz="0" w:space="0" w:color="auto"/>
        <w:bottom w:val="none" w:sz="0" w:space="0" w:color="auto"/>
        <w:right w:val="none" w:sz="0" w:space="0" w:color="auto"/>
      </w:divBdr>
    </w:div>
    <w:div w:id="551621133">
      <w:bodyDiv w:val="1"/>
      <w:marLeft w:val="0"/>
      <w:marRight w:val="0"/>
      <w:marTop w:val="0"/>
      <w:marBottom w:val="0"/>
      <w:divBdr>
        <w:top w:val="none" w:sz="0" w:space="0" w:color="auto"/>
        <w:left w:val="none" w:sz="0" w:space="0" w:color="auto"/>
        <w:bottom w:val="none" w:sz="0" w:space="0" w:color="auto"/>
        <w:right w:val="none" w:sz="0" w:space="0" w:color="auto"/>
      </w:divBdr>
    </w:div>
    <w:div w:id="563218836">
      <w:bodyDiv w:val="1"/>
      <w:marLeft w:val="0"/>
      <w:marRight w:val="0"/>
      <w:marTop w:val="0"/>
      <w:marBottom w:val="0"/>
      <w:divBdr>
        <w:top w:val="none" w:sz="0" w:space="0" w:color="auto"/>
        <w:left w:val="none" w:sz="0" w:space="0" w:color="auto"/>
        <w:bottom w:val="none" w:sz="0" w:space="0" w:color="auto"/>
        <w:right w:val="none" w:sz="0" w:space="0" w:color="auto"/>
      </w:divBdr>
    </w:div>
    <w:div w:id="599607413">
      <w:bodyDiv w:val="1"/>
      <w:marLeft w:val="0"/>
      <w:marRight w:val="0"/>
      <w:marTop w:val="0"/>
      <w:marBottom w:val="0"/>
      <w:divBdr>
        <w:top w:val="none" w:sz="0" w:space="0" w:color="auto"/>
        <w:left w:val="none" w:sz="0" w:space="0" w:color="auto"/>
        <w:bottom w:val="none" w:sz="0" w:space="0" w:color="auto"/>
        <w:right w:val="none" w:sz="0" w:space="0" w:color="auto"/>
      </w:divBdr>
    </w:div>
    <w:div w:id="722632100">
      <w:bodyDiv w:val="1"/>
      <w:marLeft w:val="0"/>
      <w:marRight w:val="0"/>
      <w:marTop w:val="0"/>
      <w:marBottom w:val="0"/>
      <w:divBdr>
        <w:top w:val="none" w:sz="0" w:space="0" w:color="auto"/>
        <w:left w:val="none" w:sz="0" w:space="0" w:color="auto"/>
        <w:bottom w:val="none" w:sz="0" w:space="0" w:color="auto"/>
        <w:right w:val="none" w:sz="0" w:space="0" w:color="auto"/>
      </w:divBdr>
    </w:div>
    <w:div w:id="854730388">
      <w:bodyDiv w:val="1"/>
      <w:marLeft w:val="0"/>
      <w:marRight w:val="0"/>
      <w:marTop w:val="0"/>
      <w:marBottom w:val="0"/>
      <w:divBdr>
        <w:top w:val="none" w:sz="0" w:space="0" w:color="auto"/>
        <w:left w:val="none" w:sz="0" w:space="0" w:color="auto"/>
        <w:bottom w:val="none" w:sz="0" w:space="0" w:color="auto"/>
        <w:right w:val="none" w:sz="0" w:space="0" w:color="auto"/>
      </w:divBdr>
      <w:divsChild>
        <w:div w:id="521222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7349292">
      <w:bodyDiv w:val="1"/>
      <w:marLeft w:val="0"/>
      <w:marRight w:val="0"/>
      <w:marTop w:val="0"/>
      <w:marBottom w:val="0"/>
      <w:divBdr>
        <w:top w:val="none" w:sz="0" w:space="0" w:color="auto"/>
        <w:left w:val="none" w:sz="0" w:space="0" w:color="auto"/>
        <w:bottom w:val="none" w:sz="0" w:space="0" w:color="auto"/>
        <w:right w:val="none" w:sz="0" w:space="0" w:color="auto"/>
      </w:divBdr>
      <w:divsChild>
        <w:div w:id="2073768418">
          <w:marLeft w:val="0"/>
          <w:marRight w:val="0"/>
          <w:marTop w:val="0"/>
          <w:marBottom w:val="0"/>
          <w:divBdr>
            <w:top w:val="none" w:sz="0" w:space="0" w:color="auto"/>
            <w:left w:val="none" w:sz="0" w:space="0" w:color="auto"/>
            <w:bottom w:val="none" w:sz="0" w:space="0" w:color="auto"/>
            <w:right w:val="none" w:sz="0" w:space="0" w:color="auto"/>
          </w:divBdr>
          <w:divsChild>
            <w:div w:id="1921866648">
              <w:marLeft w:val="0"/>
              <w:marRight w:val="0"/>
              <w:marTop w:val="0"/>
              <w:marBottom w:val="0"/>
              <w:divBdr>
                <w:top w:val="none" w:sz="0" w:space="0" w:color="auto"/>
                <w:left w:val="none" w:sz="0" w:space="0" w:color="auto"/>
                <w:bottom w:val="none" w:sz="0" w:space="0" w:color="auto"/>
                <w:right w:val="none" w:sz="0" w:space="0" w:color="auto"/>
              </w:divBdr>
              <w:divsChild>
                <w:div w:id="1601447051">
                  <w:marLeft w:val="0"/>
                  <w:marRight w:val="0"/>
                  <w:marTop w:val="0"/>
                  <w:marBottom w:val="0"/>
                  <w:divBdr>
                    <w:top w:val="none" w:sz="0" w:space="0" w:color="auto"/>
                    <w:left w:val="none" w:sz="0" w:space="0" w:color="auto"/>
                    <w:bottom w:val="none" w:sz="0" w:space="0" w:color="auto"/>
                    <w:right w:val="none" w:sz="0" w:space="0" w:color="auto"/>
                  </w:divBdr>
                  <w:divsChild>
                    <w:div w:id="1916821383">
                      <w:marLeft w:val="0"/>
                      <w:marRight w:val="0"/>
                      <w:marTop w:val="0"/>
                      <w:marBottom w:val="0"/>
                      <w:divBdr>
                        <w:top w:val="none" w:sz="0" w:space="0" w:color="auto"/>
                        <w:left w:val="none" w:sz="0" w:space="0" w:color="auto"/>
                        <w:bottom w:val="none" w:sz="0" w:space="0" w:color="auto"/>
                        <w:right w:val="none" w:sz="0" w:space="0" w:color="auto"/>
                      </w:divBdr>
                      <w:divsChild>
                        <w:div w:id="1032729780">
                          <w:marLeft w:val="0"/>
                          <w:marRight w:val="0"/>
                          <w:marTop w:val="0"/>
                          <w:marBottom w:val="0"/>
                          <w:divBdr>
                            <w:top w:val="none" w:sz="0" w:space="0" w:color="auto"/>
                            <w:left w:val="none" w:sz="0" w:space="0" w:color="auto"/>
                            <w:bottom w:val="none" w:sz="0" w:space="0" w:color="auto"/>
                            <w:right w:val="none" w:sz="0" w:space="0" w:color="auto"/>
                          </w:divBdr>
                          <w:divsChild>
                            <w:div w:id="356735">
                              <w:marLeft w:val="0"/>
                              <w:marRight w:val="0"/>
                              <w:marTop w:val="0"/>
                              <w:marBottom w:val="0"/>
                              <w:divBdr>
                                <w:top w:val="none" w:sz="0" w:space="0" w:color="auto"/>
                                <w:left w:val="none" w:sz="0" w:space="0" w:color="auto"/>
                                <w:bottom w:val="none" w:sz="0" w:space="0" w:color="auto"/>
                                <w:right w:val="none" w:sz="0" w:space="0" w:color="auto"/>
                              </w:divBdr>
                              <w:divsChild>
                                <w:div w:id="146350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6215476">
      <w:bodyDiv w:val="1"/>
      <w:marLeft w:val="0"/>
      <w:marRight w:val="0"/>
      <w:marTop w:val="0"/>
      <w:marBottom w:val="0"/>
      <w:divBdr>
        <w:top w:val="none" w:sz="0" w:space="0" w:color="auto"/>
        <w:left w:val="none" w:sz="0" w:space="0" w:color="auto"/>
        <w:bottom w:val="none" w:sz="0" w:space="0" w:color="auto"/>
        <w:right w:val="none" w:sz="0" w:space="0" w:color="auto"/>
      </w:divBdr>
    </w:div>
    <w:div w:id="1323047075">
      <w:bodyDiv w:val="1"/>
      <w:marLeft w:val="0"/>
      <w:marRight w:val="0"/>
      <w:marTop w:val="0"/>
      <w:marBottom w:val="0"/>
      <w:divBdr>
        <w:top w:val="none" w:sz="0" w:space="0" w:color="auto"/>
        <w:left w:val="none" w:sz="0" w:space="0" w:color="auto"/>
        <w:bottom w:val="none" w:sz="0" w:space="0" w:color="auto"/>
        <w:right w:val="none" w:sz="0" w:space="0" w:color="auto"/>
      </w:divBdr>
    </w:div>
    <w:div w:id="1380007189">
      <w:bodyDiv w:val="1"/>
      <w:marLeft w:val="0"/>
      <w:marRight w:val="0"/>
      <w:marTop w:val="0"/>
      <w:marBottom w:val="0"/>
      <w:divBdr>
        <w:top w:val="none" w:sz="0" w:space="0" w:color="auto"/>
        <w:left w:val="none" w:sz="0" w:space="0" w:color="auto"/>
        <w:bottom w:val="none" w:sz="0" w:space="0" w:color="auto"/>
        <w:right w:val="none" w:sz="0" w:space="0" w:color="auto"/>
      </w:divBdr>
    </w:div>
    <w:div w:id="1425345722">
      <w:bodyDiv w:val="1"/>
      <w:marLeft w:val="0"/>
      <w:marRight w:val="0"/>
      <w:marTop w:val="0"/>
      <w:marBottom w:val="0"/>
      <w:divBdr>
        <w:top w:val="none" w:sz="0" w:space="0" w:color="auto"/>
        <w:left w:val="none" w:sz="0" w:space="0" w:color="auto"/>
        <w:bottom w:val="none" w:sz="0" w:space="0" w:color="auto"/>
        <w:right w:val="none" w:sz="0" w:space="0" w:color="auto"/>
      </w:divBdr>
    </w:div>
    <w:div w:id="1437747959">
      <w:bodyDiv w:val="1"/>
      <w:marLeft w:val="0"/>
      <w:marRight w:val="0"/>
      <w:marTop w:val="0"/>
      <w:marBottom w:val="0"/>
      <w:divBdr>
        <w:top w:val="none" w:sz="0" w:space="0" w:color="auto"/>
        <w:left w:val="none" w:sz="0" w:space="0" w:color="auto"/>
        <w:bottom w:val="none" w:sz="0" w:space="0" w:color="auto"/>
        <w:right w:val="none" w:sz="0" w:space="0" w:color="auto"/>
      </w:divBdr>
    </w:div>
    <w:div w:id="1449816087">
      <w:bodyDiv w:val="1"/>
      <w:marLeft w:val="0"/>
      <w:marRight w:val="0"/>
      <w:marTop w:val="0"/>
      <w:marBottom w:val="0"/>
      <w:divBdr>
        <w:top w:val="none" w:sz="0" w:space="0" w:color="auto"/>
        <w:left w:val="none" w:sz="0" w:space="0" w:color="auto"/>
        <w:bottom w:val="none" w:sz="0" w:space="0" w:color="auto"/>
        <w:right w:val="none" w:sz="0" w:space="0" w:color="auto"/>
      </w:divBdr>
    </w:div>
    <w:div w:id="1461412497">
      <w:bodyDiv w:val="1"/>
      <w:marLeft w:val="0"/>
      <w:marRight w:val="0"/>
      <w:marTop w:val="0"/>
      <w:marBottom w:val="0"/>
      <w:divBdr>
        <w:top w:val="none" w:sz="0" w:space="0" w:color="auto"/>
        <w:left w:val="none" w:sz="0" w:space="0" w:color="auto"/>
        <w:bottom w:val="none" w:sz="0" w:space="0" w:color="auto"/>
        <w:right w:val="none" w:sz="0" w:space="0" w:color="auto"/>
      </w:divBdr>
    </w:div>
    <w:div w:id="1560020584">
      <w:bodyDiv w:val="1"/>
      <w:marLeft w:val="0"/>
      <w:marRight w:val="0"/>
      <w:marTop w:val="0"/>
      <w:marBottom w:val="0"/>
      <w:divBdr>
        <w:top w:val="none" w:sz="0" w:space="0" w:color="auto"/>
        <w:left w:val="none" w:sz="0" w:space="0" w:color="auto"/>
        <w:bottom w:val="none" w:sz="0" w:space="0" w:color="auto"/>
        <w:right w:val="none" w:sz="0" w:space="0" w:color="auto"/>
      </w:divBdr>
    </w:div>
    <w:div w:id="1582517842">
      <w:bodyDiv w:val="1"/>
      <w:marLeft w:val="0"/>
      <w:marRight w:val="0"/>
      <w:marTop w:val="0"/>
      <w:marBottom w:val="0"/>
      <w:divBdr>
        <w:top w:val="none" w:sz="0" w:space="0" w:color="auto"/>
        <w:left w:val="none" w:sz="0" w:space="0" w:color="auto"/>
        <w:bottom w:val="none" w:sz="0" w:space="0" w:color="auto"/>
        <w:right w:val="none" w:sz="0" w:space="0" w:color="auto"/>
      </w:divBdr>
    </w:div>
    <w:div w:id="1594241690">
      <w:bodyDiv w:val="1"/>
      <w:marLeft w:val="0"/>
      <w:marRight w:val="0"/>
      <w:marTop w:val="0"/>
      <w:marBottom w:val="0"/>
      <w:divBdr>
        <w:top w:val="none" w:sz="0" w:space="0" w:color="auto"/>
        <w:left w:val="none" w:sz="0" w:space="0" w:color="auto"/>
        <w:bottom w:val="none" w:sz="0" w:space="0" w:color="auto"/>
        <w:right w:val="none" w:sz="0" w:space="0" w:color="auto"/>
      </w:divBdr>
    </w:div>
    <w:div w:id="1719665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ncsd.moe.gov.kh/resources/document/cambodia%E2%80%99s-third-nationally-determined-contribution-ndc" TargetMode="External"/><Relationship Id="rId21" Type="http://schemas.openxmlformats.org/officeDocument/2006/relationships/hyperlink" Target="https://www.adb.org/projects/53261-001/main" TargetMode="External"/><Relationship Id="rId42" Type="http://schemas.openxmlformats.org/officeDocument/2006/relationships/hyperlink" Target="https://www.eaaflyway.net/fns-anlung-pring/" TargetMode="External"/><Relationship Id="rId63" Type="http://schemas.openxmlformats.org/officeDocument/2006/relationships/hyperlink" Target="https://openknowledge.fao.org/server/api/core/bitstreams/f2d3b9a7-ce34-403a-af3f-eff4e0db7eac/content" TargetMode="External"/><Relationship Id="rId84" Type="http://schemas.openxmlformats.org/officeDocument/2006/relationships/hyperlink" Target="https://doi.org/10.1016/j.gfs.2021.100468" TargetMode="External"/><Relationship Id="rId138" Type="http://schemas.openxmlformats.org/officeDocument/2006/relationships/hyperlink" Target="https://www.asean.or.jp/main-site/wp-content/uploads/2024/05/Master-Plan-on-Logistics-Development_AJC240520-.pdf" TargetMode="External"/><Relationship Id="rId159" Type="http://schemas.openxmlformats.org/officeDocument/2006/relationships/hyperlink" Target="https://ars.els-cdn.com/content/image/1-s2.0-S0308597X17300635-mmc1.pdf" TargetMode="External"/><Relationship Id="rId170" Type="http://schemas.openxmlformats.org/officeDocument/2006/relationships/hyperlink" Target="https://unfccc.int/node/180416" TargetMode="External"/><Relationship Id="rId191" Type="http://schemas.openxmlformats.org/officeDocument/2006/relationships/hyperlink" Target="https://documents1.worldbank.org/curated/en/099060925065018354/pdf/P5068140c4e4b40a6087a3088f9f1ab9f5c.pdf" TargetMode="External"/><Relationship Id="rId107" Type="http://schemas.openxmlformats.org/officeDocument/2006/relationships/hyperlink" Target="https://wepa-db.net/wp-content/uploads/2023/02/1_State-of-water-environment_Cambodia.pdf" TargetMode="External"/><Relationship Id="rId11" Type="http://schemas.openxmlformats.org/officeDocument/2006/relationships/diagramLayout" Target="diagrams/layout1.xml"/><Relationship Id="rId32" Type="http://schemas.openxmlformats.org/officeDocument/2006/relationships/hyperlink" Target="https://www.cbd.int/financial/values/cambodia-valueream.pdf" TargetMode="External"/><Relationship Id="rId53" Type="http://schemas.openxmlformats.org/officeDocument/2006/relationships/hyperlink" Target="https://data.opendevelopmentmekong.net/library_record/the-strategic-planning-framework-for-fisheries-2015-2024" TargetMode="External"/><Relationship Id="rId74" Type="http://schemas.openxmlformats.org/officeDocument/2006/relationships/hyperlink" Target="https://www.gwp.org/en/GWP-South-East-Asia/WE-ACT/keep-updated/News-and-Activities/2023/result-from-the-2023-sdg-6.5.1-stakeholder-consultation-process-in-cambodia/" TargetMode="External"/><Relationship Id="rId128" Type="http://schemas.openxmlformats.org/officeDocument/2006/relationships/hyperlink" Target="https://www.pemsea.org/who-we-are/our-partners/country-partners/cambodia" TargetMode="External"/><Relationship Id="rId149" Type="http://schemas.openxmlformats.org/officeDocument/2006/relationships/hyperlink" Target="https://data.opendevelopmentcambodia.net/en/laws_record/sub-decree-no-175-on-reclassifying-botum-sakor-national-park/resource/a50208a5-5722-4e30-bd45-c2ea9bf0e304" TargetMode="External"/><Relationship Id="rId5" Type="http://schemas.openxmlformats.org/officeDocument/2006/relationships/webSettings" Target="webSettings.xml"/><Relationship Id="rId95" Type="http://schemas.openxmlformats.org/officeDocument/2006/relationships/hyperlink" Target="https://www.mangrovealliance.org/wp-content/uploads/2025/01/Blue-Carbon-Assessment-Cambodia-Report-Case-Study-1.pdf" TargetMode="External"/><Relationship Id="rId160" Type="http://schemas.openxmlformats.org/officeDocument/2006/relationships/hyperlink" Target="http://chm.pops.int/Countries/StatusofRatifications/PartiesandSignatoires/tabid/4500/Default.aspx" TargetMode="External"/><Relationship Id="rId181" Type="http://schemas.openxmlformats.org/officeDocument/2006/relationships/hyperlink" Target="https://data.worldbank.org/?locations=KH" TargetMode="External"/><Relationship Id="rId22" Type="http://schemas.openxmlformats.org/officeDocument/2006/relationships/hyperlink" Target="https://www.adb.org/sites/default/files/project-documents/53261/53261-001-tacr-en_3.pdf" TargetMode="External"/><Relationship Id="rId43" Type="http://schemas.openxmlformats.org/officeDocument/2006/relationships/hyperlink" Target="https://epi.yale.edu/country/2024/KHM" TargetMode="External"/><Relationship Id="rId64" Type="http://schemas.openxmlformats.org/officeDocument/2006/relationships/hyperlink" Target="https://www.fao.org/faostat/en/" TargetMode="External"/><Relationship Id="rId118" Type="http://schemas.openxmlformats.org/officeDocument/2006/relationships/hyperlink" Target="https://nis.gov.kh/en/general-population-census-of-cambodia/" TargetMode="External"/><Relationship Id="rId139" Type="http://schemas.openxmlformats.org/officeDocument/2006/relationships/hyperlink" Target="https://data.opendevelopmentcambodia.net/laws_record/law-on-land-2" TargetMode="External"/><Relationship Id="rId85" Type="http://schemas.openxmlformats.org/officeDocument/2006/relationships/hyperlink" Target="https://iucn.org/news/cambodia/201711/planning-future-peam-krasop-wildlife-sanctuary" TargetMode="External"/><Relationship Id="rId150" Type="http://schemas.openxmlformats.org/officeDocument/2006/relationships/hyperlink" Target="https://rua.edu.kh/" TargetMode="External"/><Relationship Id="rId171" Type="http://schemas.openxmlformats.org/officeDocument/2006/relationships/hyperlink" Target="https://unfccc.int/sites/default/files/resource/20220921_Third%20National%20Communication_Cambodia.pdf" TargetMode="External"/><Relationship Id="rId192" Type="http://schemas.openxmlformats.org/officeDocument/2006/relationships/hyperlink" Target="https://climateknowledgeportal.worldbank.org/country/cambodia" TargetMode="External"/><Relationship Id="rId12" Type="http://schemas.openxmlformats.org/officeDocument/2006/relationships/diagramQuickStyle" Target="diagrams/quickStyle1.xml"/><Relationship Id="rId33" Type="http://schemas.openxmlformats.org/officeDocument/2006/relationships/hyperlink" Target="https://www.cfe-dmha.org/LinkClick.aspx?fileticket=F9BAtubIqM0%3d&amp;portalid=0" TargetMode="External"/><Relationship Id="rId108" Type="http://schemas.openxmlformats.org/officeDocument/2006/relationships/hyperlink" Target="https://www.moe.gov.kh/wp-content/uploads/2024/07/Code-on-Environment-and-Natural-Resources.pdf" TargetMode="External"/><Relationship Id="rId129" Type="http://schemas.openxmlformats.org/officeDocument/2006/relationships/hyperlink" Target="https://doi.org/10.1111/gcb.13831" TargetMode="External"/><Relationship Id="rId54" Type="http://schemas.openxmlformats.org/officeDocument/2006/relationships/hyperlink" Target="https://data.opendevelopmentmekong.net/en/laws_record/action-plan-for-the-protection-of-sea-turtles-in-cambodia-2016-2026" TargetMode="External"/><Relationship Id="rId75" Type="http://schemas.openxmlformats.org/officeDocument/2006/relationships/hyperlink" Target="https://www.giz.de/de/downloads/giz2023-en-study-cambodia-climate-nutrition-social-security.pdf" TargetMode="External"/><Relationship Id="rId96" Type="http://schemas.openxmlformats.org/officeDocument/2006/relationships/hyperlink" Target="https://marineconservationcambodia.org/kep-archipelago-mfma/" TargetMode="External"/><Relationship Id="rId140" Type="http://schemas.openxmlformats.org/officeDocument/2006/relationships/hyperlink" Target="https://data.opendevelopmentcambodia.net/laws_record/law-on-forestry" TargetMode="External"/><Relationship Id="rId161" Type="http://schemas.openxmlformats.org/officeDocument/2006/relationships/hyperlink" Target="https://aciar.gov.au" TargetMode="External"/><Relationship Id="rId182" Type="http://schemas.openxmlformats.org/officeDocument/2006/relationships/hyperlink" Target="https://openknowledge.worldbank.org/entities/publication/60408468-05b9-5d25-920e-ce7010462340" TargetMode="External"/><Relationship Id="rId6" Type="http://schemas.openxmlformats.org/officeDocument/2006/relationships/footnotes" Target="footnotes.xml"/><Relationship Id="rId23" Type="http://schemas.openxmlformats.org/officeDocument/2006/relationships/hyperlink" Target="https://adpc.net/igo/category/ID1877/doc/2023-nRIu4Y-ADPC-Readiness_Assessment_for_IbFW_in_Cambodia.pdf" TargetMode="External"/><Relationship Id="rId119" Type="http://schemas.openxmlformats.org/officeDocument/2006/relationships/hyperlink" Target="https://www.nis.gov.kh/nis/Census2019/Final%20General%20Population%20Census%202019-English.pdf" TargetMode="External"/><Relationship Id="rId44" Type="http://schemas.openxmlformats.org/officeDocument/2006/relationships/hyperlink" Target="https://drmkc.jrc.ec.europa.eu/inform-index/INFORM-Risk/Results-and-data" TargetMode="External"/><Relationship Id="rId65" Type="http://schemas.openxmlformats.org/officeDocument/2006/relationships/hyperlink" Target="https://www.fao.org/europeanunion/projects/projects-detail/fao-complementary-support-to-the-cambodia-programme-for-sustainable-and-inclusive-growth-in-the-fisheries-sector--capture-component-(capfish-capture)---gcp-cmb-043-ec/en" TargetMode="External"/><Relationship Id="rId86" Type="http://schemas.openxmlformats.org/officeDocument/2006/relationships/hyperlink" Target="https://openjicareport.jica.go.jp/pdf/12008819.pdf" TargetMode="External"/><Relationship Id="rId130" Type="http://schemas.openxmlformats.org/officeDocument/2006/relationships/hyperlink" Target="http://www.seaaroundus.org" TargetMode="External"/><Relationship Id="rId151" Type="http://schemas.openxmlformats.org/officeDocument/2006/relationships/hyperlink" Target="https://rupp.edu.kh/fds/dnrmd/" TargetMode="External"/><Relationship Id="rId172" Type="http://schemas.openxmlformats.org/officeDocument/2006/relationships/hyperlink" Target="https://www.un-page.org/news/youth-led-plastic-reduction-campaign-transforms-communities-in-cambodia/" TargetMode="External"/><Relationship Id="rId193" Type="http://schemas.openxmlformats.org/officeDocument/2006/relationships/hyperlink" Target="https://www.witpress.com/Secure/elibrary/papers/SDP07/SDP07086FU2.pdf" TargetMode="External"/><Relationship Id="rId13" Type="http://schemas.openxmlformats.org/officeDocument/2006/relationships/diagramColors" Target="diagrams/colors1.xml"/><Relationship Id="rId109" Type="http://schemas.openxmlformats.org/officeDocument/2006/relationships/hyperlink" Target="https://moe.gov.kh/en/index/47091" TargetMode="External"/><Relationship Id="rId34" Type="http://schemas.openxmlformats.org/officeDocument/2006/relationships/hyperlink" Target="https://public.emdat.be/data" TargetMode="External"/><Relationship Id="rId50" Type="http://schemas.openxmlformats.org/officeDocument/2006/relationships/hyperlink" Target="https://www.fao.org/4/ad514e/ad514e06.htm" TargetMode="External"/><Relationship Id="rId55" Type="http://schemas.openxmlformats.org/officeDocument/2006/relationships/hyperlink" Target="https://server.maff.gov.kh/parse/files/myAppId5hD7ypUYw61sTqML/63351774d0db6c6f8968fe4dde13f96e_1639471811.pdf" TargetMode="External"/><Relationship Id="rId76" Type="http://schemas.openxmlformats.org/officeDocument/2006/relationships/hyperlink" Target="https://www.ipcc.ch/assessment-report/ar6/" TargetMode="External"/><Relationship Id="rId97" Type="http://schemas.openxmlformats.org/officeDocument/2006/relationships/hyperlink" Target="https://marineconservationcambodia.org/wp-content/uploads/2023/06/MCCFAO-CAPFISH-Technical-report.pdf?utm_source=chatgpt.com" TargetMode="External"/><Relationship Id="rId104" Type="http://schemas.openxmlformats.org/officeDocument/2006/relationships/hyperlink" Target="https://unfccc.int/sites/default/files/resource/20220921_Third%20National%20Communication_Cambodia.pdf" TargetMode="External"/><Relationship Id="rId120" Type="http://schemas.openxmlformats.org/officeDocument/2006/relationships/hyperlink" Target="https://www.nis.gov.kh/nis/CAS/2022/CAS2022_Report_1_Methodological_Reference_Document_ENG.pdf" TargetMode="External"/><Relationship Id="rId125" Type="http://schemas.openxmlformats.org/officeDocument/2006/relationships/hyperlink" Target="https://doi.org/10.3390/rs8100819" TargetMode="External"/><Relationship Id="rId141" Type="http://schemas.openxmlformats.org/officeDocument/2006/relationships/hyperlink" Target="https://sherloc.unodc.org/cld/document/khm/2006/law_on_fisheries.html" TargetMode="External"/><Relationship Id="rId146" Type="http://schemas.openxmlformats.org/officeDocument/2006/relationships/hyperlink" Target="https://data.opendevelopmentcambodia.net/en/dataset/prakas-no-364-on-establishment-of-management-fishery-area-in-koh-rung-and-koh-rung-samloem-islands/resource/93c427e4-8b83-44ed-a9bc-aa4988274a49" TargetMode="External"/><Relationship Id="rId167" Type="http://schemas.openxmlformats.org/officeDocument/2006/relationships/hyperlink" Target="https://elibrary.maff.gov.kh/assets/files/books/559bdaa37b1204b52a75c8f5dc6f7e4d1700534779.pdf" TargetMode="External"/><Relationship Id="rId188" Type="http://schemas.openxmlformats.org/officeDocument/2006/relationships/hyperlink" Target="http://documents.worldbank.org/curated/en/099853504032439579" TargetMode="External"/><Relationship Id="rId7" Type="http://schemas.openxmlformats.org/officeDocument/2006/relationships/endnotes" Target="endnotes.xml"/><Relationship Id="rId71" Type="http://schemas.openxmlformats.org/officeDocument/2006/relationships/hyperlink" Target="https://globalallianceagainsthungerandpoverty.org/country-example/cambodia-cash-transfer-for-the-poor-and-vulnerable-households-during-covid-19-ctp-covid/" TargetMode="External"/><Relationship Id="rId92" Type="http://schemas.openxmlformats.org/officeDocument/2006/relationships/hyperlink" Target="https://www.khmertimeskh.com/24078/algae-bloom-was-natural-says-ministry/" TargetMode="External"/><Relationship Id="rId162" Type="http://schemas.openxmlformats.org/officeDocument/2006/relationships/hyperlink" Target="https://www.researchgate.net/publication/335829042_Sighting_and_Stranding_Reports_of_Irrawaddy_Dolphins_Orcaella_brevirostris_and_Dugongs_Dugong_dugon_in_Kep_and_Kampot_Cambodia" TargetMode="External"/><Relationship Id="rId183" Type="http://schemas.openxmlformats.org/officeDocument/2006/relationships/hyperlink" Target="https://documents.worldbank.org/" TargetMode="External"/><Relationship Id="rId2" Type="http://schemas.openxmlformats.org/officeDocument/2006/relationships/numbering" Target="numbering.xml"/><Relationship Id="rId29" Type="http://schemas.openxmlformats.org/officeDocument/2006/relationships/hyperlink" Target="https://www.researchgate.net/publication/263705424_Reefs_at_Risk_Revisited" TargetMode="External"/><Relationship Id="rId24" Type="http://schemas.openxmlformats.org/officeDocument/2006/relationships/hyperlink" Target="https://www.abc.org.kh/cambodian-sustainable-finance-principles" TargetMode="External"/><Relationship Id="rId40" Type="http://schemas.openxmlformats.org/officeDocument/2006/relationships/hyperlink" Target="https://dialogue.earth/en/nature/cambodias-ream-national-park-transformed-from-wildlife-haven-to-development-zone/" TargetMode="External"/><Relationship Id="rId45" Type="http://schemas.openxmlformats.org/officeDocument/2006/relationships/hyperlink" Target="https://www.fao.org/fishery/statistics" TargetMode="External"/><Relationship Id="rId66" Type="http://schemas.openxmlformats.org/officeDocument/2006/relationships/hyperlink" Target="https://www.fao.org/sustainable-development-goals-data-portal/data/indicators/1461-illegal-unreported-unregulated-fishing/en" TargetMode="External"/><Relationship Id="rId87" Type="http://schemas.openxmlformats.org/officeDocument/2006/relationships/hyperlink" Target="https://openjicareport.jica.go.jp/pdf/12270294_01.pdf" TargetMode="External"/><Relationship Id="rId110" Type="http://schemas.openxmlformats.org/officeDocument/2006/relationships/hyperlink" Target="https://app.idpoor.gov.kh/public-data-query" TargetMode="External"/><Relationship Id="rId115" Type="http://schemas.openxmlformats.org/officeDocument/2006/relationships/hyperlink" Target="https://ncsd.moe.gov.kh/dcc/resource/circular/strategy/on/environment/2023/2028" TargetMode="External"/><Relationship Id="rId131" Type="http://schemas.openxmlformats.org/officeDocument/2006/relationships/hyperlink" Target="https://pcasia.org/wp-content/uploads/2024/08/20240813_Summary-report-on-Mangrove.pdf" TargetMode="External"/><Relationship Id="rId136" Type="http://schemas.openxmlformats.org/officeDocument/2006/relationships/hyperlink" Target="https://documents1.worldbank.org/curated/en/432031595575149623/pdf/Enabling-Ecotourism-Development-in-Cambodia.pdf" TargetMode="External"/><Relationship Id="rId157" Type="http://schemas.openxmlformats.org/officeDocument/2006/relationships/hyperlink" Target="https://www.seafdec.org" TargetMode="External"/><Relationship Id="rId178" Type="http://schemas.openxmlformats.org/officeDocument/2006/relationships/hyperlink" Target="https://wildearthallies.org/" TargetMode="External"/><Relationship Id="rId61" Type="http://schemas.openxmlformats.org/officeDocument/2006/relationships/hyperlink" Target="https://server.maff.gov.kh/parse/files/myAppId5hD7ypUYw61sTqML/fd69caa3c49d2963151a11e244ec4af6_1639468965.pdf" TargetMode="External"/><Relationship Id="rId82" Type="http://schemas.openxmlformats.org/officeDocument/2006/relationships/hyperlink" Target="https://www.iucn.org/node/43953" TargetMode="External"/><Relationship Id="rId152" Type="http://schemas.openxmlformats.org/officeDocument/2006/relationships/hyperlink" Target="https://scssap.org/scs-sap-first-steering-committee-meeting/156-psc1-inf-3-cambodia-summary-profile/file" TargetMode="External"/><Relationship Id="rId173" Type="http://schemas.openxmlformats.org/officeDocument/2006/relationships/hyperlink" Target="https://treaties.un.org/Pages/ViewDetails.aspx?src=TREATY&amp;mtdsg_no=XXVII-7-a&amp;chapter=27&amp;clang=_en" TargetMode="External"/><Relationship Id="rId194" Type="http://schemas.openxmlformats.org/officeDocument/2006/relationships/footer" Target="footer3.xml"/><Relationship Id="rId19" Type="http://schemas.openxmlformats.org/officeDocument/2006/relationships/hyperlink" Target="https://www.adb.org/projects/42285-012/main" TargetMode="External"/><Relationship Id="rId14" Type="http://schemas.microsoft.com/office/2007/relationships/diagramDrawing" Target="diagrams/drawing1.xml"/><Relationship Id="rId30" Type="http://schemas.openxmlformats.org/officeDocument/2006/relationships/hyperlink" Target="https://gb-cambodia.com/wp-content/uploads/2021/04/BSfD_SectorBrief_Cambodia_WasteManagement_WEB-1.pdf" TargetMode="External"/><Relationship Id="rId35" Type="http://schemas.openxmlformats.org/officeDocument/2006/relationships/hyperlink" Target="https://doi.org/10.1126/science.aag2331" TargetMode="External"/><Relationship Id="rId56" Type="http://schemas.openxmlformats.org/officeDocument/2006/relationships/hyperlink" Target="https://faolex.fao.org/docs/pdf/cam219304.pdf" TargetMode="External"/><Relationship Id="rId77" Type="http://schemas.openxmlformats.org/officeDocument/2006/relationships/hyperlink" Target="https://www.imo.org/en/ourwork/ero/pages/memberstates.aspx" TargetMode="External"/><Relationship Id="rId100" Type="http://schemas.openxmlformats.org/officeDocument/2006/relationships/hyperlink" Target="https://www.mrcmekong.org/wp-content/uploads/2024/09/2019-Lower-Mekong-Water-Quality-Monitoring-Report.pdf" TargetMode="External"/><Relationship Id="rId105" Type="http://schemas.openxmlformats.org/officeDocument/2006/relationships/hyperlink" Target="https://lpr.adb.org/resource/national-protected-area-strategic-management-plan-2017-2031-cambodia?utm_source=chatgpt.com" TargetMode="External"/><Relationship Id="rId126" Type="http://schemas.openxmlformats.org/officeDocument/2006/relationships/hyperlink" Target="https://www.pemsea.org/sites/default/files/2023-12/NSOC%20Cambodia%202018%20%28FINAL%29%2009092020.pdf" TargetMode="External"/><Relationship Id="rId147" Type="http://schemas.openxmlformats.org/officeDocument/2006/relationships/hyperlink" Target="https://data.opendevelopmentcambodia.net/laws_record/prakas-no-193-on-the-establishment-of-marine-fisheries-management-areas-in-po-archipelago-and-koh-t" TargetMode="External"/><Relationship Id="rId168" Type="http://schemas.openxmlformats.org/officeDocument/2006/relationships/hyperlink" Target="https://unece.org/environmental-policy/third-reporting-exercise-202324-sdg-indicator-652" TargetMode="External"/><Relationship Id="rId8" Type="http://schemas.openxmlformats.org/officeDocument/2006/relationships/footer" Target="footer1.xml"/><Relationship Id="rId51" Type="http://schemas.openxmlformats.org/officeDocument/2006/relationships/hyperlink" Target="https://www.fauna-flora.org/wp-content/uploads/2023/05/FFI_2020_Koh-Rong-MPA.pdf" TargetMode="External"/><Relationship Id="rId72" Type="http://schemas.openxmlformats.org/officeDocument/2006/relationships/hyperlink" Target="https://globaldatalab.org/shdi/table/shdi/KHM/" TargetMode="External"/><Relationship Id="rId93" Type="http://schemas.openxmlformats.org/officeDocument/2006/relationships/hyperlink" Target="https://kiripost.com/stories/prek-treng-beach-covered-in-2000-litres-of-leaked-oil" TargetMode="External"/><Relationship Id="rId98" Type="http://schemas.openxmlformats.org/officeDocument/2006/relationships/hyperlink" Target="https://www.mrcmekong.org/" TargetMode="External"/><Relationship Id="rId121" Type="http://schemas.openxmlformats.org/officeDocument/2006/relationships/hyperlink" Target="https://academic.oup.com/icesjms/article/80/8/2197/6511220?utm_source=chatgpt.com" TargetMode="External"/><Relationship Id="rId142" Type="http://schemas.openxmlformats.org/officeDocument/2006/relationships/hyperlink" Target="https://data.opendevelopmentcambodia.net/laws_record/law-on-water-resourcee2808be2808b-management-of-the-kingdom-of-cambodia" TargetMode="External"/><Relationship Id="rId163" Type="http://schemas.openxmlformats.org/officeDocument/2006/relationships/hyperlink" Target="https://unhabitat.org/sites/default/files/documents/2019-04/sihanoukville_city_vulnerability_assessment.pdf" TargetMode="External"/><Relationship Id="rId184" Type="http://schemas.openxmlformats.org/officeDocument/2006/relationships/hyperlink" Target="https://documents1.worldbank.org/curated/en/722141586260533194/pdf/Concept-Project-Information-Document-PID-Cambodia-Solid-Waste-and-Plastic-Management-Improvement-Project-P170976.pdf?utm_source=chatgpt.com" TargetMode="External"/><Relationship Id="rId189" Type="http://schemas.openxmlformats.org/officeDocument/2006/relationships/hyperlink" Target="https://data.worldbank.org/indicator/AG.CON.FERT.ZS?locations=KH" TargetMode="External"/><Relationship Id="rId3" Type="http://schemas.openxmlformats.org/officeDocument/2006/relationships/styles" Target="styles.xml"/><Relationship Id="rId25" Type="http://schemas.openxmlformats.org/officeDocument/2006/relationships/hyperlink" Target="https://www.fao.org/3/I9705EN/i9705en.pdf" TargetMode="External"/><Relationship Id="rId46" Type="http://schemas.openxmlformats.org/officeDocument/2006/relationships/hyperlink" Target="https://www.fao.org/3/ca8637en/ca8637en.pdf" TargetMode="External"/><Relationship Id="rId67" Type="http://schemas.openxmlformats.org/officeDocument/2006/relationships/hyperlink" Target="https://www.fao.org/policy-support/news/detail/cambodia-s-fisheries-rebound-through-bold-governance-reform/en" TargetMode="External"/><Relationship Id="rId116" Type="http://schemas.openxmlformats.org/officeDocument/2006/relationships/hyperlink" Target="https://ncsd.moe.gov.kh/resources/document/cambodia-climate-change-strategic-plan-2024-2033" TargetMode="External"/><Relationship Id="rId137" Type="http://schemas.openxmlformats.org/officeDocument/2006/relationships/hyperlink" Target="https://unfccc.int/sites/default/files/2025-08/Cambodia-NDC%203.0_0.pdf" TargetMode="External"/><Relationship Id="rId158" Type="http://schemas.openxmlformats.org/officeDocument/2006/relationships/hyperlink" Target="https://cambojanews.com/polluted-kampot-city-creek-threatens-the-environment/" TargetMode="External"/><Relationship Id="rId20" Type="http://schemas.openxmlformats.org/officeDocument/2006/relationships/hyperlink" Target="https://www.adb.org/publications/climate-risk-country-profile-cambodia" TargetMode="External"/><Relationship Id="rId41" Type="http://schemas.openxmlformats.org/officeDocument/2006/relationships/hyperlink" Target="https://www.cambridge.org/core/journals/oryx/article/an-assessment-of-marine-turtle-population-status-and-conservation-in-cambodia/D34D3CA2C04E4742F553199F5658B0CF?utm_source=chatgpt.com" TargetMode="External"/><Relationship Id="rId62" Type="http://schemas.openxmlformats.org/officeDocument/2006/relationships/hyperlink" Target="https://www.maff.gov.kh/fia/systemdetail/8Rf4C8IQAq?lang=en" TargetMode="External"/><Relationship Id="rId83" Type="http://schemas.openxmlformats.org/officeDocument/2006/relationships/hyperlink" Target="https://www.ipcc.ch/report/ar6/wg2/chapter/chapter-10/" TargetMode="External"/><Relationship Id="rId88" Type="http://schemas.openxmlformats.org/officeDocument/2006/relationships/hyperlink" Target="https://documents1.worldbank.org/curated/en/099155111222239793/pdf/P1735940c0e8b508d0b80e0c7375c89d9c0.pdf" TargetMode="External"/><Relationship Id="rId111" Type="http://schemas.openxmlformats.org/officeDocument/2006/relationships/hyperlink" Target="https://documents1.worldbank.org/curated/en/099556207032341413/pdf/IDU00eec67aa0872b04096088cd02fda633553f1.pdf?utm_source=chatgpt.com" TargetMode="External"/><Relationship Id="rId132" Type="http://schemas.openxmlformats.org/officeDocument/2006/relationships/hyperlink" Target="https://www.mdpi.com/2077-1312/13/9/1644?utm_source=chatgpt.com" TargetMode="External"/><Relationship Id="rId153" Type="http://schemas.openxmlformats.org/officeDocument/2006/relationships/hyperlink" Target="https://www.sdg6data.org/country-or-area/Cambodia" TargetMode="External"/><Relationship Id="rId174" Type="http://schemas.openxmlformats.org/officeDocument/2006/relationships/hyperlink" Target="https://treaties.un.org/Pages/ViewDetails.aspx?src=TREATY&amp;mtdsg_no=XXI-10&amp;chapter=21&amp;clang=_en" TargetMode="External"/><Relationship Id="rId179" Type="http://schemas.openxmlformats.org/officeDocument/2006/relationships/hyperlink" Target="https://wildearthallies.org/wp-content/uploads/2020/10/Kampot-Marine-Biodiversity-Assessment-2020_FINAL.pdf" TargetMode="External"/><Relationship Id="rId195" Type="http://schemas.openxmlformats.org/officeDocument/2006/relationships/fontTable" Target="fontTable.xml"/><Relationship Id="rId190" Type="http://schemas.openxmlformats.org/officeDocument/2006/relationships/hyperlink" Target="https://data.worldbank.org/" TargetMode="External"/><Relationship Id="rId15" Type="http://schemas.openxmlformats.org/officeDocument/2006/relationships/hyperlink" Target="https://cambodia.actionaid.org/publications/2021/report-environmental-and-social-impact-assessment" TargetMode="External"/><Relationship Id="rId36" Type="http://schemas.openxmlformats.org/officeDocument/2006/relationships/hyperlink" Target="https://www.cites.org/eng/disc/parties/chronolo.php" TargetMode="External"/><Relationship Id="rId57" Type="http://schemas.openxmlformats.org/officeDocument/2006/relationships/hyperlink" Target="https://data.opendevelopmentcambodia.net/en/dataset/de33097a-d9ad-44de-9ad3-3bcee8d4fb1e/resource/899515b9-590a-4566-b5c9-b06c4bdd9c25/download/01hym7xp4q9kwbvxm1kh5e1nfr.pdf" TargetMode="External"/><Relationship Id="rId106" Type="http://schemas.openxmlformats.org/officeDocument/2006/relationships/hyperlink" Target="https://data.opendevelopmentcambodia.net/laws_record/sub-decree-no-14-on-establishment-of-koh-rung-marine-national-park" TargetMode="External"/><Relationship Id="rId127" Type="http://schemas.openxmlformats.org/officeDocument/2006/relationships/hyperlink" Target="https://www.pemsea.org/publications/books/sustainable-development-strategy-seas-east-asia-implementation-plan-2023-2027" TargetMode="External"/><Relationship Id="rId10" Type="http://schemas.openxmlformats.org/officeDocument/2006/relationships/diagramData" Target="diagrams/data1.xml"/><Relationship Id="rId31" Type="http://schemas.openxmlformats.org/officeDocument/2006/relationships/hyperlink" Target="https://cambodianess.com/article/campaign-begins-to-clean-national-road" TargetMode="External"/><Relationship Id="rId52" Type="http://schemas.openxmlformats.org/officeDocument/2006/relationships/hyperlink" Target="https://www.fauna-flora.org/wp-content/uploads/2024/04/Mangrove-Biodiversity-Survey-Report.pdf?utm_source=chatgpt.com" TargetMode="External"/><Relationship Id="rId73" Type="http://schemas.openxmlformats.org/officeDocument/2006/relationships/hyperlink" Target="https://www.thegef.org/projects-operations/projects/10703" TargetMode="External"/><Relationship Id="rId78" Type="http://schemas.openxmlformats.org/officeDocument/2006/relationships/hyperlink" Target="https://www.imo.org/en/MediaCentre/Pages/WhatsNew-1987.aspx" TargetMode="External"/><Relationship Id="rId94" Type="http://schemas.openxmlformats.org/officeDocument/2006/relationships/hyperlink" Target="https://www.mires-and-peat.net/article/128945.pdf?utm_source=chatgpt.com" TargetMode="External"/><Relationship Id="rId99" Type="http://schemas.openxmlformats.org/officeDocument/2006/relationships/hyperlink" Target="https://www.mrcmekong.org/?download_document=1&amp;document_id=01KW62YKQ67C25OEWE7FBKPYAIB4UQ6H5F&amp;name=2018-Lower-Mekong-Water-Quality-Monitoring-Report.pdf" TargetMode="External"/><Relationship Id="rId101" Type="http://schemas.openxmlformats.org/officeDocument/2006/relationships/hyperlink" Target="https://www.mrcmekong.org/wp-content/uploads/2024/11/2021-Water-Quality-Report.pdf" TargetMode="External"/><Relationship Id="rId122" Type="http://schemas.openxmlformats.org/officeDocument/2006/relationships/hyperlink" Target="https://opendevelopmentcambodia.net/profiles/economic-land-concessions/union-development-group-co-ltd/" TargetMode="External"/><Relationship Id="rId143" Type="http://schemas.openxmlformats.org/officeDocument/2006/relationships/hyperlink" Target="https://data.opendevelopmentcambodia.net/laws_record/sub_decree-no-179-to-manage-the-community-of-peam-krasop-wildlife-sanctuary-koh-kong-province" TargetMode="External"/><Relationship Id="rId148" Type="http://schemas.openxmlformats.org/officeDocument/2006/relationships/hyperlink" Target="https://data.opendevelopmentcambodia.net/laws_record/sub-decree-no-171-on-reclassifying-anlung-pring-protected-landscape" TargetMode="External"/><Relationship Id="rId164" Type="http://schemas.openxmlformats.org/officeDocument/2006/relationships/hyperlink" Target="https://hdr.undp.org/data-center/documentation-and-downloads" TargetMode="External"/><Relationship Id="rId169" Type="http://schemas.openxmlformats.org/officeDocument/2006/relationships/hyperlink" Target="https://www.unep.org/cobsea/resources/policy-and-strategy/cobsea-regional-action-plan-marine-litter-2019-rap-mali" TargetMode="External"/><Relationship Id="rId185" Type="http://schemas.openxmlformats.org/officeDocument/2006/relationships/hyperlink" Target="https://documents1.worldbank.org/curated/en/099556207032341413/pdf/IDU00eec67aa0872b04096088cd02fda633553f1.pdf" TargetMode="External"/><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hyperlink" Target="https://brussels.wcs.org/Our-Work/Counter-Wildlife-Trafficking/Partners-against-Wildlife-Crime-2019-2023" TargetMode="External"/><Relationship Id="rId26" Type="http://schemas.openxmlformats.org/officeDocument/2006/relationships/hyperlink" Target="http://www.basel.int/Countries/StatusofRatifications/PartiesSignatories/tabid/4499/Default.aspx" TargetMode="External"/><Relationship Id="rId47" Type="http://schemas.openxmlformats.org/officeDocument/2006/relationships/hyperlink" Target="https://www.fao.org/fishery/en/statistics/software/fishstatj" TargetMode="External"/><Relationship Id="rId68" Type="http://schemas.openxmlformats.org/officeDocument/2006/relationships/hyperlink" Target="https://doi.org/10.1038/ngeo1477" TargetMode="External"/><Relationship Id="rId89" Type="http://schemas.openxmlformats.org/officeDocument/2006/relationships/hyperlink" Target="https://www.khmertimeskh.com/501750614/positive-signs-for-dugongs-with-a-new-feeding-trail-in-cambodias-seagrass-beds/" TargetMode="External"/><Relationship Id="rId112" Type="http://schemas.openxmlformats.org/officeDocument/2006/relationships/hyperlink" Target="https://www.mrcmekong.org/wp-content/uploads/2024/08/PlasticReport2022.pdf" TargetMode="External"/><Relationship Id="rId133" Type="http://schemas.openxmlformats.org/officeDocument/2006/relationships/hyperlink" Target="https://doi.org/10.3390/ijerph192315919" TargetMode="External"/><Relationship Id="rId154" Type="http://schemas.openxmlformats.org/officeDocument/2006/relationships/hyperlink" Target="https://www.seaaroundus.org/data/" TargetMode="External"/><Relationship Id="rId175" Type="http://schemas.openxmlformats.org/officeDocument/2006/relationships/hyperlink" Target="https://population.un.org/wup/downloads?tab=Urban%20and%20Rural%20Populations" TargetMode="External"/><Relationship Id="rId196" Type="http://schemas.openxmlformats.org/officeDocument/2006/relationships/theme" Target="theme/theme1.xml"/><Relationship Id="rId16" Type="http://schemas.openxmlformats.org/officeDocument/2006/relationships/hyperlink" Target="https://environment.asean.org/fresources/detail/asean-marine-water-quality-management-guidelines-and-monitoring-manual" TargetMode="External"/><Relationship Id="rId37" Type="http://schemas.openxmlformats.org/officeDocument/2006/relationships/hyperlink" Target="https://www.clientearth.org/media/cbzoeazp/clientearth_cpa-report-cambodia_en.pdf" TargetMode="External"/><Relationship Id="rId58" Type="http://schemas.openxmlformats.org/officeDocument/2006/relationships/hyperlink" Target="https://doi.org/10.5751/ES-11053-240318" TargetMode="External"/><Relationship Id="rId79" Type="http://schemas.openxmlformats.org/officeDocument/2006/relationships/hyperlink" Target="https://www.imf.org/external/datamapper/profile/KHM" TargetMode="External"/><Relationship Id="rId102" Type="http://schemas.openxmlformats.org/officeDocument/2006/relationships/hyperlink" Target="https://cib-cdc.gov.kh/media/2025/04/1.-Law-on-Public-Private-Partnerships-2021-EN.pdf" TargetMode="External"/><Relationship Id="rId123" Type="http://schemas.openxmlformats.org/officeDocument/2006/relationships/hyperlink" Target="https://opendevelopmentcambodia.net/topics/community-fisheries/" TargetMode="External"/><Relationship Id="rId144" Type="http://schemas.openxmlformats.org/officeDocument/2006/relationships/hyperlink" Target="https://ibccambodia.com/wp-content/uploads/2019/09/Royal-Decree-on-Establishment-of-National-Committee-on-Coastal-Area-Management-and-Development-IBC.pdf" TargetMode="External"/><Relationship Id="rId90" Type="http://schemas.openxmlformats.org/officeDocument/2006/relationships/hyperlink" Target="https://www.khmertimeskh.com/501633412/swimming-suspended-at-prek-treng-beach-after-oil-spill/" TargetMode="External"/><Relationship Id="rId165" Type="http://schemas.openxmlformats.org/officeDocument/2006/relationships/hyperlink" Target="https://www.undp.org/cambodia/publications/infographics-cambodia-2025-human-development-status" TargetMode="External"/><Relationship Id="rId186" Type="http://schemas.openxmlformats.org/officeDocument/2006/relationships/hyperlink" Target="https://documents1.worldbank.org/curated/en/099092823045083987/pdf/P17887106c6c2d0e909aa1090f3e10505c1.pdf" TargetMode="External"/><Relationship Id="rId27" Type="http://schemas.openxmlformats.org/officeDocument/2006/relationships/hyperlink" Target="https://www.citypopulation.de" TargetMode="External"/><Relationship Id="rId48" Type="http://schemas.openxmlformats.org/officeDocument/2006/relationships/hyperlink" Target="https://www.fao.org/fishery/statistics-query/en/capture" TargetMode="External"/><Relationship Id="rId69" Type="http://schemas.openxmlformats.org/officeDocument/2006/relationships/hyperlink" Target="https://research-portal.st-andrews.ac.uk/files/282360347/Girkin_2022_Anthropocene_Tropical_peatlands_CC.pdf?utm_source=chatgpt.com" TargetMode="External"/><Relationship Id="rId113" Type="http://schemas.openxmlformats.org/officeDocument/2006/relationships/hyperlink" Target="https://www.cambridge.org/core/journals/oryx/article/vulnerable-fishing-cat-prionailurus-viverrinus-and-other-globally-threatened-species-in-cambodias-coastal-mangroves/57146D6098F3E454A4407A3C6B9918E7" TargetMode="External"/><Relationship Id="rId134" Type="http://schemas.openxmlformats.org/officeDocument/2006/relationships/hyperlink" Target="https://rsis.ramsar.org/RISapp/files/RISrep/KH998RIS.pdf" TargetMode="External"/><Relationship Id="rId80" Type="http://schemas.openxmlformats.org/officeDocument/2006/relationships/hyperlink" Target="https://www.imf.org/external/datamapper/GGXWDG_NGDP@WEO/OEMDC/ADVEC/WEOWORLD/KHM" TargetMode="External"/><Relationship Id="rId155" Type="http://schemas.openxmlformats.org/officeDocument/2006/relationships/hyperlink" Target="https://www.seaaroundus.org" TargetMode="External"/><Relationship Id="rId176" Type="http://schemas.openxmlformats.org/officeDocument/2006/relationships/hyperlink" Target="https://wepa-db.net/policies/state/kh/cambodia/state-of-wastewater-treatment-management/" TargetMode="External"/><Relationship Id="rId17" Type="http://schemas.openxmlformats.org/officeDocument/2006/relationships/hyperlink" Target="https://asean.org/wp-content/uploads/2021/01/3.-ASEAN-Framework-of-Action-on-Marine-Debris-FINAL.pdf" TargetMode="External"/><Relationship Id="rId38" Type="http://schemas.openxmlformats.org/officeDocument/2006/relationships/hyperlink" Target="https://www.cbd.int/information/parties.shtml" TargetMode="External"/><Relationship Id="rId59" Type="http://schemas.openxmlformats.org/officeDocument/2006/relationships/hyperlink" Target="https://fia.maff.gov.kh/storage/publications/01J5WJNC45F2B1YXNABNYDVJ6K.pdf" TargetMode="External"/><Relationship Id="rId103" Type="http://schemas.openxmlformats.org/officeDocument/2006/relationships/hyperlink" Target="https://ppp.mef.gov.kh/projects/solicited-projects/list" TargetMode="External"/><Relationship Id="rId124" Type="http://schemas.openxmlformats.org/officeDocument/2006/relationships/hyperlink" Target="https://ophi.org.uk/global-mpi/2024" TargetMode="External"/><Relationship Id="rId70" Type="http://schemas.openxmlformats.org/officeDocument/2006/relationships/hyperlink" Target="https://www.giz.de/en/downloads/giz2024-en-baseline-study-on-microplastics.pdf" TargetMode="External"/><Relationship Id="rId91" Type="http://schemas.openxmlformats.org/officeDocument/2006/relationships/hyperlink" Target="https://www.khmertimeskh.com/501674712/12500-mangrove-saplings-planted-in-chumpou-khmao-fishing-community-prey-nup-district/" TargetMode="External"/><Relationship Id="rId145" Type="http://schemas.openxmlformats.org/officeDocument/2006/relationships/hyperlink" Target="https://ibccambodia.com/wp-content/uploads/2019/09/Sub-Decree-on-Organization-and-Functioning-of-General-Secretariat-of-National-Committee-on-Coastal-Area-Management-and-Developm-IBC.pdf" TargetMode="External"/><Relationship Id="rId166" Type="http://schemas.openxmlformats.org/officeDocument/2006/relationships/hyperlink" Target="https://iwlearn.net/resolveuid/6abc857925542c108f72e2f1e9147b97" TargetMode="External"/><Relationship Id="rId187" Type="http://schemas.openxmlformats.org/officeDocument/2006/relationships/hyperlink" Target="http://www.govindicators.org" TargetMode="External"/><Relationship Id="rId1" Type="http://schemas.openxmlformats.org/officeDocument/2006/relationships/customXml" Target="../customXml/item1.xml"/><Relationship Id="rId28" Type="http://schemas.openxmlformats.org/officeDocument/2006/relationships/hyperlink" Target="https://www.mdpi.com/2072-4292/14/15/3657" TargetMode="External"/><Relationship Id="rId49" Type="http://schemas.openxmlformats.org/officeDocument/2006/relationships/hyperlink" Target="https://www.fao.org/sofia" TargetMode="External"/><Relationship Id="rId114" Type="http://schemas.openxmlformats.org/officeDocument/2006/relationships/hyperlink" Target="https://ncsd.moe.gov.kh/ncsd/ncsd-mandate" TargetMode="External"/><Relationship Id="rId60" Type="http://schemas.openxmlformats.org/officeDocument/2006/relationships/hyperlink" Target="https://fia.maff.gov.kh/fimsfrontend/article/1" TargetMode="External"/><Relationship Id="rId81" Type="http://schemas.openxmlformats.org/officeDocument/2006/relationships/hyperlink" Target="https://www.itopf.org/fileadmin/uploads/itopf/data/Documents/Country_Profiles/cambodia.pdf" TargetMode="External"/><Relationship Id="rId135" Type="http://schemas.openxmlformats.org/officeDocument/2006/relationships/hyperlink" Target="https://rsis.ramsar.org/ris/998?__goaway_challenge=meta-refresh&amp;__goaway_id=64045553cd2c71dc8c07f985b9e58522" TargetMode="External"/><Relationship Id="rId156" Type="http://schemas.openxmlformats.org/officeDocument/2006/relationships/hyperlink" Target="http://map.seafdec.org/gotseed2/abstract/ab-Fisheries%20Resource%20Survey%20in%20the%20Gulf%20of%20Thialand%20off%20Thailand%20and%20Cambodia%20by%20Using%20Bottom%20Trawl.pdf" TargetMode="External"/><Relationship Id="rId177" Type="http://schemas.openxmlformats.org/officeDocument/2006/relationships/hyperlink" Target="https://washdata.org/data/home" TargetMode="External"/><Relationship Id="rId18" Type="http://schemas.openxmlformats.org/officeDocument/2006/relationships/hyperlink" Target="https://asean.org/wp-content/uploads/images/pdf/2014_upload/MOU%20on%20ASEAN%20OSRAP.pdf" TargetMode="External"/><Relationship Id="rId39" Type="http://schemas.openxmlformats.org/officeDocument/2006/relationships/hyperlink" Target="https://cdc.gov.kh/wp-content/uploads/2022/05/LAW-ON-NATURE-PROTECTION-AREA-PROTECTED-AREAS-LAW_080104_080104-.pdf"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559A0D5-98CE-8945-A939-38C127737BCB}" type="doc">
      <dgm:prSet loTypeId="urn:microsoft.com/office/officeart/2005/8/layout/bProcess3" loCatId="" qsTypeId="urn:microsoft.com/office/officeart/2005/8/quickstyle/simple1" qsCatId="simple" csTypeId="urn:microsoft.com/office/officeart/2005/8/colors/colorful5" csCatId="colorful" phldr="1"/>
      <dgm:spPr/>
      <dgm:t>
        <a:bodyPr/>
        <a:lstStyle/>
        <a:p>
          <a:endParaRPr lang="en-US"/>
        </a:p>
      </dgm:t>
    </dgm:pt>
    <dgm:pt modelId="{99EE3148-0195-F24C-9FAE-6212E9E62C39}">
      <dgm:prSet phldrT="[Text]" custT="1"/>
      <dgm:spPr/>
      <dgm:t>
        <a:bodyPr/>
        <a:lstStyle/>
        <a:p>
          <a:r>
            <a:rPr lang="en-US" sz="1000" b="1">
              <a:latin typeface="Arial" panose="020B0604020202020204" pitchFamily="34" charset="0"/>
              <a:cs typeface="Arial" panose="020B0604020202020204" pitchFamily="34" charset="0"/>
            </a:rPr>
            <a:t>Land-based pollution and destructive fishing </a:t>
          </a:r>
          <a:endParaRPr lang="en-US" sz="1000">
            <a:latin typeface="Arial" panose="020B0604020202020204" pitchFamily="34" charset="0"/>
            <a:cs typeface="Arial" panose="020B0604020202020204" pitchFamily="34" charset="0"/>
          </a:endParaRPr>
        </a:p>
      </dgm:t>
    </dgm:pt>
    <dgm:pt modelId="{6ABCD656-B1B5-344C-BC43-3EB2E34824A6}" type="parTrans" cxnId="{5BA190A3-C1E2-2445-B8BC-AF61A61A4FC9}">
      <dgm:prSet/>
      <dgm:spPr/>
      <dgm:t>
        <a:bodyPr/>
        <a:lstStyle/>
        <a:p>
          <a:endParaRPr lang="en-US" sz="1100">
            <a:latin typeface="Arial" panose="020B0604020202020204" pitchFamily="34" charset="0"/>
            <a:cs typeface="Arial" panose="020B0604020202020204" pitchFamily="34" charset="0"/>
          </a:endParaRPr>
        </a:p>
      </dgm:t>
    </dgm:pt>
    <dgm:pt modelId="{ADD2E5D3-3EF6-444B-98E6-BA63798F7B82}" type="sibTrans" cxnId="{5BA190A3-C1E2-2445-B8BC-AF61A61A4FC9}">
      <dgm:prSet custT="1"/>
      <dgm:spPr/>
      <dgm:t>
        <a:bodyPr/>
        <a:lstStyle/>
        <a:p>
          <a:endParaRPr lang="en-US" sz="700">
            <a:latin typeface="Arial" panose="020B0604020202020204" pitchFamily="34" charset="0"/>
            <a:cs typeface="Arial" panose="020B0604020202020204" pitchFamily="34" charset="0"/>
          </a:endParaRPr>
        </a:p>
      </dgm:t>
    </dgm:pt>
    <dgm:pt modelId="{F38B8263-B76F-6145-9181-AB8EE2EA817B}">
      <dgm:prSet phldrT="[Text]" custT="1"/>
      <dgm:spPr/>
      <dgm:t>
        <a:bodyPr/>
        <a:lstStyle/>
        <a:p>
          <a:r>
            <a:rPr lang="en-US" sz="1000" b="1">
              <a:latin typeface="Arial" panose="020B0604020202020204" pitchFamily="34" charset="0"/>
              <a:cs typeface="Arial" panose="020B0604020202020204" pitchFamily="34" charset="0"/>
            </a:rPr>
            <a:t>Habitat stress, presure, and loss </a:t>
          </a:r>
          <a:endParaRPr lang="en-US" sz="1000">
            <a:latin typeface="Arial" panose="020B0604020202020204" pitchFamily="34" charset="0"/>
            <a:cs typeface="Arial" panose="020B0604020202020204" pitchFamily="34" charset="0"/>
          </a:endParaRPr>
        </a:p>
      </dgm:t>
    </dgm:pt>
    <dgm:pt modelId="{604891F4-5974-2849-A46E-93A5243414E9}" type="parTrans" cxnId="{C7E38373-AB45-D440-B3D4-B19E345C5373}">
      <dgm:prSet/>
      <dgm:spPr/>
      <dgm:t>
        <a:bodyPr/>
        <a:lstStyle/>
        <a:p>
          <a:endParaRPr lang="en-US" sz="1100">
            <a:latin typeface="Arial" panose="020B0604020202020204" pitchFamily="34" charset="0"/>
            <a:cs typeface="Arial" panose="020B0604020202020204" pitchFamily="34" charset="0"/>
          </a:endParaRPr>
        </a:p>
      </dgm:t>
    </dgm:pt>
    <dgm:pt modelId="{4E3FB49B-668C-3446-8213-E04189B8F739}" type="sibTrans" cxnId="{C7E38373-AB45-D440-B3D4-B19E345C5373}">
      <dgm:prSet custT="1"/>
      <dgm:spPr/>
      <dgm:t>
        <a:bodyPr/>
        <a:lstStyle/>
        <a:p>
          <a:endParaRPr lang="en-US" sz="700">
            <a:latin typeface="Arial" panose="020B0604020202020204" pitchFamily="34" charset="0"/>
            <a:cs typeface="Arial" panose="020B0604020202020204" pitchFamily="34" charset="0"/>
          </a:endParaRPr>
        </a:p>
      </dgm:t>
    </dgm:pt>
    <dgm:pt modelId="{83A5373D-016F-C843-842D-1FEA3EA1C550}">
      <dgm:prSet phldrT="[Text]" custT="1"/>
      <dgm:spPr/>
      <dgm:t>
        <a:bodyPr/>
        <a:lstStyle/>
        <a:p>
          <a:r>
            <a:rPr lang="en-US" sz="1000" b="1">
              <a:latin typeface="Arial" panose="020B0604020202020204" pitchFamily="34" charset="0"/>
              <a:cs typeface="Arial" panose="020B0604020202020204" pitchFamily="34" charset="0"/>
            </a:rPr>
            <a:t>Declining biomass and catch value</a:t>
          </a:r>
          <a:endParaRPr lang="en-US" sz="1000">
            <a:latin typeface="Arial" panose="020B0604020202020204" pitchFamily="34" charset="0"/>
            <a:cs typeface="Arial" panose="020B0604020202020204" pitchFamily="34" charset="0"/>
          </a:endParaRPr>
        </a:p>
      </dgm:t>
    </dgm:pt>
    <dgm:pt modelId="{052C7D52-25DC-EB42-A1F0-F77EC5D55A29}" type="parTrans" cxnId="{38FF8083-DF60-9A41-BAA1-0DB4C6C3B69A}">
      <dgm:prSet/>
      <dgm:spPr/>
      <dgm:t>
        <a:bodyPr/>
        <a:lstStyle/>
        <a:p>
          <a:endParaRPr lang="en-US" sz="1100">
            <a:latin typeface="Arial" panose="020B0604020202020204" pitchFamily="34" charset="0"/>
            <a:cs typeface="Arial" panose="020B0604020202020204" pitchFamily="34" charset="0"/>
          </a:endParaRPr>
        </a:p>
      </dgm:t>
    </dgm:pt>
    <dgm:pt modelId="{F67D09B3-72B2-B647-9756-9A225D7E2B7D}" type="sibTrans" cxnId="{38FF8083-DF60-9A41-BAA1-0DB4C6C3B69A}">
      <dgm:prSet custT="1"/>
      <dgm:spPr/>
      <dgm:t>
        <a:bodyPr/>
        <a:lstStyle/>
        <a:p>
          <a:endParaRPr lang="en-US" sz="700">
            <a:latin typeface="Arial" panose="020B0604020202020204" pitchFamily="34" charset="0"/>
            <a:cs typeface="Arial" panose="020B0604020202020204" pitchFamily="34" charset="0"/>
          </a:endParaRPr>
        </a:p>
      </dgm:t>
    </dgm:pt>
    <dgm:pt modelId="{F3A3B6FD-C810-6F4B-B76F-7E9169C66F16}">
      <dgm:prSet phldrT="[Text]" custT="1"/>
      <dgm:spPr/>
      <dgm:t>
        <a:bodyPr/>
        <a:lstStyle/>
        <a:p>
          <a:r>
            <a:rPr lang="en-US" sz="1000" b="1">
              <a:latin typeface="Arial" panose="020B0604020202020204" pitchFamily="34" charset="0"/>
              <a:cs typeface="Arial" panose="020B0604020202020204" pitchFamily="34" charset="0"/>
            </a:rPr>
            <a:t>Lower and more insecure incomes </a:t>
          </a:r>
          <a:endParaRPr lang="en-US" sz="1000">
            <a:latin typeface="Arial" panose="020B0604020202020204" pitchFamily="34" charset="0"/>
            <a:cs typeface="Arial" panose="020B0604020202020204" pitchFamily="34" charset="0"/>
          </a:endParaRPr>
        </a:p>
      </dgm:t>
    </dgm:pt>
    <dgm:pt modelId="{08211165-F85C-584F-BDE9-4414DAED2150}" type="parTrans" cxnId="{2170458D-9B3E-0A44-95DD-43CE0B769763}">
      <dgm:prSet/>
      <dgm:spPr/>
      <dgm:t>
        <a:bodyPr/>
        <a:lstStyle/>
        <a:p>
          <a:endParaRPr lang="en-US" sz="1100">
            <a:latin typeface="Arial" panose="020B0604020202020204" pitchFamily="34" charset="0"/>
            <a:cs typeface="Arial" panose="020B0604020202020204" pitchFamily="34" charset="0"/>
          </a:endParaRPr>
        </a:p>
      </dgm:t>
    </dgm:pt>
    <dgm:pt modelId="{AF125793-603D-3644-90AE-AE5755C3A8FA}" type="sibTrans" cxnId="{2170458D-9B3E-0A44-95DD-43CE0B769763}">
      <dgm:prSet custT="1"/>
      <dgm:spPr/>
      <dgm:t>
        <a:bodyPr/>
        <a:lstStyle/>
        <a:p>
          <a:endParaRPr lang="en-US" sz="700">
            <a:latin typeface="Arial" panose="020B0604020202020204" pitchFamily="34" charset="0"/>
            <a:cs typeface="Arial" panose="020B0604020202020204" pitchFamily="34" charset="0"/>
          </a:endParaRPr>
        </a:p>
      </dgm:t>
    </dgm:pt>
    <dgm:pt modelId="{5461FAC3-92A8-E74F-BB81-FDD9A11EFFB9}">
      <dgm:prSet phldrT="[Text]" custT="1"/>
      <dgm:spPr/>
      <dgm:t>
        <a:bodyPr/>
        <a:lstStyle/>
        <a:p>
          <a:r>
            <a:rPr lang="en-US" sz="1000" b="1">
              <a:latin typeface="Arial" panose="020B0604020202020204" pitchFamily="34" charset="0"/>
              <a:cs typeface="Arial" panose="020B0604020202020204" pitchFamily="34" charset="0"/>
            </a:rPr>
            <a:t>Higher fishing effort and risk-taking</a:t>
          </a:r>
          <a:endParaRPr lang="en-US" sz="1000">
            <a:latin typeface="Arial" panose="020B0604020202020204" pitchFamily="34" charset="0"/>
            <a:cs typeface="Arial" panose="020B0604020202020204" pitchFamily="34" charset="0"/>
          </a:endParaRPr>
        </a:p>
      </dgm:t>
    </dgm:pt>
    <dgm:pt modelId="{39FF245A-735D-7F4A-B42B-030B08C7C1A8}" type="parTrans" cxnId="{722D41E3-17D2-9343-B785-656BDB52A11E}">
      <dgm:prSet/>
      <dgm:spPr/>
      <dgm:t>
        <a:bodyPr/>
        <a:lstStyle/>
        <a:p>
          <a:endParaRPr lang="en-US" sz="1100">
            <a:latin typeface="Arial" panose="020B0604020202020204" pitchFamily="34" charset="0"/>
            <a:cs typeface="Arial" panose="020B0604020202020204" pitchFamily="34" charset="0"/>
          </a:endParaRPr>
        </a:p>
      </dgm:t>
    </dgm:pt>
    <dgm:pt modelId="{DAC7557E-EEB4-0047-B51A-30746C3A266C}" type="sibTrans" cxnId="{722D41E3-17D2-9343-B785-656BDB52A11E}">
      <dgm:prSet custT="1"/>
      <dgm:spPr/>
      <dgm:t>
        <a:bodyPr/>
        <a:lstStyle/>
        <a:p>
          <a:endParaRPr lang="en-US" sz="700">
            <a:latin typeface="Arial" panose="020B0604020202020204" pitchFamily="34" charset="0"/>
            <a:cs typeface="Arial" panose="020B0604020202020204" pitchFamily="34" charset="0"/>
          </a:endParaRPr>
        </a:p>
      </dgm:t>
    </dgm:pt>
    <dgm:pt modelId="{763566FA-E3CF-9140-B701-B47B9A96D7F2}">
      <dgm:prSet phldrT="[Text]" custT="1"/>
      <dgm:spPr/>
      <dgm:t>
        <a:bodyPr/>
        <a:lstStyle/>
        <a:p>
          <a:r>
            <a:rPr lang="en-US" sz="1000" b="1">
              <a:latin typeface="Arial" panose="020B0604020202020204" pitchFamily="34" charset="0"/>
              <a:cs typeface="Arial" panose="020B0604020202020204" pitchFamily="34" charset="0"/>
            </a:rPr>
            <a:t>Further habitat damage and pollution sensitivity</a:t>
          </a:r>
          <a:endParaRPr lang="en-US" sz="1000">
            <a:latin typeface="Arial" panose="020B0604020202020204" pitchFamily="34" charset="0"/>
            <a:cs typeface="Arial" panose="020B0604020202020204" pitchFamily="34" charset="0"/>
          </a:endParaRPr>
        </a:p>
      </dgm:t>
    </dgm:pt>
    <dgm:pt modelId="{0F196A84-F6D4-F84C-B473-615E3D3C661B}" type="parTrans" cxnId="{EF381123-74D3-804B-B638-EA92573BF488}">
      <dgm:prSet/>
      <dgm:spPr/>
      <dgm:t>
        <a:bodyPr/>
        <a:lstStyle/>
        <a:p>
          <a:endParaRPr lang="en-US" sz="1100">
            <a:latin typeface="Arial" panose="020B0604020202020204" pitchFamily="34" charset="0"/>
            <a:cs typeface="Arial" panose="020B0604020202020204" pitchFamily="34" charset="0"/>
          </a:endParaRPr>
        </a:p>
      </dgm:t>
    </dgm:pt>
    <dgm:pt modelId="{80285159-1F23-CB4B-8F07-817E62D365DC}" type="sibTrans" cxnId="{EF381123-74D3-804B-B638-EA92573BF488}">
      <dgm:prSet/>
      <dgm:spPr/>
      <dgm:t>
        <a:bodyPr/>
        <a:lstStyle/>
        <a:p>
          <a:endParaRPr lang="en-US" sz="1100">
            <a:latin typeface="Arial" panose="020B0604020202020204" pitchFamily="34" charset="0"/>
            <a:cs typeface="Arial" panose="020B0604020202020204" pitchFamily="34" charset="0"/>
          </a:endParaRPr>
        </a:p>
      </dgm:t>
    </dgm:pt>
    <dgm:pt modelId="{A7E5C240-7A36-5542-9B86-439E43E7EBFF}" type="pres">
      <dgm:prSet presAssocID="{3559A0D5-98CE-8945-A939-38C127737BCB}" presName="Name0" presStyleCnt="0">
        <dgm:presLayoutVars>
          <dgm:dir/>
          <dgm:resizeHandles val="exact"/>
        </dgm:presLayoutVars>
      </dgm:prSet>
      <dgm:spPr/>
    </dgm:pt>
    <dgm:pt modelId="{7644D72B-9263-604F-A5DB-0CC2FE3ECC41}" type="pres">
      <dgm:prSet presAssocID="{99EE3148-0195-F24C-9FAE-6212E9E62C39}" presName="node" presStyleLbl="node1" presStyleIdx="0" presStyleCnt="6">
        <dgm:presLayoutVars>
          <dgm:bulletEnabled val="1"/>
        </dgm:presLayoutVars>
      </dgm:prSet>
      <dgm:spPr/>
    </dgm:pt>
    <dgm:pt modelId="{A5A4C0D3-A27A-E748-A158-757FDD2CE5A9}" type="pres">
      <dgm:prSet presAssocID="{ADD2E5D3-3EF6-444B-98E6-BA63798F7B82}" presName="sibTrans" presStyleLbl="sibTrans1D1" presStyleIdx="0" presStyleCnt="5"/>
      <dgm:spPr/>
    </dgm:pt>
    <dgm:pt modelId="{2958F119-94E5-644B-AFFA-CF7B6AFD97E4}" type="pres">
      <dgm:prSet presAssocID="{ADD2E5D3-3EF6-444B-98E6-BA63798F7B82}" presName="connectorText" presStyleLbl="sibTrans1D1" presStyleIdx="0" presStyleCnt="5"/>
      <dgm:spPr/>
    </dgm:pt>
    <dgm:pt modelId="{2264A325-30EC-454F-B553-D14112CA3E88}" type="pres">
      <dgm:prSet presAssocID="{F38B8263-B76F-6145-9181-AB8EE2EA817B}" presName="node" presStyleLbl="node1" presStyleIdx="1" presStyleCnt="6">
        <dgm:presLayoutVars>
          <dgm:bulletEnabled val="1"/>
        </dgm:presLayoutVars>
      </dgm:prSet>
      <dgm:spPr/>
    </dgm:pt>
    <dgm:pt modelId="{D6D54444-36BD-3147-983C-C8901A9D8C10}" type="pres">
      <dgm:prSet presAssocID="{4E3FB49B-668C-3446-8213-E04189B8F739}" presName="sibTrans" presStyleLbl="sibTrans1D1" presStyleIdx="1" presStyleCnt="5"/>
      <dgm:spPr/>
    </dgm:pt>
    <dgm:pt modelId="{CC64EBDE-19C8-0144-BE45-1132E371BFC3}" type="pres">
      <dgm:prSet presAssocID="{4E3FB49B-668C-3446-8213-E04189B8F739}" presName="connectorText" presStyleLbl="sibTrans1D1" presStyleIdx="1" presStyleCnt="5"/>
      <dgm:spPr/>
    </dgm:pt>
    <dgm:pt modelId="{C3BB232B-849E-1D42-802E-967F61AD4146}" type="pres">
      <dgm:prSet presAssocID="{83A5373D-016F-C843-842D-1FEA3EA1C550}" presName="node" presStyleLbl="node1" presStyleIdx="2" presStyleCnt="6">
        <dgm:presLayoutVars>
          <dgm:bulletEnabled val="1"/>
        </dgm:presLayoutVars>
      </dgm:prSet>
      <dgm:spPr/>
    </dgm:pt>
    <dgm:pt modelId="{24B426FF-5610-A444-9F8C-BC9BBA9BA44E}" type="pres">
      <dgm:prSet presAssocID="{F67D09B3-72B2-B647-9756-9A225D7E2B7D}" presName="sibTrans" presStyleLbl="sibTrans1D1" presStyleIdx="2" presStyleCnt="5"/>
      <dgm:spPr/>
    </dgm:pt>
    <dgm:pt modelId="{4F841D4F-2255-C842-A16E-C023743808A2}" type="pres">
      <dgm:prSet presAssocID="{F67D09B3-72B2-B647-9756-9A225D7E2B7D}" presName="connectorText" presStyleLbl="sibTrans1D1" presStyleIdx="2" presStyleCnt="5"/>
      <dgm:spPr/>
    </dgm:pt>
    <dgm:pt modelId="{48F4CF3E-E33F-3643-95FF-2F3EEBADBCEC}" type="pres">
      <dgm:prSet presAssocID="{F3A3B6FD-C810-6F4B-B76F-7E9169C66F16}" presName="node" presStyleLbl="node1" presStyleIdx="3" presStyleCnt="6">
        <dgm:presLayoutVars>
          <dgm:bulletEnabled val="1"/>
        </dgm:presLayoutVars>
      </dgm:prSet>
      <dgm:spPr/>
    </dgm:pt>
    <dgm:pt modelId="{EF969A95-3F1C-BF4E-B0D8-FEB4B8B4568F}" type="pres">
      <dgm:prSet presAssocID="{AF125793-603D-3644-90AE-AE5755C3A8FA}" presName="sibTrans" presStyleLbl="sibTrans1D1" presStyleIdx="3" presStyleCnt="5"/>
      <dgm:spPr/>
    </dgm:pt>
    <dgm:pt modelId="{0A6BC5A5-0461-E349-B8FD-702F651B52D2}" type="pres">
      <dgm:prSet presAssocID="{AF125793-603D-3644-90AE-AE5755C3A8FA}" presName="connectorText" presStyleLbl="sibTrans1D1" presStyleIdx="3" presStyleCnt="5"/>
      <dgm:spPr/>
    </dgm:pt>
    <dgm:pt modelId="{FFFFCA3E-9611-4F49-AF11-4C68CF720E3E}" type="pres">
      <dgm:prSet presAssocID="{5461FAC3-92A8-E74F-BB81-FDD9A11EFFB9}" presName="node" presStyleLbl="node1" presStyleIdx="4" presStyleCnt="6">
        <dgm:presLayoutVars>
          <dgm:bulletEnabled val="1"/>
        </dgm:presLayoutVars>
      </dgm:prSet>
      <dgm:spPr/>
    </dgm:pt>
    <dgm:pt modelId="{E7738C7B-E941-6940-8FF9-E8677AED3508}" type="pres">
      <dgm:prSet presAssocID="{DAC7557E-EEB4-0047-B51A-30746C3A266C}" presName="sibTrans" presStyleLbl="sibTrans1D1" presStyleIdx="4" presStyleCnt="5"/>
      <dgm:spPr/>
    </dgm:pt>
    <dgm:pt modelId="{560DF350-6CE3-404F-822A-AD6172F5F69B}" type="pres">
      <dgm:prSet presAssocID="{DAC7557E-EEB4-0047-B51A-30746C3A266C}" presName="connectorText" presStyleLbl="sibTrans1D1" presStyleIdx="4" presStyleCnt="5"/>
      <dgm:spPr/>
    </dgm:pt>
    <dgm:pt modelId="{67343CA2-DB56-F544-9881-65202D5C8B4A}" type="pres">
      <dgm:prSet presAssocID="{763566FA-E3CF-9140-B701-B47B9A96D7F2}" presName="node" presStyleLbl="node1" presStyleIdx="5" presStyleCnt="6">
        <dgm:presLayoutVars>
          <dgm:bulletEnabled val="1"/>
        </dgm:presLayoutVars>
      </dgm:prSet>
      <dgm:spPr/>
    </dgm:pt>
  </dgm:ptLst>
  <dgm:cxnLst>
    <dgm:cxn modelId="{A73EC10B-B79C-D740-BD52-15DE0AEF5E91}" type="presOf" srcId="{F38B8263-B76F-6145-9181-AB8EE2EA817B}" destId="{2264A325-30EC-454F-B553-D14112CA3E88}" srcOrd="0" destOrd="0" presId="urn:microsoft.com/office/officeart/2005/8/layout/bProcess3"/>
    <dgm:cxn modelId="{6E16340F-7F7B-CD48-A7A8-09FA0B7528BA}" type="presOf" srcId="{AF125793-603D-3644-90AE-AE5755C3A8FA}" destId="{EF969A95-3F1C-BF4E-B0D8-FEB4B8B4568F}" srcOrd="0" destOrd="0" presId="urn:microsoft.com/office/officeart/2005/8/layout/bProcess3"/>
    <dgm:cxn modelId="{D09F4C15-A6BA-8A4B-8E02-A14C03014C06}" type="presOf" srcId="{3559A0D5-98CE-8945-A939-38C127737BCB}" destId="{A7E5C240-7A36-5542-9B86-439E43E7EBFF}" srcOrd="0" destOrd="0" presId="urn:microsoft.com/office/officeart/2005/8/layout/bProcess3"/>
    <dgm:cxn modelId="{6C1BB221-45B9-3B4F-BCA4-FFC0FCEFAC72}" type="presOf" srcId="{ADD2E5D3-3EF6-444B-98E6-BA63798F7B82}" destId="{A5A4C0D3-A27A-E748-A158-757FDD2CE5A9}" srcOrd="0" destOrd="0" presId="urn:microsoft.com/office/officeart/2005/8/layout/bProcess3"/>
    <dgm:cxn modelId="{EF381123-74D3-804B-B638-EA92573BF488}" srcId="{3559A0D5-98CE-8945-A939-38C127737BCB}" destId="{763566FA-E3CF-9140-B701-B47B9A96D7F2}" srcOrd="5" destOrd="0" parTransId="{0F196A84-F6D4-F84C-B473-615E3D3C661B}" sibTransId="{80285159-1F23-CB4B-8F07-817E62D365DC}"/>
    <dgm:cxn modelId="{4D945839-ACF9-FF40-9E31-9B06C03AA162}" type="presOf" srcId="{99EE3148-0195-F24C-9FAE-6212E9E62C39}" destId="{7644D72B-9263-604F-A5DB-0CC2FE3ECC41}" srcOrd="0" destOrd="0" presId="urn:microsoft.com/office/officeart/2005/8/layout/bProcess3"/>
    <dgm:cxn modelId="{30A95E58-73F1-4C41-9BA7-B7C07DE9734C}" type="presOf" srcId="{F67D09B3-72B2-B647-9756-9A225D7E2B7D}" destId="{24B426FF-5610-A444-9F8C-BC9BBA9BA44E}" srcOrd="0" destOrd="0" presId="urn:microsoft.com/office/officeart/2005/8/layout/bProcess3"/>
    <dgm:cxn modelId="{5C746F59-2C37-1A46-921B-610E9050761F}" type="presOf" srcId="{F67D09B3-72B2-B647-9756-9A225D7E2B7D}" destId="{4F841D4F-2255-C842-A16E-C023743808A2}" srcOrd="1" destOrd="0" presId="urn:microsoft.com/office/officeart/2005/8/layout/bProcess3"/>
    <dgm:cxn modelId="{C7E38373-AB45-D440-B3D4-B19E345C5373}" srcId="{3559A0D5-98CE-8945-A939-38C127737BCB}" destId="{F38B8263-B76F-6145-9181-AB8EE2EA817B}" srcOrd="1" destOrd="0" parTransId="{604891F4-5974-2849-A46E-93A5243414E9}" sibTransId="{4E3FB49B-668C-3446-8213-E04189B8F739}"/>
    <dgm:cxn modelId="{783A7B83-1859-FC4C-B959-8E31FAFED94D}" type="presOf" srcId="{F3A3B6FD-C810-6F4B-B76F-7E9169C66F16}" destId="{48F4CF3E-E33F-3643-95FF-2F3EEBADBCEC}" srcOrd="0" destOrd="0" presId="urn:microsoft.com/office/officeart/2005/8/layout/bProcess3"/>
    <dgm:cxn modelId="{38FF8083-DF60-9A41-BAA1-0DB4C6C3B69A}" srcId="{3559A0D5-98CE-8945-A939-38C127737BCB}" destId="{83A5373D-016F-C843-842D-1FEA3EA1C550}" srcOrd="2" destOrd="0" parTransId="{052C7D52-25DC-EB42-A1F0-F77EC5D55A29}" sibTransId="{F67D09B3-72B2-B647-9756-9A225D7E2B7D}"/>
    <dgm:cxn modelId="{8E8DD98B-D86E-2249-A7E0-DBBFD193F91E}" type="presOf" srcId="{763566FA-E3CF-9140-B701-B47B9A96D7F2}" destId="{67343CA2-DB56-F544-9881-65202D5C8B4A}" srcOrd="0" destOrd="0" presId="urn:microsoft.com/office/officeart/2005/8/layout/bProcess3"/>
    <dgm:cxn modelId="{2170458D-9B3E-0A44-95DD-43CE0B769763}" srcId="{3559A0D5-98CE-8945-A939-38C127737BCB}" destId="{F3A3B6FD-C810-6F4B-B76F-7E9169C66F16}" srcOrd="3" destOrd="0" parTransId="{08211165-F85C-584F-BDE9-4414DAED2150}" sibTransId="{AF125793-603D-3644-90AE-AE5755C3A8FA}"/>
    <dgm:cxn modelId="{1AC42C94-8BD6-DC4D-BA04-3200D4A3EC81}" type="presOf" srcId="{5461FAC3-92A8-E74F-BB81-FDD9A11EFFB9}" destId="{FFFFCA3E-9611-4F49-AF11-4C68CF720E3E}" srcOrd="0" destOrd="0" presId="urn:microsoft.com/office/officeart/2005/8/layout/bProcess3"/>
    <dgm:cxn modelId="{5BA190A3-C1E2-2445-B8BC-AF61A61A4FC9}" srcId="{3559A0D5-98CE-8945-A939-38C127737BCB}" destId="{99EE3148-0195-F24C-9FAE-6212E9E62C39}" srcOrd="0" destOrd="0" parTransId="{6ABCD656-B1B5-344C-BC43-3EB2E34824A6}" sibTransId="{ADD2E5D3-3EF6-444B-98E6-BA63798F7B82}"/>
    <dgm:cxn modelId="{FCE2B3AD-B3E8-534A-B0A0-D98E94A44219}" type="presOf" srcId="{83A5373D-016F-C843-842D-1FEA3EA1C550}" destId="{C3BB232B-849E-1D42-802E-967F61AD4146}" srcOrd="0" destOrd="0" presId="urn:microsoft.com/office/officeart/2005/8/layout/bProcess3"/>
    <dgm:cxn modelId="{313F7DC8-B250-E943-A810-034CD5DD00B5}" type="presOf" srcId="{DAC7557E-EEB4-0047-B51A-30746C3A266C}" destId="{E7738C7B-E941-6940-8FF9-E8677AED3508}" srcOrd="0" destOrd="0" presId="urn:microsoft.com/office/officeart/2005/8/layout/bProcess3"/>
    <dgm:cxn modelId="{B87650C9-50AF-E741-88D2-9A8B8B3C2E56}" type="presOf" srcId="{4E3FB49B-668C-3446-8213-E04189B8F739}" destId="{CC64EBDE-19C8-0144-BE45-1132E371BFC3}" srcOrd="1" destOrd="0" presId="urn:microsoft.com/office/officeart/2005/8/layout/bProcess3"/>
    <dgm:cxn modelId="{F8E2AACD-70F8-8D4F-B98A-1ADE121EA004}" type="presOf" srcId="{4E3FB49B-668C-3446-8213-E04189B8F739}" destId="{D6D54444-36BD-3147-983C-C8901A9D8C10}" srcOrd="0" destOrd="0" presId="urn:microsoft.com/office/officeart/2005/8/layout/bProcess3"/>
    <dgm:cxn modelId="{E4B6C5D4-051E-9946-88BA-F78EA87AD04B}" type="presOf" srcId="{DAC7557E-EEB4-0047-B51A-30746C3A266C}" destId="{560DF350-6CE3-404F-822A-AD6172F5F69B}" srcOrd="1" destOrd="0" presId="urn:microsoft.com/office/officeart/2005/8/layout/bProcess3"/>
    <dgm:cxn modelId="{86900CE3-C7B3-F444-B43D-52466E5C1A90}" type="presOf" srcId="{AF125793-603D-3644-90AE-AE5755C3A8FA}" destId="{0A6BC5A5-0461-E349-B8FD-702F651B52D2}" srcOrd="1" destOrd="0" presId="urn:microsoft.com/office/officeart/2005/8/layout/bProcess3"/>
    <dgm:cxn modelId="{722D41E3-17D2-9343-B785-656BDB52A11E}" srcId="{3559A0D5-98CE-8945-A939-38C127737BCB}" destId="{5461FAC3-92A8-E74F-BB81-FDD9A11EFFB9}" srcOrd="4" destOrd="0" parTransId="{39FF245A-735D-7F4A-B42B-030B08C7C1A8}" sibTransId="{DAC7557E-EEB4-0047-B51A-30746C3A266C}"/>
    <dgm:cxn modelId="{A0E825E7-50CF-7540-8259-486C8BE14259}" type="presOf" srcId="{ADD2E5D3-3EF6-444B-98E6-BA63798F7B82}" destId="{2958F119-94E5-644B-AFFA-CF7B6AFD97E4}" srcOrd="1" destOrd="0" presId="urn:microsoft.com/office/officeart/2005/8/layout/bProcess3"/>
    <dgm:cxn modelId="{66868C84-0D7F-3C48-9721-5A1E3F4174CC}" type="presParOf" srcId="{A7E5C240-7A36-5542-9B86-439E43E7EBFF}" destId="{7644D72B-9263-604F-A5DB-0CC2FE3ECC41}" srcOrd="0" destOrd="0" presId="urn:microsoft.com/office/officeart/2005/8/layout/bProcess3"/>
    <dgm:cxn modelId="{B01A66DA-F200-8741-90C4-B866CD8DBC06}" type="presParOf" srcId="{A7E5C240-7A36-5542-9B86-439E43E7EBFF}" destId="{A5A4C0D3-A27A-E748-A158-757FDD2CE5A9}" srcOrd="1" destOrd="0" presId="urn:microsoft.com/office/officeart/2005/8/layout/bProcess3"/>
    <dgm:cxn modelId="{8AE920F6-8507-994F-A0C3-0A330BF21878}" type="presParOf" srcId="{A5A4C0D3-A27A-E748-A158-757FDD2CE5A9}" destId="{2958F119-94E5-644B-AFFA-CF7B6AFD97E4}" srcOrd="0" destOrd="0" presId="urn:microsoft.com/office/officeart/2005/8/layout/bProcess3"/>
    <dgm:cxn modelId="{C40C7F54-EC95-7747-936D-A07AD35AEA4C}" type="presParOf" srcId="{A7E5C240-7A36-5542-9B86-439E43E7EBFF}" destId="{2264A325-30EC-454F-B553-D14112CA3E88}" srcOrd="2" destOrd="0" presId="urn:microsoft.com/office/officeart/2005/8/layout/bProcess3"/>
    <dgm:cxn modelId="{3754996D-723F-994A-BB1F-4B3E1CD0E683}" type="presParOf" srcId="{A7E5C240-7A36-5542-9B86-439E43E7EBFF}" destId="{D6D54444-36BD-3147-983C-C8901A9D8C10}" srcOrd="3" destOrd="0" presId="urn:microsoft.com/office/officeart/2005/8/layout/bProcess3"/>
    <dgm:cxn modelId="{0CDC7874-0C54-504C-9CF0-D569F0AC2F7E}" type="presParOf" srcId="{D6D54444-36BD-3147-983C-C8901A9D8C10}" destId="{CC64EBDE-19C8-0144-BE45-1132E371BFC3}" srcOrd="0" destOrd="0" presId="urn:microsoft.com/office/officeart/2005/8/layout/bProcess3"/>
    <dgm:cxn modelId="{43626E5D-B7AC-6342-BA98-DEA42031BC4B}" type="presParOf" srcId="{A7E5C240-7A36-5542-9B86-439E43E7EBFF}" destId="{C3BB232B-849E-1D42-802E-967F61AD4146}" srcOrd="4" destOrd="0" presId="urn:microsoft.com/office/officeart/2005/8/layout/bProcess3"/>
    <dgm:cxn modelId="{B388241B-29C2-8443-BE4C-C6E2F8185A1A}" type="presParOf" srcId="{A7E5C240-7A36-5542-9B86-439E43E7EBFF}" destId="{24B426FF-5610-A444-9F8C-BC9BBA9BA44E}" srcOrd="5" destOrd="0" presId="urn:microsoft.com/office/officeart/2005/8/layout/bProcess3"/>
    <dgm:cxn modelId="{C7165DA4-D5A6-8446-8EE8-164BB730B4BF}" type="presParOf" srcId="{24B426FF-5610-A444-9F8C-BC9BBA9BA44E}" destId="{4F841D4F-2255-C842-A16E-C023743808A2}" srcOrd="0" destOrd="0" presId="urn:microsoft.com/office/officeart/2005/8/layout/bProcess3"/>
    <dgm:cxn modelId="{9197A13D-E937-BF4D-A202-D81905AD1223}" type="presParOf" srcId="{A7E5C240-7A36-5542-9B86-439E43E7EBFF}" destId="{48F4CF3E-E33F-3643-95FF-2F3EEBADBCEC}" srcOrd="6" destOrd="0" presId="urn:microsoft.com/office/officeart/2005/8/layout/bProcess3"/>
    <dgm:cxn modelId="{DE776809-B326-3947-AD8C-EBF605F70637}" type="presParOf" srcId="{A7E5C240-7A36-5542-9B86-439E43E7EBFF}" destId="{EF969A95-3F1C-BF4E-B0D8-FEB4B8B4568F}" srcOrd="7" destOrd="0" presId="urn:microsoft.com/office/officeart/2005/8/layout/bProcess3"/>
    <dgm:cxn modelId="{48EC272B-40DD-274D-AC6E-64F1DEC5A0E1}" type="presParOf" srcId="{EF969A95-3F1C-BF4E-B0D8-FEB4B8B4568F}" destId="{0A6BC5A5-0461-E349-B8FD-702F651B52D2}" srcOrd="0" destOrd="0" presId="urn:microsoft.com/office/officeart/2005/8/layout/bProcess3"/>
    <dgm:cxn modelId="{FC1DC974-F54B-604A-83D5-B555D30D51B8}" type="presParOf" srcId="{A7E5C240-7A36-5542-9B86-439E43E7EBFF}" destId="{FFFFCA3E-9611-4F49-AF11-4C68CF720E3E}" srcOrd="8" destOrd="0" presId="urn:microsoft.com/office/officeart/2005/8/layout/bProcess3"/>
    <dgm:cxn modelId="{26D2E61D-8D30-7A48-91C3-5DC9E5ACA55B}" type="presParOf" srcId="{A7E5C240-7A36-5542-9B86-439E43E7EBFF}" destId="{E7738C7B-E941-6940-8FF9-E8677AED3508}" srcOrd="9" destOrd="0" presId="urn:microsoft.com/office/officeart/2005/8/layout/bProcess3"/>
    <dgm:cxn modelId="{40C792F1-B8D5-9748-B1E9-584E9D6C144C}" type="presParOf" srcId="{E7738C7B-E941-6940-8FF9-E8677AED3508}" destId="{560DF350-6CE3-404F-822A-AD6172F5F69B}" srcOrd="0" destOrd="0" presId="urn:microsoft.com/office/officeart/2005/8/layout/bProcess3"/>
    <dgm:cxn modelId="{BC9FA1AB-7875-9A46-A0AF-E9361B8D9E99}" type="presParOf" srcId="{A7E5C240-7A36-5542-9B86-439E43E7EBFF}" destId="{67343CA2-DB56-F544-9881-65202D5C8B4A}" srcOrd="10" destOrd="0" presId="urn:microsoft.com/office/officeart/2005/8/layout/bProcess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A4C0D3-A27A-E748-A158-757FDD2CE5A9}">
      <dsp:nvSpPr>
        <dsp:cNvPr id="0" name=""/>
        <dsp:cNvSpPr/>
      </dsp:nvSpPr>
      <dsp:spPr>
        <a:xfrm>
          <a:off x="1663863" y="397158"/>
          <a:ext cx="308897" cy="91440"/>
        </a:xfrm>
        <a:custGeom>
          <a:avLst/>
          <a:gdLst/>
          <a:ahLst/>
          <a:cxnLst/>
          <a:rect l="0" t="0" r="0" b="0"/>
          <a:pathLst>
            <a:path>
              <a:moveTo>
                <a:pt x="0" y="45720"/>
              </a:moveTo>
              <a:lnTo>
                <a:pt x="308897" y="45720"/>
              </a:lnTo>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1809824" y="441181"/>
        <a:ext cx="16974" cy="3394"/>
      </dsp:txXfrm>
    </dsp:sp>
    <dsp:sp modelId="{7644D72B-9263-604F-A5DB-0CC2FE3ECC41}">
      <dsp:nvSpPr>
        <dsp:cNvPr id="0" name=""/>
        <dsp:cNvSpPr/>
      </dsp:nvSpPr>
      <dsp:spPr>
        <a:xfrm>
          <a:off x="189586" y="55"/>
          <a:ext cx="1476077" cy="88564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Land-based pollution and destructive fishing </a:t>
          </a:r>
          <a:endParaRPr lang="en-US" sz="1000" kern="1200">
            <a:latin typeface="Arial" panose="020B0604020202020204" pitchFamily="34" charset="0"/>
            <a:cs typeface="Arial" panose="020B0604020202020204" pitchFamily="34" charset="0"/>
          </a:endParaRPr>
        </a:p>
      </dsp:txBody>
      <dsp:txXfrm>
        <a:off x="189586" y="55"/>
        <a:ext cx="1476077" cy="885646"/>
      </dsp:txXfrm>
    </dsp:sp>
    <dsp:sp modelId="{D6D54444-36BD-3147-983C-C8901A9D8C10}">
      <dsp:nvSpPr>
        <dsp:cNvPr id="0" name=""/>
        <dsp:cNvSpPr/>
      </dsp:nvSpPr>
      <dsp:spPr>
        <a:xfrm>
          <a:off x="3479438" y="397158"/>
          <a:ext cx="308897" cy="91440"/>
        </a:xfrm>
        <a:custGeom>
          <a:avLst/>
          <a:gdLst/>
          <a:ahLst/>
          <a:cxnLst/>
          <a:rect l="0" t="0" r="0" b="0"/>
          <a:pathLst>
            <a:path>
              <a:moveTo>
                <a:pt x="0" y="45720"/>
              </a:moveTo>
              <a:lnTo>
                <a:pt x="308897" y="45720"/>
              </a:lnTo>
            </a:path>
          </a:pathLst>
        </a:custGeom>
        <a:noFill/>
        <a:ln w="6350" cap="flat" cmpd="sng" algn="ctr">
          <a:solidFill>
            <a:schemeClr val="accent5">
              <a:hueOff val="-1689636"/>
              <a:satOff val="-4355"/>
              <a:lumOff val="-2941"/>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3625400" y="441181"/>
        <a:ext cx="16974" cy="3394"/>
      </dsp:txXfrm>
    </dsp:sp>
    <dsp:sp modelId="{2264A325-30EC-454F-B553-D14112CA3E88}">
      <dsp:nvSpPr>
        <dsp:cNvPr id="0" name=""/>
        <dsp:cNvSpPr/>
      </dsp:nvSpPr>
      <dsp:spPr>
        <a:xfrm>
          <a:off x="2005161" y="55"/>
          <a:ext cx="1476077" cy="885646"/>
        </a:xfrm>
        <a:prstGeom prst="rect">
          <a:avLst/>
        </a:prstGeom>
        <a:solidFill>
          <a:schemeClr val="accent5">
            <a:hueOff val="-1351709"/>
            <a:satOff val="-3484"/>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Habitat stress, presure, and loss </a:t>
          </a:r>
          <a:endParaRPr lang="en-US" sz="1000" kern="1200">
            <a:latin typeface="Arial" panose="020B0604020202020204" pitchFamily="34" charset="0"/>
            <a:cs typeface="Arial" panose="020B0604020202020204" pitchFamily="34" charset="0"/>
          </a:endParaRPr>
        </a:p>
      </dsp:txBody>
      <dsp:txXfrm>
        <a:off x="2005161" y="55"/>
        <a:ext cx="1476077" cy="885646"/>
      </dsp:txXfrm>
    </dsp:sp>
    <dsp:sp modelId="{24B426FF-5610-A444-9F8C-BC9BBA9BA44E}">
      <dsp:nvSpPr>
        <dsp:cNvPr id="0" name=""/>
        <dsp:cNvSpPr/>
      </dsp:nvSpPr>
      <dsp:spPr>
        <a:xfrm>
          <a:off x="927624" y="883902"/>
          <a:ext cx="3631150" cy="308897"/>
        </a:xfrm>
        <a:custGeom>
          <a:avLst/>
          <a:gdLst/>
          <a:ahLst/>
          <a:cxnLst/>
          <a:rect l="0" t="0" r="0" b="0"/>
          <a:pathLst>
            <a:path>
              <a:moveTo>
                <a:pt x="3631150" y="0"/>
              </a:moveTo>
              <a:lnTo>
                <a:pt x="3631150" y="171548"/>
              </a:lnTo>
              <a:lnTo>
                <a:pt x="0" y="171548"/>
              </a:lnTo>
              <a:lnTo>
                <a:pt x="0" y="308897"/>
              </a:lnTo>
            </a:path>
          </a:pathLst>
        </a:custGeom>
        <a:noFill/>
        <a:ln w="6350" cap="flat" cmpd="sng" algn="ctr">
          <a:solidFill>
            <a:schemeClr val="accent5">
              <a:hueOff val="-3379271"/>
              <a:satOff val="-8710"/>
              <a:lumOff val="-5883"/>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2652025" y="1036653"/>
        <a:ext cx="182349" cy="3394"/>
      </dsp:txXfrm>
    </dsp:sp>
    <dsp:sp modelId="{C3BB232B-849E-1D42-802E-967F61AD4146}">
      <dsp:nvSpPr>
        <dsp:cNvPr id="0" name=""/>
        <dsp:cNvSpPr/>
      </dsp:nvSpPr>
      <dsp:spPr>
        <a:xfrm>
          <a:off x="3820736" y="55"/>
          <a:ext cx="1476077" cy="885646"/>
        </a:xfrm>
        <a:prstGeom prst="rect">
          <a:avLst/>
        </a:prstGeom>
        <a:solidFill>
          <a:schemeClr val="accent5">
            <a:hueOff val="-2703417"/>
            <a:satOff val="-6968"/>
            <a:lumOff val="-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Declining biomass and catch value</a:t>
          </a:r>
          <a:endParaRPr lang="en-US" sz="1000" kern="1200">
            <a:latin typeface="Arial" panose="020B0604020202020204" pitchFamily="34" charset="0"/>
            <a:cs typeface="Arial" panose="020B0604020202020204" pitchFamily="34" charset="0"/>
          </a:endParaRPr>
        </a:p>
      </dsp:txBody>
      <dsp:txXfrm>
        <a:off x="3820736" y="55"/>
        <a:ext cx="1476077" cy="885646"/>
      </dsp:txXfrm>
    </dsp:sp>
    <dsp:sp modelId="{EF969A95-3F1C-BF4E-B0D8-FEB4B8B4568F}">
      <dsp:nvSpPr>
        <dsp:cNvPr id="0" name=""/>
        <dsp:cNvSpPr/>
      </dsp:nvSpPr>
      <dsp:spPr>
        <a:xfrm>
          <a:off x="1663863" y="1622303"/>
          <a:ext cx="308897" cy="91440"/>
        </a:xfrm>
        <a:custGeom>
          <a:avLst/>
          <a:gdLst/>
          <a:ahLst/>
          <a:cxnLst/>
          <a:rect l="0" t="0" r="0" b="0"/>
          <a:pathLst>
            <a:path>
              <a:moveTo>
                <a:pt x="0" y="45720"/>
              </a:moveTo>
              <a:lnTo>
                <a:pt x="308897" y="45720"/>
              </a:lnTo>
            </a:path>
          </a:pathLst>
        </a:custGeom>
        <a:noFill/>
        <a:ln w="6350" cap="flat" cmpd="sng" algn="ctr">
          <a:solidFill>
            <a:schemeClr val="accent5">
              <a:hueOff val="-5068907"/>
              <a:satOff val="-13064"/>
              <a:lumOff val="-8824"/>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1809824" y="1666325"/>
        <a:ext cx="16974" cy="3394"/>
      </dsp:txXfrm>
    </dsp:sp>
    <dsp:sp modelId="{48F4CF3E-E33F-3643-95FF-2F3EEBADBCEC}">
      <dsp:nvSpPr>
        <dsp:cNvPr id="0" name=""/>
        <dsp:cNvSpPr/>
      </dsp:nvSpPr>
      <dsp:spPr>
        <a:xfrm>
          <a:off x="189586" y="1225199"/>
          <a:ext cx="1476077" cy="885646"/>
        </a:xfrm>
        <a:prstGeom prst="rect">
          <a:avLst/>
        </a:prstGeom>
        <a:solidFill>
          <a:schemeClr val="accent5">
            <a:hueOff val="-4055126"/>
            <a:satOff val="-10451"/>
            <a:lumOff val="-705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Lower and more insecure incomes </a:t>
          </a:r>
          <a:endParaRPr lang="en-US" sz="1000" kern="1200">
            <a:latin typeface="Arial" panose="020B0604020202020204" pitchFamily="34" charset="0"/>
            <a:cs typeface="Arial" panose="020B0604020202020204" pitchFamily="34" charset="0"/>
          </a:endParaRPr>
        </a:p>
      </dsp:txBody>
      <dsp:txXfrm>
        <a:off x="189586" y="1225199"/>
        <a:ext cx="1476077" cy="885646"/>
      </dsp:txXfrm>
    </dsp:sp>
    <dsp:sp modelId="{E7738C7B-E941-6940-8FF9-E8677AED3508}">
      <dsp:nvSpPr>
        <dsp:cNvPr id="0" name=""/>
        <dsp:cNvSpPr/>
      </dsp:nvSpPr>
      <dsp:spPr>
        <a:xfrm>
          <a:off x="3479438" y="1622303"/>
          <a:ext cx="308897" cy="91440"/>
        </a:xfrm>
        <a:custGeom>
          <a:avLst/>
          <a:gdLst/>
          <a:ahLst/>
          <a:cxnLst/>
          <a:rect l="0" t="0" r="0" b="0"/>
          <a:pathLst>
            <a:path>
              <a:moveTo>
                <a:pt x="0" y="45720"/>
              </a:moveTo>
              <a:lnTo>
                <a:pt x="308897" y="45720"/>
              </a:lnTo>
            </a:path>
          </a:pathLst>
        </a:custGeom>
        <a:noFill/>
        <a:ln w="6350" cap="flat" cmpd="sng" algn="ctr">
          <a:solidFill>
            <a:schemeClr val="accent5">
              <a:hueOff val="-6758543"/>
              <a:satOff val="-17419"/>
              <a:lumOff val="-1176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3625400" y="1666325"/>
        <a:ext cx="16974" cy="3394"/>
      </dsp:txXfrm>
    </dsp:sp>
    <dsp:sp modelId="{FFFFCA3E-9611-4F49-AF11-4C68CF720E3E}">
      <dsp:nvSpPr>
        <dsp:cNvPr id="0" name=""/>
        <dsp:cNvSpPr/>
      </dsp:nvSpPr>
      <dsp:spPr>
        <a:xfrm>
          <a:off x="2005161" y="1225199"/>
          <a:ext cx="1476077" cy="885646"/>
        </a:xfrm>
        <a:prstGeom prst="rect">
          <a:avLst/>
        </a:prstGeom>
        <a:solidFill>
          <a:schemeClr val="accent5">
            <a:hueOff val="-5406834"/>
            <a:satOff val="-13935"/>
            <a:lumOff val="-941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Higher fishing effort and risk-taking</a:t>
          </a:r>
          <a:endParaRPr lang="en-US" sz="1000" kern="1200">
            <a:latin typeface="Arial" panose="020B0604020202020204" pitchFamily="34" charset="0"/>
            <a:cs typeface="Arial" panose="020B0604020202020204" pitchFamily="34" charset="0"/>
          </a:endParaRPr>
        </a:p>
      </dsp:txBody>
      <dsp:txXfrm>
        <a:off x="2005161" y="1225199"/>
        <a:ext cx="1476077" cy="885646"/>
      </dsp:txXfrm>
    </dsp:sp>
    <dsp:sp modelId="{67343CA2-DB56-F544-9881-65202D5C8B4A}">
      <dsp:nvSpPr>
        <dsp:cNvPr id="0" name=""/>
        <dsp:cNvSpPr/>
      </dsp:nvSpPr>
      <dsp:spPr>
        <a:xfrm>
          <a:off x="3820736" y="1225199"/>
          <a:ext cx="1476077" cy="885646"/>
        </a:xfrm>
        <a:prstGeom prst="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Further habitat damage and pollution sensitivity</a:t>
          </a:r>
          <a:endParaRPr lang="en-US" sz="1000" kern="1200">
            <a:latin typeface="Arial" panose="020B0604020202020204" pitchFamily="34" charset="0"/>
            <a:cs typeface="Arial" panose="020B0604020202020204" pitchFamily="34" charset="0"/>
          </a:endParaRPr>
        </a:p>
      </dsp:txBody>
      <dsp:txXfrm>
        <a:off x="3820736" y="1225199"/>
        <a:ext cx="1476077" cy="885646"/>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76BF45-D4F0-E542-8DDD-9F98D125E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13757</Words>
  <Characters>86812</Characters>
  <Application>Microsoft Office Word</Application>
  <DocSecurity>0</DocSecurity>
  <Lines>2712</Lines>
  <Paragraphs>1273</Paragraphs>
  <ScaleCrop>false</ScaleCrop>
  <HeadingPairs>
    <vt:vector size="4" baseType="variant">
      <vt:variant>
        <vt:lpstr>Title</vt:lpstr>
      </vt:variant>
      <vt:variant>
        <vt:i4>1</vt:i4>
      </vt:variant>
      <vt:variant>
        <vt:lpstr>Headings</vt:lpstr>
      </vt:variant>
      <vt:variant>
        <vt:i4>9</vt:i4>
      </vt:variant>
    </vt:vector>
  </HeadingPairs>
  <TitlesOfParts>
    <vt:vector size="10" baseType="lpstr">
      <vt:lpstr/>
      <vt:lpstr>7. Conclusion</vt:lpstr>
      <vt:lpstr>    7.1 Meeting the TDA Objectives</vt:lpstr>
      <vt:lpstr>    7.2 Key Conclusions and Cross-Cutting Interactions </vt:lpstr>
      <vt:lpstr>    7.3 Patterns of Risk Among Spatial Units of Analyses and at Country Scale</vt:lpstr>
      <vt:lpstr>    7.4 Target Audience</vt:lpstr>
      <vt:lpstr>    7.5 Future Indicator-Based Environmental Assessments</vt:lpstr>
      <vt:lpstr>    7.6. Overall Conclusion</vt:lpstr>
      <vt:lpstr>    Reference </vt:lpstr>
      <vt:lpstr>    Annex 7</vt:lpstr>
    </vt:vector>
  </TitlesOfParts>
  <Company/>
  <LinksUpToDate>false</LinksUpToDate>
  <CharactersWithSpaces>99296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2025-12-21T10:55:00Z</cp:lastPrinted>
  <dcterms:created xsi:type="dcterms:W3CDTF">2025-12-21T10:55:00Z</dcterms:created>
  <dcterms:modified xsi:type="dcterms:W3CDTF">2025-12-21T10:55:00Z</dcterms:modified>
</cp:coreProperties>
</file>