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47DF8" w:rsidRPr="00BF4AA8" w:rsidRDefault="00647DF8" w:rsidP="00647DF8">
      <w:pPr>
        <w:rPr>
          <w:rFonts w:ascii="Arial" w:hAnsi="Arial" w:cs="Arial"/>
          <w:b/>
          <w:bCs/>
          <w:sz w:val="44"/>
          <w:szCs w:val="44"/>
        </w:rPr>
      </w:pPr>
      <w:r w:rsidRPr="00BF4AA8">
        <w:rPr>
          <w:rFonts w:ascii="Arial" w:hAnsi="Arial" w:cs="Arial"/>
          <w:b/>
          <w:bCs/>
          <w:sz w:val="44"/>
          <w:szCs w:val="44"/>
        </w:rPr>
        <w:t xml:space="preserve">Chapter </w:t>
      </w:r>
      <w:r w:rsidR="0085713E" w:rsidRPr="00BF4AA8">
        <w:rPr>
          <w:rFonts w:ascii="Arial" w:hAnsi="Arial" w:cs="Arial"/>
          <w:b/>
          <w:bCs/>
          <w:color w:val="002060"/>
          <w:sz w:val="44"/>
          <w:szCs w:val="44"/>
        </w:rPr>
        <w:t>Annex</w:t>
      </w:r>
    </w:p>
    <w:p w:rsidR="00647DF8" w:rsidRPr="00BF4AA8" w:rsidRDefault="00647DF8" w:rsidP="00647DF8">
      <w:pPr>
        <w:rPr>
          <w:rFonts w:ascii="Arial" w:hAnsi="Arial" w:cs="Arial"/>
          <w:b/>
          <w:bCs/>
        </w:rPr>
      </w:pPr>
    </w:p>
    <w:p w:rsidR="00647DF8" w:rsidRPr="00BF4AA8" w:rsidRDefault="00647DF8" w:rsidP="00647DF8">
      <w:pPr>
        <w:rPr>
          <w:rFonts w:ascii="Arial" w:hAnsi="Arial" w:cs="Arial"/>
          <w:b/>
          <w:bCs/>
        </w:rPr>
      </w:pPr>
    </w:p>
    <w:p w:rsidR="00647DF8" w:rsidRPr="00BF4AA8" w:rsidRDefault="00647DF8" w:rsidP="00647DF8">
      <w:pPr>
        <w:rPr>
          <w:rFonts w:ascii="Arial" w:hAnsi="Arial" w:cs="Arial"/>
          <w:b/>
          <w:bCs/>
        </w:rPr>
      </w:pPr>
    </w:p>
    <w:p w:rsidR="00647DF8" w:rsidRPr="00BF4AA8" w:rsidRDefault="00647DF8" w:rsidP="00647DF8">
      <w:pPr>
        <w:rPr>
          <w:rFonts w:ascii="Arial" w:hAnsi="Arial" w:cs="Arial"/>
          <w:b/>
          <w:bCs/>
        </w:rPr>
      </w:pPr>
    </w:p>
    <w:p w:rsidR="00647DF8" w:rsidRPr="00BF4AA8" w:rsidRDefault="00647DF8" w:rsidP="00647DF8">
      <w:pPr>
        <w:rPr>
          <w:rFonts w:ascii="Arial" w:hAnsi="Arial" w:cs="Arial"/>
          <w:b/>
          <w:bCs/>
        </w:rPr>
      </w:pPr>
    </w:p>
    <w:p w:rsidR="00647DF8" w:rsidRPr="00BF4AA8" w:rsidRDefault="00647DF8" w:rsidP="00647DF8">
      <w:pPr>
        <w:rPr>
          <w:rFonts w:ascii="Arial" w:hAnsi="Arial" w:cs="Arial"/>
          <w:b/>
          <w:bCs/>
        </w:rPr>
      </w:pPr>
    </w:p>
    <w:p w:rsidR="00647DF8" w:rsidRPr="00BF4AA8" w:rsidRDefault="00647DF8" w:rsidP="00647DF8">
      <w:pPr>
        <w:rPr>
          <w:rFonts w:ascii="Arial" w:hAnsi="Arial" w:cs="Arial"/>
          <w:b/>
          <w:bCs/>
        </w:rPr>
      </w:pPr>
    </w:p>
    <w:p w:rsidR="00647DF8" w:rsidRPr="00BF4AA8" w:rsidRDefault="00647DF8" w:rsidP="00647DF8">
      <w:pPr>
        <w:rPr>
          <w:rFonts w:ascii="Arial" w:hAnsi="Arial" w:cs="Arial"/>
          <w:b/>
          <w:bCs/>
        </w:rPr>
      </w:pPr>
    </w:p>
    <w:p w:rsidR="00647DF8" w:rsidRPr="00BF4AA8" w:rsidRDefault="00647DF8" w:rsidP="00647DF8">
      <w:pPr>
        <w:spacing w:line="276" w:lineRule="auto"/>
        <w:rPr>
          <w:rFonts w:ascii="Arial" w:hAnsi="Arial" w:cs="Arial"/>
          <w:b/>
          <w:bCs/>
        </w:rPr>
      </w:pPr>
      <w:r w:rsidRPr="00BF4AA8">
        <w:rPr>
          <w:rFonts w:ascii="Arial" w:hAnsi="Arial" w:cs="Arial"/>
          <w:b/>
          <w:bCs/>
        </w:rPr>
        <w:t xml:space="preserve">Version: </w:t>
      </w:r>
      <w:r w:rsidR="0085713E" w:rsidRPr="00BF4AA8">
        <w:rPr>
          <w:rFonts w:ascii="Arial" w:hAnsi="Arial" w:cs="Arial"/>
        </w:rPr>
        <w:t>Second</w:t>
      </w:r>
      <w:r w:rsidRPr="00BF4AA8">
        <w:rPr>
          <w:rFonts w:ascii="Arial" w:hAnsi="Arial" w:cs="Arial"/>
        </w:rPr>
        <w:t xml:space="preserve"> Draft</w:t>
      </w:r>
    </w:p>
    <w:p w:rsidR="00647DF8" w:rsidRPr="00BF4AA8" w:rsidRDefault="00647DF8" w:rsidP="00647DF8">
      <w:pPr>
        <w:spacing w:line="276" w:lineRule="auto"/>
        <w:rPr>
          <w:rFonts w:ascii="Arial" w:hAnsi="Arial" w:cs="Arial"/>
          <w:b/>
          <w:bCs/>
        </w:rPr>
      </w:pPr>
      <w:r w:rsidRPr="00BF4AA8">
        <w:rPr>
          <w:rFonts w:ascii="Arial" w:hAnsi="Arial" w:cs="Arial"/>
          <w:b/>
          <w:bCs/>
        </w:rPr>
        <w:t xml:space="preserve">Date: </w:t>
      </w:r>
      <w:r w:rsidR="0085713E" w:rsidRPr="00BF4AA8">
        <w:rPr>
          <w:rFonts w:ascii="Arial" w:hAnsi="Arial" w:cs="Arial"/>
        </w:rPr>
        <w:t>15</w:t>
      </w:r>
      <w:r w:rsidRPr="00BF4AA8">
        <w:rPr>
          <w:rFonts w:ascii="Arial" w:hAnsi="Arial" w:cs="Arial"/>
          <w:vertAlign w:val="superscript"/>
        </w:rPr>
        <w:t>th</w:t>
      </w:r>
      <w:r w:rsidRPr="00BF4AA8">
        <w:rPr>
          <w:rFonts w:ascii="Arial" w:hAnsi="Arial" w:cs="Arial"/>
        </w:rPr>
        <w:t xml:space="preserve"> </w:t>
      </w:r>
      <w:r w:rsidR="0085713E" w:rsidRPr="00BF4AA8">
        <w:rPr>
          <w:rFonts w:ascii="Arial" w:hAnsi="Arial" w:cs="Arial"/>
        </w:rPr>
        <w:t>December</w:t>
      </w:r>
      <w:r w:rsidRPr="00BF4AA8">
        <w:rPr>
          <w:rFonts w:ascii="Arial" w:hAnsi="Arial" w:cs="Arial"/>
        </w:rPr>
        <w:t xml:space="preserve"> 2025</w:t>
      </w:r>
    </w:p>
    <w:p w:rsidR="00BF4AA8" w:rsidRDefault="00647DF8" w:rsidP="00647DF8">
      <w:pPr>
        <w:spacing w:line="276" w:lineRule="auto"/>
        <w:rPr>
          <w:rFonts w:ascii="Arial" w:hAnsi="Arial" w:cs="Arial"/>
        </w:rPr>
      </w:pPr>
      <w:r w:rsidRPr="00BF4AA8">
        <w:rPr>
          <w:rFonts w:ascii="Arial" w:hAnsi="Arial" w:cs="Arial"/>
          <w:b/>
          <w:bCs/>
        </w:rPr>
        <w:t xml:space="preserve">Country: </w:t>
      </w:r>
      <w:r w:rsidRPr="00BF4AA8">
        <w:rPr>
          <w:rFonts w:ascii="Arial" w:hAnsi="Arial" w:cs="Arial"/>
        </w:rPr>
        <w:t>Cambodia [KHM]</w:t>
      </w:r>
    </w:p>
    <w:p w:rsidR="00BF4AA8" w:rsidRDefault="00BF4AA8" w:rsidP="00BF4AA8">
      <w:pPr>
        <w:spacing w:line="276" w:lineRule="auto"/>
        <w:rPr>
          <w:rFonts w:ascii="Arial" w:hAnsi="Arial" w:cs="Arial"/>
        </w:rPr>
      </w:pPr>
      <w:r>
        <w:rPr>
          <w:rFonts w:ascii="Arial" w:hAnsi="Arial" w:cs="Arial"/>
        </w:rPr>
        <w:br w:type="column"/>
      </w:r>
    </w:p>
    <w:sdt>
      <w:sdtPr>
        <w:rPr>
          <w:rFonts w:ascii="Times New Roman" w:eastAsia="Times New Roman" w:hAnsi="Times New Roman" w:cs="Times New Roman"/>
          <w:b w:val="0"/>
          <w:bCs w:val="0"/>
          <w:color w:val="auto"/>
          <w:sz w:val="24"/>
          <w:szCs w:val="24"/>
        </w:rPr>
        <w:id w:val="-760525331"/>
        <w:docPartObj>
          <w:docPartGallery w:val="Table of Contents"/>
          <w:docPartUnique/>
        </w:docPartObj>
      </w:sdtPr>
      <w:sdtEndPr>
        <w:rPr>
          <w:noProof/>
        </w:rPr>
      </w:sdtEndPr>
      <w:sdtContent>
        <w:p w:rsidR="00BF4AA8" w:rsidRPr="00BF4AA8" w:rsidRDefault="00BF4AA8" w:rsidP="00BF4AA8">
          <w:pPr>
            <w:pStyle w:val="TOCHeading"/>
            <w:rPr>
              <w:rFonts w:ascii="Arial" w:hAnsi="Arial" w:cs="Arial"/>
            </w:rPr>
          </w:pPr>
          <w:r w:rsidRPr="00BF4AA8">
            <w:rPr>
              <w:rFonts w:ascii="Arial" w:hAnsi="Arial" w:cs="Arial"/>
            </w:rPr>
            <w:t>Table of Contents</w:t>
          </w:r>
        </w:p>
        <w:p w:rsidR="00BF4AA8" w:rsidRPr="00BF4AA8" w:rsidRDefault="00BF4AA8">
          <w:pPr>
            <w:pStyle w:val="TOC1"/>
            <w:tabs>
              <w:tab w:val="right" w:leader="dot" w:pos="9010"/>
            </w:tabs>
            <w:rPr>
              <w:rFonts w:ascii="Arial" w:eastAsiaTheme="minorEastAsia" w:hAnsi="Arial" w:cs="Arial"/>
              <w:i w:val="0"/>
              <w:iCs w:val="0"/>
              <w:noProof/>
              <w:kern w:val="2"/>
              <w:sz w:val="22"/>
              <w:szCs w:val="22"/>
              <w14:ligatures w14:val="standardContextual"/>
            </w:rPr>
          </w:pPr>
          <w:r w:rsidRPr="00BF4AA8">
            <w:rPr>
              <w:rFonts w:ascii="Arial" w:hAnsi="Arial" w:cs="Arial"/>
              <w:sz w:val="22"/>
              <w:szCs w:val="22"/>
            </w:rPr>
            <w:fldChar w:fldCharType="begin"/>
          </w:r>
          <w:r w:rsidRPr="00BF4AA8">
            <w:rPr>
              <w:rFonts w:ascii="Arial" w:hAnsi="Arial" w:cs="Arial"/>
              <w:sz w:val="22"/>
              <w:szCs w:val="22"/>
            </w:rPr>
            <w:instrText xml:space="preserve"> TOC \o "1-3" \h \z \u </w:instrText>
          </w:r>
          <w:r w:rsidRPr="00BF4AA8">
            <w:rPr>
              <w:rFonts w:ascii="Arial" w:hAnsi="Arial" w:cs="Arial"/>
              <w:sz w:val="22"/>
              <w:szCs w:val="22"/>
            </w:rPr>
            <w:fldChar w:fldCharType="separate"/>
          </w:r>
          <w:hyperlink w:anchor="_Toc216681442" w:history="1">
            <w:r w:rsidRPr="00BF4AA8">
              <w:rPr>
                <w:rStyle w:val="Hyperlink"/>
                <w:rFonts w:ascii="Arial" w:hAnsi="Arial" w:cs="Arial"/>
                <w:noProof/>
                <w:sz w:val="22"/>
                <w:szCs w:val="22"/>
              </w:rPr>
              <w:t>Annex 1</w:t>
            </w:r>
            <w:r w:rsidRPr="00BF4AA8">
              <w:rPr>
                <w:rFonts w:ascii="Arial" w:hAnsi="Arial" w:cs="Arial"/>
                <w:noProof/>
                <w:webHidden/>
                <w:sz w:val="22"/>
                <w:szCs w:val="22"/>
              </w:rPr>
              <w:tab/>
            </w:r>
            <w:r w:rsidRPr="00BF4AA8">
              <w:rPr>
                <w:rFonts w:ascii="Arial" w:hAnsi="Arial" w:cs="Arial"/>
                <w:noProof/>
                <w:webHidden/>
                <w:sz w:val="22"/>
                <w:szCs w:val="22"/>
              </w:rPr>
              <w:fldChar w:fldCharType="begin"/>
            </w:r>
            <w:r w:rsidRPr="00BF4AA8">
              <w:rPr>
                <w:rFonts w:ascii="Arial" w:hAnsi="Arial" w:cs="Arial"/>
                <w:noProof/>
                <w:webHidden/>
                <w:sz w:val="22"/>
                <w:szCs w:val="22"/>
              </w:rPr>
              <w:instrText xml:space="preserve"> PAGEREF _Toc216681442 \h </w:instrText>
            </w:r>
            <w:r w:rsidRPr="00BF4AA8">
              <w:rPr>
                <w:rFonts w:ascii="Arial" w:hAnsi="Arial" w:cs="Arial"/>
                <w:noProof/>
                <w:webHidden/>
                <w:sz w:val="22"/>
                <w:szCs w:val="22"/>
              </w:rPr>
            </w:r>
            <w:r w:rsidRPr="00BF4AA8">
              <w:rPr>
                <w:rFonts w:ascii="Arial" w:hAnsi="Arial" w:cs="Arial"/>
                <w:noProof/>
                <w:webHidden/>
                <w:sz w:val="22"/>
                <w:szCs w:val="22"/>
              </w:rPr>
              <w:fldChar w:fldCharType="separate"/>
            </w:r>
            <w:r w:rsidR="00836984">
              <w:rPr>
                <w:rFonts w:ascii="Arial" w:hAnsi="Arial" w:cs="Arial"/>
                <w:noProof/>
                <w:webHidden/>
                <w:sz w:val="22"/>
                <w:szCs w:val="22"/>
              </w:rPr>
              <w:t>1</w:t>
            </w:r>
            <w:r w:rsidRPr="00BF4AA8">
              <w:rPr>
                <w:rFonts w:ascii="Arial" w:hAnsi="Arial" w:cs="Arial"/>
                <w:noProof/>
                <w:webHidden/>
                <w:sz w:val="22"/>
                <w:szCs w:val="22"/>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43" w:history="1">
            <w:r w:rsidR="00BF4AA8" w:rsidRPr="00BF4AA8">
              <w:rPr>
                <w:rStyle w:val="Hyperlink"/>
                <w:rFonts w:ascii="Arial" w:hAnsi="Arial" w:cs="Arial"/>
                <w:noProof/>
                <w:sz w:val="21"/>
                <w:szCs w:val="21"/>
              </w:rPr>
              <w:t>Annex 1-1 Comparative Assessment: Major Water-Related Environmental Problems (2000 vs 2025)</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_Toc216681443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1</w:t>
            </w:r>
            <w:r w:rsidR="00BF4AA8" w:rsidRPr="00BF4AA8">
              <w:rPr>
                <w:rFonts w:ascii="Arial" w:hAnsi="Arial" w:cs="Arial"/>
                <w:noProof/>
                <w:webHidden/>
                <w:sz w:val="21"/>
                <w:szCs w:val="21"/>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44" w:history="1">
            <w:r w:rsidR="00BF4AA8" w:rsidRPr="00BF4AA8">
              <w:rPr>
                <w:rStyle w:val="Hyperlink"/>
                <w:rFonts w:ascii="Arial" w:hAnsi="Arial" w:cs="Arial"/>
                <w:noProof/>
                <w:sz w:val="21"/>
                <w:szCs w:val="21"/>
              </w:rPr>
              <w:t>Annex 1-2 New or Intensifying Issues Not Assessed in 2000</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_Toc216681444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5</w:t>
            </w:r>
            <w:r w:rsidR="00BF4AA8" w:rsidRPr="00BF4AA8">
              <w:rPr>
                <w:rFonts w:ascii="Arial" w:hAnsi="Arial" w:cs="Arial"/>
                <w:noProof/>
                <w:webHidden/>
                <w:sz w:val="21"/>
                <w:szCs w:val="21"/>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45" w:history="1">
            <w:r w:rsidR="00BF4AA8" w:rsidRPr="00BF4AA8">
              <w:rPr>
                <w:rStyle w:val="Hyperlink"/>
                <w:rFonts w:ascii="Arial" w:hAnsi="Arial" w:cs="Arial"/>
                <w:noProof/>
                <w:sz w:val="21"/>
                <w:szCs w:val="21"/>
              </w:rPr>
              <w:t>Annex 1-3 Subnational Geographic Divisions</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_Toc216681445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8</w:t>
            </w:r>
            <w:r w:rsidR="00BF4AA8" w:rsidRPr="00BF4AA8">
              <w:rPr>
                <w:rFonts w:ascii="Arial" w:hAnsi="Arial" w:cs="Arial"/>
                <w:noProof/>
                <w:webHidden/>
                <w:sz w:val="21"/>
                <w:szCs w:val="21"/>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46" w:history="1">
            <w:r w:rsidR="00BF4AA8" w:rsidRPr="00BF4AA8">
              <w:rPr>
                <w:rStyle w:val="Hyperlink"/>
                <w:rFonts w:ascii="Arial" w:hAnsi="Arial" w:cs="Arial"/>
                <w:noProof/>
                <w:sz w:val="21"/>
                <w:szCs w:val="21"/>
              </w:rPr>
              <w:t>Annex 1-4 Indicator Inventory</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_Toc216681446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9</w:t>
            </w:r>
            <w:r w:rsidR="00BF4AA8" w:rsidRPr="00BF4AA8">
              <w:rPr>
                <w:rFonts w:ascii="Arial" w:hAnsi="Arial" w:cs="Arial"/>
                <w:noProof/>
                <w:webHidden/>
                <w:sz w:val="21"/>
                <w:szCs w:val="21"/>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47" w:history="1">
            <w:r w:rsidR="00BF4AA8" w:rsidRPr="00BF4AA8">
              <w:rPr>
                <w:rStyle w:val="Hyperlink"/>
                <w:rFonts w:ascii="Arial" w:hAnsi="Arial" w:cs="Arial"/>
                <w:noProof/>
                <w:sz w:val="21"/>
                <w:szCs w:val="21"/>
              </w:rPr>
              <w:t>Annex 1-5 Expanded Risk-Assessment Methods</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_Toc216681447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9</w:t>
            </w:r>
            <w:r w:rsidR="00BF4AA8" w:rsidRPr="00BF4AA8">
              <w:rPr>
                <w:rFonts w:ascii="Arial" w:hAnsi="Arial" w:cs="Arial"/>
                <w:noProof/>
                <w:webHidden/>
                <w:sz w:val="21"/>
                <w:szCs w:val="21"/>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48" w:history="1">
            <w:r w:rsidR="00BF4AA8" w:rsidRPr="00BF4AA8">
              <w:rPr>
                <w:rStyle w:val="Hyperlink"/>
                <w:rFonts w:ascii="Arial" w:hAnsi="Arial" w:cs="Arial"/>
                <w:noProof/>
                <w:sz w:val="21"/>
                <w:szCs w:val="21"/>
              </w:rPr>
              <w:t>Annex 1-6 Supplementary Notes (Supporting Materials)</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_Toc216681448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12</w:t>
            </w:r>
            <w:r w:rsidR="00BF4AA8" w:rsidRPr="00BF4AA8">
              <w:rPr>
                <w:rFonts w:ascii="Arial" w:hAnsi="Arial" w:cs="Arial"/>
                <w:noProof/>
                <w:webHidden/>
                <w:sz w:val="21"/>
                <w:szCs w:val="21"/>
              </w:rPr>
              <w:fldChar w:fldCharType="end"/>
            </w:r>
          </w:hyperlink>
        </w:p>
        <w:p w:rsidR="00BF4AA8" w:rsidRPr="00BF4AA8" w:rsidRDefault="00000000">
          <w:pPr>
            <w:pStyle w:val="TOC1"/>
            <w:tabs>
              <w:tab w:val="right" w:leader="dot" w:pos="9010"/>
            </w:tabs>
            <w:rPr>
              <w:rFonts w:ascii="Arial" w:eastAsiaTheme="minorEastAsia" w:hAnsi="Arial" w:cs="Arial"/>
              <w:i w:val="0"/>
              <w:iCs w:val="0"/>
              <w:noProof/>
              <w:kern w:val="2"/>
              <w:sz w:val="22"/>
              <w:szCs w:val="22"/>
              <w14:ligatures w14:val="standardContextual"/>
            </w:rPr>
          </w:pPr>
          <w:hyperlink w:anchor="_Toc216681449" w:history="1">
            <w:r w:rsidR="00BF4AA8" w:rsidRPr="00BF4AA8">
              <w:rPr>
                <w:rStyle w:val="Hyperlink"/>
                <w:rFonts w:ascii="Arial" w:hAnsi="Arial" w:cs="Arial"/>
                <w:noProof/>
                <w:sz w:val="22"/>
                <w:szCs w:val="22"/>
              </w:rPr>
              <w:t>Annex 2</w:t>
            </w:r>
            <w:r w:rsidR="00BF4AA8" w:rsidRPr="00BF4AA8">
              <w:rPr>
                <w:rFonts w:ascii="Arial" w:hAnsi="Arial" w:cs="Arial"/>
                <w:noProof/>
                <w:webHidden/>
                <w:sz w:val="22"/>
                <w:szCs w:val="22"/>
              </w:rPr>
              <w:tab/>
            </w:r>
            <w:r w:rsidR="00BF4AA8" w:rsidRPr="00BF4AA8">
              <w:rPr>
                <w:rFonts w:ascii="Arial" w:hAnsi="Arial" w:cs="Arial"/>
                <w:noProof/>
                <w:webHidden/>
                <w:sz w:val="22"/>
                <w:szCs w:val="22"/>
              </w:rPr>
              <w:fldChar w:fldCharType="begin"/>
            </w:r>
            <w:r w:rsidR="00BF4AA8" w:rsidRPr="00BF4AA8">
              <w:rPr>
                <w:rFonts w:ascii="Arial" w:hAnsi="Arial" w:cs="Arial"/>
                <w:noProof/>
                <w:webHidden/>
                <w:sz w:val="22"/>
                <w:szCs w:val="22"/>
              </w:rPr>
              <w:instrText xml:space="preserve"> PAGEREF _Toc216681449 \h </w:instrText>
            </w:r>
            <w:r w:rsidR="00BF4AA8" w:rsidRPr="00BF4AA8">
              <w:rPr>
                <w:rFonts w:ascii="Arial" w:hAnsi="Arial" w:cs="Arial"/>
                <w:noProof/>
                <w:webHidden/>
                <w:sz w:val="22"/>
                <w:szCs w:val="22"/>
              </w:rPr>
            </w:r>
            <w:r w:rsidR="00BF4AA8" w:rsidRPr="00BF4AA8">
              <w:rPr>
                <w:rFonts w:ascii="Arial" w:hAnsi="Arial" w:cs="Arial"/>
                <w:noProof/>
                <w:webHidden/>
                <w:sz w:val="22"/>
                <w:szCs w:val="22"/>
              </w:rPr>
              <w:fldChar w:fldCharType="separate"/>
            </w:r>
            <w:r w:rsidR="00836984">
              <w:rPr>
                <w:rFonts w:ascii="Arial" w:hAnsi="Arial" w:cs="Arial"/>
                <w:noProof/>
                <w:webHidden/>
                <w:sz w:val="22"/>
                <w:szCs w:val="22"/>
              </w:rPr>
              <w:t>16</w:t>
            </w:r>
            <w:r w:rsidR="00BF4AA8" w:rsidRPr="00BF4AA8">
              <w:rPr>
                <w:rFonts w:ascii="Arial" w:hAnsi="Arial" w:cs="Arial"/>
                <w:noProof/>
                <w:webHidden/>
                <w:sz w:val="22"/>
                <w:szCs w:val="22"/>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50" w:history="1">
            <w:r w:rsidR="00BF4AA8" w:rsidRPr="00BF4AA8">
              <w:rPr>
                <w:rStyle w:val="Hyperlink"/>
                <w:rFonts w:ascii="Arial" w:hAnsi="Arial" w:cs="Arial"/>
                <w:noProof/>
                <w:sz w:val="21"/>
                <w:szCs w:val="21"/>
              </w:rPr>
              <w:t>Annex 2-1 Dataset and analysis framework, and complimentary note</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_Toc216681450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16</w:t>
            </w:r>
            <w:r w:rsidR="00BF4AA8" w:rsidRPr="00BF4AA8">
              <w:rPr>
                <w:rFonts w:ascii="Arial" w:hAnsi="Arial" w:cs="Arial"/>
                <w:noProof/>
                <w:webHidden/>
                <w:sz w:val="21"/>
                <w:szCs w:val="21"/>
              </w:rPr>
              <w:fldChar w:fldCharType="end"/>
            </w:r>
          </w:hyperlink>
        </w:p>
        <w:p w:rsidR="00BF4AA8" w:rsidRPr="00BF4AA8" w:rsidRDefault="00000000">
          <w:pPr>
            <w:pStyle w:val="TOC1"/>
            <w:tabs>
              <w:tab w:val="right" w:leader="dot" w:pos="9010"/>
            </w:tabs>
            <w:rPr>
              <w:rFonts w:ascii="Arial" w:eastAsiaTheme="minorEastAsia" w:hAnsi="Arial" w:cs="Arial"/>
              <w:i w:val="0"/>
              <w:iCs w:val="0"/>
              <w:noProof/>
              <w:kern w:val="2"/>
              <w:sz w:val="22"/>
              <w:szCs w:val="22"/>
              <w14:ligatures w14:val="standardContextual"/>
            </w:rPr>
          </w:pPr>
          <w:hyperlink w:anchor="_Toc216681451" w:history="1">
            <w:r w:rsidR="00BF4AA8" w:rsidRPr="00BF4AA8">
              <w:rPr>
                <w:rStyle w:val="Hyperlink"/>
                <w:rFonts w:ascii="Arial" w:hAnsi="Arial" w:cs="Arial"/>
                <w:noProof/>
                <w:sz w:val="22"/>
                <w:szCs w:val="22"/>
              </w:rPr>
              <w:t>Annex 3</w:t>
            </w:r>
            <w:r w:rsidR="00BF4AA8" w:rsidRPr="00BF4AA8">
              <w:rPr>
                <w:rFonts w:ascii="Arial" w:hAnsi="Arial" w:cs="Arial"/>
                <w:noProof/>
                <w:webHidden/>
                <w:sz w:val="22"/>
                <w:szCs w:val="22"/>
              </w:rPr>
              <w:tab/>
            </w:r>
            <w:r w:rsidR="00BF4AA8" w:rsidRPr="00BF4AA8">
              <w:rPr>
                <w:rFonts w:ascii="Arial" w:hAnsi="Arial" w:cs="Arial"/>
                <w:noProof/>
                <w:webHidden/>
                <w:sz w:val="22"/>
                <w:szCs w:val="22"/>
              </w:rPr>
              <w:fldChar w:fldCharType="begin"/>
            </w:r>
            <w:r w:rsidR="00BF4AA8" w:rsidRPr="00BF4AA8">
              <w:rPr>
                <w:rFonts w:ascii="Arial" w:hAnsi="Arial" w:cs="Arial"/>
                <w:noProof/>
                <w:webHidden/>
                <w:sz w:val="22"/>
                <w:szCs w:val="22"/>
              </w:rPr>
              <w:instrText xml:space="preserve"> PAGEREF _Toc216681451 \h </w:instrText>
            </w:r>
            <w:r w:rsidR="00BF4AA8" w:rsidRPr="00BF4AA8">
              <w:rPr>
                <w:rFonts w:ascii="Arial" w:hAnsi="Arial" w:cs="Arial"/>
                <w:noProof/>
                <w:webHidden/>
                <w:sz w:val="22"/>
                <w:szCs w:val="22"/>
              </w:rPr>
            </w:r>
            <w:r w:rsidR="00BF4AA8" w:rsidRPr="00BF4AA8">
              <w:rPr>
                <w:rFonts w:ascii="Arial" w:hAnsi="Arial" w:cs="Arial"/>
                <w:noProof/>
                <w:webHidden/>
                <w:sz w:val="22"/>
                <w:szCs w:val="22"/>
              </w:rPr>
              <w:fldChar w:fldCharType="separate"/>
            </w:r>
            <w:r w:rsidR="00836984">
              <w:rPr>
                <w:rFonts w:ascii="Arial" w:hAnsi="Arial" w:cs="Arial"/>
                <w:noProof/>
                <w:webHidden/>
                <w:sz w:val="22"/>
                <w:szCs w:val="22"/>
              </w:rPr>
              <w:t>31</w:t>
            </w:r>
            <w:r w:rsidR="00BF4AA8" w:rsidRPr="00BF4AA8">
              <w:rPr>
                <w:rFonts w:ascii="Arial" w:hAnsi="Arial" w:cs="Arial"/>
                <w:noProof/>
                <w:webHidden/>
                <w:sz w:val="22"/>
                <w:szCs w:val="22"/>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52" w:history="1">
            <w:r w:rsidR="00BF4AA8" w:rsidRPr="00BF4AA8">
              <w:rPr>
                <w:rStyle w:val="Hyperlink"/>
                <w:rFonts w:ascii="Arial" w:hAnsi="Arial" w:cs="Arial"/>
                <w:noProof/>
                <w:sz w:val="21"/>
                <w:szCs w:val="21"/>
              </w:rPr>
              <w:t>Annex 3-1 Dataset and analysis framework, and complimentary note</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_Toc216681452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31</w:t>
            </w:r>
            <w:r w:rsidR="00BF4AA8" w:rsidRPr="00BF4AA8">
              <w:rPr>
                <w:rFonts w:ascii="Arial" w:hAnsi="Arial" w:cs="Arial"/>
                <w:noProof/>
                <w:webHidden/>
                <w:sz w:val="21"/>
                <w:szCs w:val="21"/>
              </w:rPr>
              <w:fldChar w:fldCharType="end"/>
            </w:r>
          </w:hyperlink>
        </w:p>
        <w:p w:rsidR="00BF4AA8" w:rsidRPr="00BF4AA8" w:rsidRDefault="00000000">
          <w:pPr>
            <w:pStyle w:val="TOC1"/>
            <w:tabs>
              <w:tab w:val="right" w:leader="dot" w:pos="9010"/>
            </w:tabs>
            <w:rPr>
              <w:rFonts w:ascii="Arial" w:eastAsiaTheme="minorEastAsia" w:hAnsi="Arial" w:cs="Arial"/>
              <w:i w:val="0"/>
              <w:iCs w:val="0"/>
              <w:noProof/>
              <w:kern w:val="2"/>
              <w:sz w:val="22"/>
              <w:szCs w:val="22"/>
              <w14:ligatures w14:val="standardContextual"/>
            </w:rPr>
          </w:pPr>
          <w:hyperlink w:anchor="_Toc216681453" w:history="1">
            <w:r w:rsidR="00BF4AA8" w:rsidRPr="00BF4AA8">
              <w:rPr>
                <w:rStyle w:val="Hyperlink"/>
                <w:rFonts w:ascii="Arial" w:hAnsi="Arial" w:cs="Arial"/>
                <w:noProof/>
                <w:sz w:val="22"/>
                <w:szCs w:val="22"/>
              </w:rPr>
              <w:t>Annex 4</w:t>
            </w:r>
            <w:r w:rsidR="00BF4AA8" w:rsidRPr="00BF4AA8">
              <w:rPr>
                <w:rFonts w:ascii="Arial" w:hAnsi="Arial" w:cs="Arial"/>
                <w:noProof/>
                <w:webHidden/>
                <w:sz w:val="22"/>
                <w:szCs w:val="22"/>
              </w:rPr>
              <w:tab/>
            </w:r>
            <w:r w:rsidR="00BF4AA8" w:rsidRPr="00BF4AA8">
              <w:rPr>
                <w:rFonts w:ascii="Arial" w:hAnsi="Arial" w:cs="Arial"/>
                <w:noProof/>
                <w:webHidden/>
                <w:sz w:val="22"/>
                <w:szCs w:val="22"/>
              </w:rPr>
              <w:fldChar w:fldCharType="begin"/>
            </w:r>
            <w:r w:rsidR="00BF4AA8" w:rsidRPr="00BF4AA8">
              <w:rPr>
                <w:rFonts w:ascii="Arial" w:hAnsi="Arial" w:cs="Arial"/>
                <w:noProof/>
                <w:webHidden/>
                <w:sz w:val="22"/>
                <w:szCs w:val="22"/>
              </w:rPr>
              <w:instrText xml:space="preserve"> PAGEREF _Toc216681453 \h </w:instrText>
            </w:r>
            <w:r w:rsidR="00BF4AA8" w:rsidRPr="00BF4AA8">
              <w:rPr>
                <w:rFonts w:ascii="Arial" w:hAnsi="Arial" w:cs="Arial"/>
                <w:noProof/>
                <w:webHidden/>
                <w:sz w:val="22"/>
                <w:szCs w:val="22"/>
              </w:rPr>
            </w:r>
            <w:r w:rsidR="00BF4AA8" w:rsidRPr="00BF4AA8">
              <w:rPr>
                <w:rFonts w:ascii="Arial" w:hAnsi="Arial" w:cs="Arial"/>
                <w:noProof/>
                <w:webHidden/>
                <w:sz w:val="22"/>
                <w:szCs w:val="22"/>
              </w:rPr>
              <w:fldChar w:fldCharType="separate"/>
            </w:r>
            <w:r w:rsidR="00836984">
              <w:rPr>
                <w:rFonts w:ascii="Arial" w:hAnsi="Arial" w:cs="Arial"/>
                <w:noProof/>
                <w:webHidden/>
                <w:sz w:val="22"/>
                <w:szCs w:val="22"/>
              </w:rPr>
              <w:t>41</w:t>
            </w:r>
            <w:r w:rsidR="00BF4AA8" w:rsidRPr="00BF4AA8">
              <w:rPr>
                <w:rFonts w:ascii="Arial" w:hAnsi="Arial" w:cs="Arial"/>
                <w:noProof/>
                <w:webHidden/>
                <w:sz w:val="22"/>
                <w:szCs w:val="22"/>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54" w:history="1">
            <w:r w:rsidR="00BF4AA8" w:rsidRPr="00BF4AA8">
              <w:rPr>
                <w:rStyle w:val="Hyperlink"/>
                <w:rFonts w:ascii="Arial" w:hAnsi="Arial" w:cs="Arial"/>
                <w:noProof/>
                <w:sz w:val="21"/>
                <w:szCs w:val="21"/>
              </w:rPr>
              <w:t>Annex 4-1 Data sources</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_Toc216681454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41</w:t>
            </w:r>
            <w:r w:rsidR="00BF4AA8" w:rsidRPr="00BF4AA8">
              <w:rPr>
                <w:rFonts w:ascii="Arial" w:hAnsi="Arial" w:cs="Arial"/>
                <w:noProof/>
                <w:webHidden/>
                <w:sz w:val="21"/>
                <w:szCs w:val="21"/>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55" w:history="1">
            <w:r w:rsidR="00BF4AA8" w:rsidRPr="00BF4AA8">
              <w:rPr>
                <w:rStyle w:val="Hyperlink"/>
                <w:rFonts w:ascii="Arial" w:hAnsi="Arial" w:cs="Arial"/>
                <w:noProof/>
                <w:sz w:val="21"/>
                <w:szCs w:val="21"/>
              </w:rPr>
              <w:t>Annex 4-2 Indicator construction &amp; computations</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_Toc216681455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42</w:t>
            </w:r>
            <w:r w:rsidR="00BF4AA8" w:rsidRPr="00BF4AA8">
              <w:rPr>
                <w:rFonts w:ascii="Arial" w:hAnsi="Arial" w:cs="Arial"/>
                <w:noProof/>
                <w:webHidden/>
                <w:sz w:val="21"/>
                <w:szCs w:val="21"/>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56" w:history="1">
            <w:r w:rsidR="00BF4AA8" w:rsidRPr="00BF4AA8">
              <w:rPr>
                <w:rStyle w:val="Hyperlink"/>
                <w:rFonts w:ascii="Arial" w:hAnsi="Arial" w:cs="Arial"/>
                <w:noProof/>
                <w:sz w:val="21"/>
                <w:szCs w:val="21"/>
              </w:rPr>
              <w:t>Annex 4-3 Spatial &amp; temporal frame</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_Toc216681456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43</w:t>
            </w:r>
            <w:r w:rsidR="00BF4AA8" w:rsidRPr="00BF4AA8">
              <w:rPr>
                <w:rFonts w:ascii="Arial" w:hAnsi="Arial" w:cs="Arial"/>
                <w:noProof/>
                <w:webHidden/>
                <w:sz w:val="21"/>
                <w:szCs w:val="21"/>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57" w:history="1">
            <w:r w:rsidR="00BF4AA8" w:rsidRPr="00BF4AA8">
              <w:rPr>
                <w:rStyle w:val="Hyperlink"/>
                <w:rFonts w:ascii="Arial" w:hAnsi="Arial" w:cs="Arial"/>
                <w:noProof/>
                <w:sz w:val="21"/>
                <w:szCs w:val="21"/>
              </w:rPr>
              <w:t>Annex 4-4 Quality assurance, triangulation &amp; treatment of uncertainty</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_Toc216681457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44</w:t>
            </w:r>
            <w:r w:rsidR="00BF4AA8" w:rsidRPr="00BF4AA8">
              <w:rPr>
                <w:rFonts w:ascii="Arial" w:hAnsi="Arial" w:cs="Arial"/>
                <w:noProof/>
                <w:webHidden/>
                <w:sz w:val="21"/>
                <w:szCs w:val="21"/>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58" w:history="1">
            <w:r w:rsidR="00BF4AA8" w:rsidRPr="00BF4AA8">
              <w:rPr>
                <w:rStyle w:val="Hyperlink"/>
                <w:rFonts w:ascii="Arial" w:hAnsi="Arial" w:cs="Arial"/>
                <w:noProof/>
                <w:sz w:val="21"/>
                <w:szCs w:val="21"/>
              </w:rPr>
              <w:t>Annex 4-5 Extended explanatory note on mangrove and wetland status and site pressures</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_Toc216681458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45</w:t>
            </w:r>
            <w:r w:rsidR="00BF4AA8" w:rsidRPr="00BF4AA8">
              <w:rPr>
                <w:rFonts w:ascii="Arial" w:hAnsi="Arial" w:cs="Arial"/>
                <w:noProof/>
                <w:webHidden/>
                <w:sz w:val="21"/>
                <w:szCs w:val="21"/>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59" w:history="1">
            <w:r w:rsidR="00BF4AA8" w:rsidRPr="00BF4AA8">
              <w:rPr>
                <w:rStyle w:val="Hyperlink"/>
                <w:rFonts w:ascii="Arial" w:hAnsi="Arial" w:cs="Arial"/>
                <w:noProof/>
                <w:sz w:val="21"/>
                <w:szCs w:val="21"/>
              </w:rPr>
              <w:t>Annex 4-6 Extended explanatory note on coral reefs and seagrass in Cambodia</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_Toc216681459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51</w:t>
            </w:r>
            <w:r w:rsidR="00BF4AA8" w:rsidRPr="00BF4AA8">
              <w:rPr>
                <w:rFonts w:ascii="Arial" w:hAnsi="Arial" w:cs="Arial"/>
                <w:noProof/>
                <w:webHidden/>
                <w:sz w:val="21"/>
                <w:szCs w:val="21"/>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60" w:history="1">
            <w:r w:rsidR="00BF4AA8" w:rsidRPr="00BF4AA8">
              <w:rPr>
                <w:rStyle w:val="Hyperlink"/>
                <w:rFonts w:ascii="Arial" w:hAnsi="Arial" w:cs="Arial"/>
                <w:noProof/>
                <w:sz w:val="21"/>
                <w:szCs w:val="21"/>
              </w:rPr>
              <w:t>Annex 4-7 Explanatory note for Coastal area-based management: MPAs, Ramsar systems, MFMAs/EAFM, and community co-management</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_Toc216681460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56</w:t>
            </w:r>
            <w:r w:rsidR="00BF4AA8" w:rsidRPr="00BF4AA8">
              <w:rPr>
                <w:rFonts w:ascii="Arial" w:hAnsi="Arial" w:cs="Arial"/>
                <w:noProof/>
                <w:webHidden/>
                <w:sz w:val="21"/>
                <w:szCs w:val="21"/>
              </w:rPr>
              <w:fldChar w:fldCharType="end"/>
            </w:r>
          </w:hyperlink>
        </w:p>
        <w:p w:rsidR="00BF4AA8" w:rsidRPr="00BF4AA8" w:rsidRDefault="00000000">
          <w:pPr>
            <w:pStyle w:val="TOC1"/>
            <w:tabs>
              <w:tab w:val="right" w:leader="dot" w:pos="9010"/>
            </w:tabs>
            <w:rPr>
              <w:rFonts w:ascii="Arial" w:eastAsiaTheme="minorEastAsia" w:hAnsi="Arial" w:cs="Arial"/>
              <w:i w:val="0"/>
              <w:iCs w:val="0"/>
              <w:noProof/>
              <w:kern w:val="2"/>
              <w:sz w:val="22"/>
              <w:szCs w:val="22"/>
              <w14:ligatures w14:val="standardContextual"/>
            </w:rPr>
          </w:pPr>
          <w:hyperlink w:anchor="_Toc216681461" w:history="1">
            <w:r w:rsidR="00BF4AA8" w:rsidRPr="00BF4AA8">
              <w:rPr>
                <w:rStyle w:val="Hyperlink"/>
                <w:rFonts w:ascii="Arial" w:hAnsi="Arial" w:cs="Arial"/>
                <w:noProof/>
                <w:sz w:val="22"/>
                <w:szCs w:val="22"/>
              </w:rPr>
              <w:t>Annex 5</w:t>
            </w:r>
            <w:r w:rsidR="00BF4AA8" w:rsidRPr="00BF4AA8">
              <w:rPr>
                <w:rFonts w:ascii="Arial" w:hAnsi="Arial" w:cs="Arial"/>
                <w:noProof/>
                <w:webHidden/>
                <w:sz w:val="22"/>
                <w:szCs w:val="22"/>
              </w:rPr>
              <w:tab/>
            </w:r>
            <w:r w:rsidR="00BF4AA8" w:rsidRPr="00BF4AA8">
              <w:rPr>
                <w:rFonts w:ascii="Arial" w:hAnsi="Arial" w:cs="Arial"/>
                <w:noProof/>
                <w:webHidden/>
                <w:sz w:val="22"/>
                <w:szCs w:val="22"/>
              </w:rPr>
              <w:fldChar w:fldCharType="begin"/>
            </w:r>
            <w:r w:rsidR="00BF4AA8" w:rsidRPr="00BF4AA8">
              <w:rPr>
                <w:rFonts w:ascii="Arial" w:hAnsi="Arial" w:cs="Arial"/>
                <w:noProof/>
                <w:webHidden/>
                <w:sz w:val="22"/>
                <w:szCs w:val="22"/>
              </w:rPr>
              <w:instrText xml:space="preserve"> PAGEREF _Toc216681461 \h </w:instrText>
            </w:r>
            <w:r w:rsidR="00BF4AA8" w:rsidRPr="00BF4AA8">
              <w:rPr>
                <w:rFonts w:ascii="Arial" w:hAnsi="Arial" w:cs="Arial"/>
                <w:noProof/>
                <w:webHidden/>
                <w:sz w:val="22"/>
                <w:szCs w:val="22"/>
              </w:rPr>
            </w:r>
            <w:r w:rsidR="00BF4AA8" w:rsidRPr="00BF4AA8">
              <w:rPr>
                <w:rFonts w:ascii="Arial" w:hAnsi="Arial" w:cs="Arial"/>
                <w:noProof/>
                <w:webHidden/>
                <w:sz w:val="22"/>
                <w:szCs w:val="22"/>
              </w:rPr>
              <w:fldChar w:fldCharType="separate"/>
            </w:r>
            <w:r w:rsidR="00836984">
              <w:rPr>
                <w:rFonts w:ascii="Arial" w:hAnsi="Arial" w:cs="Arial"/>
                <w:noProof/>
                <w:webHidden/>
                <w:sz w:val="22"/>
                <w:szCs w:val="22"/>
              </w:rPr>
              <w:t>57</w:t>
            </w:r>
            <w:r w:rsidR="00BF4AA8" w:rsidRPr="00BF4AA8">
              <w:rPr>
                <w:rFonts w:ascii="Arial" w:hAnsi="Arial" w:cs="Arial"/>
                <w:noProof/>
                <w:webHidden/>
                <w:sz w:val="22"/>
                <w:szCs w:val="22"/>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62" w:history="1">
            <w:r w:rsidR="00BF4AA8" w:rsidRPr="00BF4AA8">
              <w:rPr>
                <w:rStyle w:val="Hyperlink"/>
                <w:rFonts w:ascii="Arial" w:hAnsi="Arial" w:cs="Arial"/>
                <w:noProof/>
                <w:sz w:val="21"/>
                <w:szCs w:val="21"/>
              </w:rPr>
              <w:t>Annex 5-1 Data Sources</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_Toc216681462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57</w:t>
            </w:r>
            <w:r w:rsidR="00BF4AA8" w:rsidRPr="00BF4AA8">
              <w:rPr>
                <w:rFonts w:ascii="Arial" w:hAnsi="Arial" w:cs="Arial"/>
                <w:noProof/>
                <w:webHidden/>
                <w:sz w:val="21"/>
                <w:szCs w:val="21"/>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63" w:history="1">
            <w:r w:rsidR="00BF4AA8" w:rsidRPr="00BF4AA8">
              <w:rPr>
                <w:rStyle w:val="Hyperlink"/>
                <w:rFonts w:ascii="Arial" w:hAnsi="Arial" w:cs="Arial"/>
                <w:noProof/>
                <w:sz w:val="21"/>
                <w:szCs w:val="21"/>
              </w:rPr>
              <w:t>Annex 5-2 Indicator Metadata Tables</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_Toc216681463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57</w:t>
            </w:r>
            <w:r w:rsidR="00BF4AA8" w:rsidRPr="00BF4AA8">
              <w:rPr>
                <w:rFonts w:ascii="Arial" w:hAnsi="Arial" w:cs="Arial"/>
                <w:noProof/>
                <w:webHidden/>
                <w:sz w:val="21"/>
                <w:szCs w:val="21"/>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64" w:history="1">
            <w:r w:rsidR="00BF4AA8" w:rsidRPr="00BF4AA8">
              <w:rPr>
                <w:rStyle w:val="Hyperlink"/>
                <w:rFonts w:ascii="Arial" w:hAnsi="Arial" w:cs="Arial"/>
                <w:noProof/>
                <w:sz w:val="21"/>
                <w:szCs w:val="21"/>
              </w:rPr>
              <w:t>Annex 5-3 Explanatory note for marine catches by gear type</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_Toc216681464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58</w:t>
            </w:r>
            <w:r w:rsidR="00BF4AA8" w:rsidRPr="00BF4AA8">
              <w:rPr>
                <w:rFonts w:ascii="Arial" w:hAnsi="Arial" w:cs="Arial"/>
                <w:noProof/>
                <w:webHidden/>
                <w:sz w:val="21"/>
                <w:szCs w:val="21"/>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65" w:history="1">
            <w:r w:rsidR="00BF4AA8" w:rsidRPr="00BF4AA8">
              <w:rPr>
                <w:rStyle w:val="Hyperlink"/>
                <w:rFonts w:ascii="Arial" w:hAnsi="Arial" w:cs="Arial"/>
                <w:noProof/>
                <w:sz w:val="21"/>
                <w:szCs w:val="21"/>
              </w:rPr>
              <w:t>Annex 5-4 Explanatory note for Stock-status plots</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_Toc216681465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63</w:t>
            </w:r>
            <w:r w:rsidR="00BF4AA8" w:rsidRPr="00BF4AA8">
              <w:rPr>
                <w:rFonts w:ascii="Arial" w:hAnsi="Arial" w:cs="Arial"/>
                <w:noProof/>
                <w:webHidden/>
                <w:sz w:val="21"/>
                <w:szCs w:val="21"/>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66" w:history="1">
            <w:r w:rsidR="00BF4AA8" w:rsidRPr="00BF4AA8">
              <w:rPr>
                <w:rStyle w:val="Hyperlink"/>
                <w:rFonts w:ascii="Arial" w:hAnsi="Arial" w:cs="Arial"/>
                <w:noProof/>
                <w:sz w:val="21"/>
                <w:szCs w:val="21"/>
              </w:rPr>
              <w:t>Annex 5-6 Explanatory note for Number of marine fishing vessels</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_Toc216681466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64</w:t>
            </w:r>
            <w:r w:rsidR="00BF4AA8" w:rsidRPr="00BF4AA8">
              <w:rPr>
                <w:rFonts w:ascii="Arial" w:hAnsi="Arial" w:cs="Arial"/>
                <w:noProof/>
                <w:webHidden/>
                <w:sz w:val="21"/>
                <w:szCs w:val="21"/>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67" w:history="1">
            <w:r w:rsidR="00BF4AA8" w:rsidRPr="00BF4AA8">
              <w:rPr>
                <w:rStyle w:val="Hyperlink"/>
                <w:rFonts w:ascii="Arial" w:hAnsi="Arial" w:cs="Arial"/>
                <w:noProof/>
                <w:sz w:val="21"/>
                <w:szCs w:val="21"/>
              </w:rPr>
              <w:t>Annex 5-7 Assessment methods (by indicator)</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_Toc216681467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66</w:t>
            </w:r>
            <w:r w:rsidR="00BF4AA8" w:rsidRPr="00BF4AA8">
              <w:rPr>
                <w:rFonts w:ascii="Arial" w:hAnsi="Arial" w:cs="Arial"/>
                <w:noProof/>
                <w:webHidden/>
                <w:sz w:val="21"/>
                <w:szCs w:val="21"/>
              </w:rPr>
              <w:fldChar w:fldCharType="end"/>
            </w:r>
          </w:hyperlink>
        </w:p>
        <w:p w:rsidR="00BF4AA8" w:rsidRPr="00BF4AA8" w:rsidRDefault="00000000">
          <w:pPr>
            <w:pStyle w:val="TOC1"/>
            <w:tabs>
              <w:tab w:val="right" w:leader="dot" w:pos="9010"/>
            </w:tabs>
            <w:rPr>
              <w:rFonts w:ascii="Arial" w:eastAsiaTheme="minorEastAsia" w:hAnsi="Arial" w:cs="Arial"/>
              <w:i w:val="0"/>
              <w:iCs w:val="0"/>
              <w:noProof/>
              <w:kern w:val="2"/>
              <w:sz w:val="22"/>
              <w:szCs w:val="22"/>
              <w14:ligatures w14:val="standardContextual"/>
            </w:rPr>
          </w:pPr>
          <w:hyperlink w:anchor="_Toc216681468" w:history="1">
            <w:r w:rsidR="00BF4AA8" w:rsidRPr="00BF4AA8">
              <w:rPr>
                <w:rStyle w:val="Hyperlink"/>
                <w:rFonts w:ascii="Arial" w:hAnsi="Arial" w:cs="Arial"/>
                <w:noProof/>
                <w:sz w:val="22"/>
                <w:szCs w:val="22"/>
              </w:rPr>
              <w:t>Annex 6</w:t>
            </w:r>
            <w:r w:rsidR="00BF4AA8" w:rsidRPr="00BF4AA8">
              <w:rPr>
                <w:rFonts w:ascii="Arial" w:hAnsi="Arial" w:cs="Arial"/>
                <w:noProof/>
                <w:webHidden/>
                <w:sz w:val="22"/>
                <w:szCs w:val="22"/>
              </w:rPr>
              <w:tab/>
            </w:r>
            <w:r w:rsidR="00BF4AA8" w:rsidRPr="00BF4AA8">
              <w:rPr>
                <w:rFonts w:ascii="Arial" w:hAnsi="Arial" w:cs="Arial"/>
                <w:noProof/>
                <w:webHidden/>
                <w:sz w:val="22"/>
                <w:szCs w:val="22"/>
              </w:rPr>
              <w:fldChar w:fldCharType="begin"/>
            </w:r>
            <w:r w:rsidR="00BF4AA8" w:rsidRPr="00BF4AA8">
              <w:rPr>
                <w:rFonts w:ascii="Arial" w:hAnsi="Arial" w:cs="Arial"/>
                <w:noProof/>
                <w:webHidden/>
                <w:sz w:val="22"/>
                <w:szCs w:val="22"/>
              </w:rPr>
              <w:instrText xml:space="preserve"> PAGEREF _Toc216681468 \h </w:instrText>
            </w:r>
            <w:r w:rsidR="00BF4AA8" w:rsidRPr="00BF4AA8">
              <w:rPr>
                <w:rFonts w:ascii="Arial" w:hAnsi="Arial" w:cs="Arial"/>
                <w:noProof/>
                <w:webHidden/>
                <w:sz w:val="22"/>
                <w:szCs w:val="22"/>
              </w:rPr>
            </w:r>
            <w:r w:rsidR="00BF4AA8" w:rsidRPr="00BF4AA8">
              <w:rPr>
                <w:rFonts w:ascii="Arial" w:hAnsi="Arial" w:cs="Arial"/>
                <w:noProof/>
                <w:webHidden/>
                <w:sz w:val="22"/>
                <w:szCs w:val="22"/>
              </w:rPr>
              <w:fldChar w:fldCharType="separate"/>
            </w:r>
            <w:r w:rsidR="00836984">
              <w:rPr>
                <w:rFonts w:ascii="Arial" w:hAnsi="Arial" w:cs="Arial"/>
                <w:noProof/>
                <w:webHidden/>
                <w:sz w:val="22"/>
                <w:szCs w:val="22"/>
              </w:rPr>
              <w:t>67</w:t>
            </w:r>
            <w:r w:rsidR="00BF4AA8" w:rsidRPr="00BF4AA8">
              <w:rPr>
                <w:rFonts w:ascii="Arial" w:hAnsi="Arial" w:cs="Arial"/>
                <w:noProof/>
                <w:webHidden/>
                <w:sz w:val="22"/>
                <w:szCs w:val="22"/>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69" w:history="1">
            <w:r w:rsidR="00BF4AA8" w:rsidRPr="00BF4AA8">
              <w:rPr>
                <w:rStyle w:val="Hyperlink"/>
                <w:rFonts w:ascii="Arial" w:hAnsi="Arial" w:cs="Arial"/>
                <w:noProof/>
                <w:sz w:val="21"/>
                <w:szCs w:val="21"/>
              </w:rPr>
              <w:t>Annex 6-1 Data Sources, Metadata, Assessment Method, and Explanatory Text</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_Toc216681469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67</w:t>
            </w:r>
            <w:r w:rsidR="00BF4AA8" w:rsidRPr="00BF4AA8">
              <w:rPr>
                <w:rFonts w:ascii="Arial" w:hAnsi="Arial" w:cs="Arial"/>
                <w:noProof/>
                <w:webHidden/>
                <w:sz w:val="21"/>
                <w:szCs w:val="21"/>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70" w:history="1">
            <w:r w:rsidR="00BF4AA8" w:rsidRPr="00BF4AA8">
              <w:rPr>
                <w:rStyle w:val="Hyperlink"/>
                <w:rFonts w:ascii="Arial" w:hAnsi="Arial" w:cs="Arial"/>
                <w:noProof/>
                <w:sz w:val="21"/>
                <w:szCs w:val="21"/>
              </w:rPr>
              <w:t>Annex 6-2 Explanatory Note: International Environmental and Governance Benchmarks: Cambodia</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_Toc216681470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82</w:t>
            </w:r>
            <w:r w:rsidR="00BF4AA8" w:rsidRPr="00BF4AA8">
              <w:rPr>
                <w:rFonts w:ascii="Arial" w:hAnsi="Arial" w:cs="Arial"/>
                <w:noProof/>
                <w:webHidden/>
                <w:sz w:val="21"/>
                <w:szCs w:val="21"/>
              </w:rPr>
              <w:fldChar w:fldCharType="end"/>
            </w:r>
          </w:hyperlink>
        </w:p>
        <w:p w:rsidR="00BF4AA8" w:rsidRPr="00BF4AA8" w:rsidRDefault="00000000">
          <w:pPr>
            <w:pStyle w:val="TOC2"/>
            <w:tabs>
              <w:tab w:val="right" w:leader="dot" w:pos="9010"/>
            </w:tabs>
            <w:rPr>
              <w:rFonts w:ascii="Arial" w:eastAsiaTheme="minorEastAsia" w:hAnsi="Arial" w:cs="Arial"/>
              <w:noProof/>
              <w:kern w:val="2"/>
              <w14:ligatures w14:val="standardContextual"/>
            </w:rPr>
          </w:pPr>
          <w:hyperlink w:anchor="_Toc216681471" w:history="1">
            <w:r w:rsidR="00BF4AA8" w:rsidRPr="00BF4AA8">
              <w:rPr>
                <w:rStyle w:val="Hyperlink"/>
                <w:rFonts w:ascii="Arial" w:hAnsi="Arial" w:cs="Arial"/>
                <w:noProof/>
                <w:sz w:val="21"/>
                <w:szCs w:val="21"/>
              </w:rPr>
              <w:t>Annex 6-3 Explanatory Note: Rationale for Cambodia’s TWAP Governance Scores</w:t>
            </w:r>
            <w:r w:rsidR="00BF4AA8" w:rsidRPr="00BF4AA8">
              <w:rPr>
                <w:rFonts w:ascii="Arial" w:hAnsi="Arial" w:cs="Arial"/>
                <w:noProof/>
                <w:webHidden/>
                <w:sz w:val="21"/>
                <w:szCs w:val="21"/>
              </w:rPr>
              <w:tab/>
            </w:r>
            <w:r w:rsidR="00BF4AA8" w:rsidRPr="00BF4AA8">
              <w:rPr>
                <w:rFonts w:ascii="Arial" w:hAnsi="Arial" w:cs="Arial"/>
                <w:noProof/>
                <w:webHidden/>
                <w:sz w:val="21"/>
                <w:szCs w:val="21"/>
              </w:rPr>
              <w:fldChar w:fldCharType="begin"/>
            </w:r>
            <w:r w:rsidR="00BF4AA8" w:rsidRPr="00BF4AA8">
              <w:rPr>
                <w:rFonts w:ascii="Arial" w:hAnsi="Arial" w:cs="Arial"/>
                <w:noProof/>
                <w:webHidden/>
                <w:sz w:val="21"/>
                <w:szCs w:val="21"/>
              </w:rPr>
              <w:instrText xml:space="preserve"> PAGEREF _Toc216681471 \h </w:instrText>
            </w:r>
            <w:r w:rsidR="00BF4AA8" w:rsidRPr="00BF4AA8">
              <w:rPr>
                <w:rFonts w:ascii="Arial" w:hAnsi="Arial" w:cs="Arial"/>
                <w:noProof/>
                <w:webHidden/>
                <w:sz w:val="21"/>
                <w:szCs w:val="21"/>
              </w:rPr>
            </w:r>
            <w:r w:rsidR="00BF4AA8" w:rsidRPr="00BF4AA8">
              <w:rPr>
                <w:rFonts w:ascii="Arial" w:hAnsi="Arial" w:cs="Arial"/>
                <w:noProof/>
                <w:webHidden/>
                <w:sz w:val="21"/>
                <w:szCs w:val="21"/>
              </w:rPr>
              <w:fldChar w:fldCharType="separate"/>
            </w:r>
            <w:r w:rsidR="00836984">
              <w:rPr>
                <w:rFonts w:ascii="Arial" w:hAnsi="Arial" w:cs="Arial"/>
                <w:noProof/>
                <w:webHidden/>
                <w:sz w:val="21"/>
                <w:szCs w:val="21"/>
              </w:rPr>
              <w:t>85</w:t>
            </w:r>
            <w:r w:rsidR="00BF4AA8" w:rsidRPr="00BF4AA8">
              <w:rPr>
                <w:rFonts w:ascii="Arial" w:hAnsi="Arial" w:cs="Arial"/>
                <w:noProof/>
                <w:webHidden/>
                <w:sz w:val="21"/>
                <w:szCs w:val="21"/>
              </w:rPr>
              <w:fldChar w:fldCharType="end"/>
            </w:r>
          </w:hyperlink>
        </w:p>
        <w:p w:rsidR="00BF4AA8" w:rsidRDefault="00BF4AA8">
          <w:r w:rsidRPr="00BF4AA8">
            <w:rPr>
              <w:rFonts w:ascii="Arial" w:hAnsi="Arial" w:cs="Arial"/>
              <w:b/>
              <w:bCs/>
              <w:noProof/>
              <w:sz w:val="22"/>
              <w:szCs w:val="22"/>
            </w:rPr>
            <w:fldChar w:fldCharType="end"/>
          </w:r>
        </w:p>
      </w:sdtContent>
    </w:sdt>
    <w:p w:rsidR="00647DF8" w:rsidRPr="00BF4AA8" w:rsidRDefault="00647DF8" w:rsidP="00647DF8">
      <w:pPr>
        <w:spacing w:line="276" w:lineRule="auto"/>
        <w:rPr>
          <w:rFonts w:ascii="Arial" w:hAnsi="Arial" w:cs="Arial"/>
        </w:rPr>
        <w:sectPr w:rsidR="00647DF8" w:rsidRPr="00BF4AA8" w:rsidSect="00394091">
          <w:footerReference w:type="default" r:id="rId8"/>
          <w:pgSz w:w="11900" w:h="16840"/>
          <w:pgMar w:top="1701" w:right="1440" w:bottom="1440" w:left="1440" w:header="720" w:footer="720" w:gutter="0"/>
          <w:pgNumType w:fmt="lowerRoman" w:start="1"/>
          <w:cols w:space="720"/>
          <w:docGrid w:linePitch="360"/>
        </w:sectPr>
      </w:pPr>
    </w:p>
    <w:p w:rsidR="00877E4C" w:rsidRPr="00BF4AA8" w:rsidRDefault="000C0FD2" w:rsidP="00BF4AA8">
      <w:pPr>
        <w:pStyle w:val="Heading1"/>
        <w:rPr>
          <w:sz w:val="22"/>
          <w:szCs w:val="22"/>
        </w:rPr>
      </w:pPr>
      <w:bookmarkStart w:id="0" w:name="_Toc215333843"/>
      <w:bookmarkStart w:id="1" w:name="_Toc216681442"/>
      <w:r w:rsidRPr="00BF4AA8">
        <w:t>Annex</w:t>
      </w:r>
      <w:bookmarkEnd w:id="0"/>
      <w:r w:rsidR="0085713E" w:rsidRPr="00BF4AA8">
        <w:t xml:space="preserve"> 1</w:t>
      </w:r>
      <w:bookmarkStart w:id="2" w:name="_Ref215332189"/>
      <w:bookmarkEnd w:id="1"/>
    </w:p>
    <w:p w:rsidR="00BF4AA8" w:rsidRPr="00BF4AA8" w:rsidRDefault="00BF4AA8" w:rsidP="00BF4AA8">
      <w:pPr>
        <w:pStyle w:val="Heading2"/>
        <w:rPr>
          <w:rFonts w:ascii="Arial" w:hAnsi="Arial" w:cs="Arial"/>
          <w:i/>
          <w:iCs/>
          <w:color w:val="0070C0"/>
          <w:sz w:val="22"/>
          <w:szCs w:val="22"/>
        </w:rPr>
      </w:pPr>
      <w:bookmarkStart w:id="3" w:name="_Toc216681443"/>
      <w:bookmarkEnd w:id="2"/>
      <w:r w:rsidRPr="00BF4AA8">
        <w:rPr>
          <w:rFonts w:ascii="Arial" w:hAnsi="Arial" w:cs="Arial"/>
          <w:color w:val="0070C0"/>
          <w:sz w:val="22"/>
          <w:szCs w:val="22"/>
        </w:rPr>
        <w:t>Annex 1-</w:t>
      </w:r>
      <w:r w:rsidRPr="00BF4AA8">
        <w:rPr>
          <w:rFonts w:ascii="Arial" w:hAnsi="Arial" w:cs="Arial"/>
          <w:i/>
          <w:iCs/>
          <w:color w:val="0070C0"/>
          <w:sz w:val="22"/>
          <w:szCs w:val="22"/>
        </w:rPr>
        <w:fldChar w:fldCharType="begin"/>
      </w:r>
      <w:r w:rsidRPr="00BF4AA8">
        <w:rPr>
          <w:rFonts w:ascii="Arial" w:hAnsi="Arial" w:cs="Arial"/>
          <w:color w:val="0070C0"/>
          <w:sz w:val="22"/>
          <w:szCs w:val="22"/>
        </w:rPr>
        <w:instrText xml:space="preserve"> SEQ Annex_1- \* ARABIC </w:instrText>
      </w:r>
      <w:r w:rsidRPr="00BF4AA8">
        <w:rPr>
          <w:rFonts w:ascii="Arial" w:hAnsi="Arial" w:cs="Arial"/>
          <w:i/>
          <w:iCs/>
          <w:color w:val="0070C0"/>
          <w:sz w:val="22"/>
          <w:szCs w:val="22"/>
        </w:rPr>
        <w:fldChar w:fldCharType="separate"/>
      </w:r>
      <w:r w:rsidR="00836984">
        <w:rPr>
          <w:rFonts w:ascii="Arial" w:hAnsi="Arial" w:cs="Arial"/>
          <w:noProof/>
          <w:color w:val="0070C0"/>
          <w:sz w:val="22"/>
          <w:szCs w:val="22"/>
        </w:rPr>
        <w:t>1</w:t>
      </w:r>
      <w:r w:rsidRPr="00BF4AA8">
        <w:rPr>
          <w:rFonts w:ascii="Arial" w:hAnsi="Arial" w:cs="Arial"/>
          <w:i/>
          <w:iCs/>
          <w:color w:val="0070C0"/>
          <w:sz w:val="22"/>
          <w:szCs w:val="22"/>
        </w:rPr>
        <w:fldChar w:fldCharType="end"/>
      </w:r>
      <w:r w:rsidRPr="00BF4AA8">
        <w:rPr>
          <w:rFonts w:ascii="Arial" w:hAnsi="Arial" w:cs="Arial"/>
          <w:color w:val="0070C0"/>
          <w:sz w:val="22"/>
          <w:szCs w:val="22"/>
        </w:rPr>
        <w:t xml:space="preserve"> Comparative Assessment: Major Water-Related Environmental Problems (2000 vs 2025)</w:t>
      </w:r>
      <w:bookmarkEnd w:id="3"/>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The Cambodia National TDA (2000) identified seven principal water-related environmental problem areas across freshwater and marine/coastal systems (UNEP/EAS/RCU, 1998). Twenty-five years later, these problem clusters remain but have generally intensified or shifted as rapid economic growth, </w:t>
      </w:r>
      <w:proofErr w:type="spellStart"/>
      <w:r w:rsidRPr="00BF4AA8">
        <w:rPr>
          <w:rFonts w:ascii="Arial" w:hAnsi="Arial" w:cs="Arial"/>
          <w:sz w:val="22"/>
          <w:szCs w:val="22"/>
        </w:rPr>
        <w:t>urbanisation</w:t>
      </w:r>
      <w:proofErr w:type="spellEnd"/>
      <w:r w:rsidRPr="00BF4AA8">
        <w:rPr>
          <w:rFonts w:ascii="Arial" w:hAnsi="Arial" w:cs="Arial"/>
          <w:sz w:val="22"/>
          <w:szCs w:val="22"/>
        </w:rPr>
        <w:t xml:space="preserve">, coastal </w:t>
      </w:r>
      <w:proofErr w:type="gramStart"/>
      <w:r w:rsidRPr="00BF4AA8">
        <w:rPr>
          <w:rFonts w:ascii="Arial" w:hAnsi="Arial" w:cs="Arial"/>
          <w:sz w:val="22"/>
          <w:szCs w:val="22"/>
        </w:rPr>
        <w:t>development</w:t>
      </w:r>
      <w:proofErr w:type="gramEnd"/>
      <w:r w:rsidRPr="00BF4AA8">
        <w:rPr>
          <w:rFonts w:ascii="Arial" w:hAnsi="Arial" w:cs="Arial"/>
          <w:sz w:val="22"/>
          <w:szCs w:val="22"/>
        </w:rPr>
        <w:t xml:space="preserve"> and climate change have increased pressures on water quality, ecosystems and livelihoods (ADB, 2023; PEAMSAE &amp; </w:t>
      </w:r>
      <w:proofErr w:type="spellStart"/>
      <w:r w:rsidRPr="00BF4AA8">
        <w:rPr>
          <w:rFonts w:ascii="Arial" w:hAnsi="Arial" w:cs="Arial"/>
          <w:sz w:val="22"/>
          <w:szCs w:val="22"/>
        </w:rPr>
        <w:t>MoE</w:t>
      </w:r>
      <w:proofErr w:type="spellEnd"/>
      <w:r w:rsidRPr="00BF4AA8">
        <w:rPr>
          <w:rFonts w:ascii="Arial" w:hAnsi="Arial" w:cs="Arial"/>
          <w:sz w:val="22"/>
          <w:szCs w:val="22"/>
        </w:rPr>
        <w:t xml:space="preserve">, 2019; World Bank, 2023). Table 1-1 provides a strict analytical comparison between the 2000 baseline and updated 2025 evidence taken from recent national assessments and sector reports on socioeconomics, pollution, ecosystems, </w:t>
      </w:r>
      <w:proofErr w:type="gramStart"/>
      <w:r w:rsidRPr="00BF4AA8">
        <w:rPr>
          <w:rFonts w:ascii="Arial" w:hAnsi="Arial" w:cs="Arial"/>
          <w:sz w:val="22"/>
          <w:szCs w:val="22"/>
        </w:rPr>
        <w:t>fisheries</w:t>
      </w:r>
      <w:proofErr w:type="gramEnd"/>
      <w:r w:rsidRPr="00BF4AA8">
        <w:rPr>
          <w:rFonts w:ascii="Arial" w:hAnsi="Arial" w:cs="Arial"/>
          <w:sz w:val="22"/>
          <w:szCs w:val="22"/>
        </w:rPr>
        <w:t xml:space="preserve"> and disaster risk (ADB, 2023; Derrick et al., 2020; </w:t>
      </w:r>
      <w:proofErr w:type="spellStart"/>
      <w:r w:rsidRPr="00BF4AA8">
        <w:rPr>
          <w:rFonts w:ascii="Arial" w:hAnsi="Arial" w:cs="Arial"/>
          <w:sz w:val="22"/>
          <w:szCs w:val="22"/>
        </w:rPr>
        <w:t>FiA</w:t>
      </w:r>
      <w:proofErr w:type="spellEnd"/>
      <w:r w:rsidRPr="00BF4AA8">
        <w:rPr>
          <w:rFonts w:ascii="Arial" w:hAnsi="Arial" w:cs="Arial"/>
          <w:sz w:val="22"/>
          <w:szCs w:val="22"/>
        </w:rPr>
        <w:t xml:space="preserve">, 2024; PEAMSAE &amp; </w:t>
      </w:r>
      <w:proofErr w:type="spellStart"/>
      <w:r w:rsidRPr="00BF4AA8">
        <w:rPr>
          <w:rFonts w:ascii="Arial" w:hAnsi="Arial" w:cs="Arial"/>
          <w:sz w:val="22"/>
          <w:szCs w:val="22"/>
        </w:rPr>
        <w:t>MoE</w:t>
      </w:r>
      <w:proofErr w:type="spellEnd"/>
      <w:r w:rsidRPr="00BF4AA8">
        <w:rPr>
          <w:rFonts w:ascii="Arial" w:hAnsi="Arial" w:cs="Arial"/>
          <w:sz w:val="22"/>
          <w:szCs w:val="22"/>
        </w:rPr>
        <w:t>, 2019; UNDP &amp; NCDM, 2023; World Bank, 2023).</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The comparative assessment shows that Cambodia’s core water-related environmental problems have not only persisted since 2000 but, in most cases, have intensified substantially. Pollution pressures have risen sharply as coastal cities and special economic zones expanded faster than wastewater and solid-waste infrastructure. </w:t>
      </w:r>
      <w:proofErr w:type="spellStart"/>
      <w:r w:rsidRPr="00BF4AA8">
        <w:rPr>
          <w:rFonts w:ascii="Arial" w:hAnsi="Arial" w:cs="Arial"/>
          <w:sz w:val="22"/>
          <w:szCs w:val="22"/>
        </w:rPr>
        <w:t>Centralised</w:t>
      </w:r>
      <w:proofErr w:type="spellEnd"/>
      <w:r w:rsidRPr="00BF4AA8">
        <w:rPr>
          <w:rFonts w:ascii="Arial" w:hAnsi="Arial" w:cs="Arial"/>
          <w:sz w:val="22"/>
          <w:szCs w:val="22"/>
        </w:rPr>
        <w:t xml:space="preserve"> treatment plants still handle only a small proportion of total sewage—less than 20% in Preah Sihanouk, under 10% in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and almost none in Koh Kong and </w:t>
      </w:r>
      <w:proofErr w:type="spellStart"/>
      <w:r w:rsidRPr="00BF4AA8">
        <w:rPr>
          <w:rFonts w:ascii="Arial" w:hAnsi="Arial" w:cs="Arial"/>
          <w:sz w:val="22"/>
          <w:szCs w:val="22"/>
        </w:rPr>
        <w:t>Kep</w:t>
      </w:r>
      <w:proofErr w:type="spellEnd"/>
      <w:r w:rsidRPr="00BF4AA8">
        <w:rPr>
          <w:rFonts w:ascii="Arial" w:hAnsi="Arial" w:cs="Arial"/>
          <w:sz w:val="22"/>
          <w:szCs w:val="22"/>
        </w:rPr>
        <w:t xml:space="preserve">—while most households rely on septic systems that frequently overflow into drains and canals (ADB, 2023; WEPA, 2020). Coastal and estuarine monitoring consistently reports high </w:t>
      </w:r>
      <w:proofErr w:type="spellStart"/>
      <w:r w:rsidRPr="00BF4AA8">
        <w:rPr>
          <w:rFonts w:ascii="Arial" w:hAnsi="Arial" w:cs="Arial"/>
          <w:sz w:val="22"/>
          <w:szCs w:val="22"/>
        </w:rPr>
        <w:t>faecal</w:t>
      </w:r>
      <w:proofErr w:type="spellEnd"/>
      <w:r w:rsidRPr="00BF4AA8">
        <w:rPr>
          <w:rFonts w:ascii="Arial" w:hAnsi="Arial" w:cs="Arial"/>
          <w:sz w:val="22"/>
          <w:szCs w:val="22"/>
        </w:rPr>
        <w:t xml:space="preserve">-coliform loads (10⁴–10⁵ CFU/100 mL) and elevated nitrate and phosphate concentrations, while industrial effluents near ports and SEZs often exceed national standards for oil and grease, total petroleum hydrocarbons, </w:t>
      </w:r>
      <w:proofErr w:type="gramStart"/>
      <w:r w:rsidRPr="00BF4AA8">
        <w:rPr>
          <w:rFonts w:ascii="Arial" w:hAnsi="Arial" w:cs="Arial"/>
          <w:sz w:val="22"/>
          <w:szCs w:val="22"/>
        </w:rPr>
        <w:t>lead</w:t>
      </w:r>
      <w:proofErr w:type="gramEnd"/>
      <w:r w:rsidRPr="00BF4AA8">
        <w:rPr>
          <w:rFonts w:ascii="Arial" w:hAnsi="Arial" w:cs="Arial"/>
          <w:sz w:val="22"/>
          <w:szCs w:val="22"/>
        </w:rPr>
        <w:t xml:space="preserve"> and zinc (ADB, 2023; </w:t>
      </w:r>
      <w:proofErr w:type="spellStart"/>
      <w:r w:rsidRPr="00BF4AA8">
        <w:rPr>
          <w:rFonts w:ascii="Arial" w:hAnsi="Arial" w:cs="Arial"/>
          <w:sz w:val="22"/>
          <w:szCs w:val="22"/>
        </w:rPr>
        <w:t>MoE</w:t>
      </w:r>
      <w:proofErr w:type="spellEnd"/>
      <w:r w:rsidRPr="00BF4AA8">
        <w:rPr>
          <w:rFonts w:ascii="Arial" w:hAnsi="Arial" w:cs="Arial"/>
          <w:sz w:val="22"/>
          <w:szCs w:val="22"/>
        </w:rPr>
        <w:t>, 2013; WEPA, 2020).</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Fisheries indicators reveal long-term, systemic depletion. Demersal trawl CPUE has collapsed from about 173 kg/hour in the 1960s to roughly 26 kg/hour today (</w:t>
      </w:r>
      <w:proofErr w:type="spellStart"/>
      <w:r w:rsidRPr="00BF4AA8">
        <w:rPr>
          <w:rFonts w:ascii="Arial" w:hAnsi="Arial" w:cs="Arial"/>
          <w:sz w:val="22"/>
          <w:szCs w:val="22"/>
        </w:rPr>
        <w:t>FiA</w:t>
      </w:r>
      <w:proofErr w:type="spellEnd"/>
      <w:r w:rsidRPr="00BF4AA8">
        <w:rPr>
          <w:rFonts w:ascii="Arial" w:hAnsi="Arial" w:cs="Arial"/>
          <w:sz w:val="22"/>
          <w:szCs w:val="22"/>
        </w:rPr>
        <w:t xml:space="preserve">, 2024), and reconstructed catch series show strong declines in higher-trophic species and increasing dominance of small </w:t>
      </w:r>
      <w:proofErr w:type="spellStart"/>
      <w:r w:rsidRPr="00BF4AA8">
        <w:rPr>
          <w:rFonts w:ascii="Arial" w:hAnsi="Arial" w:cs="Arial"/>
          <w:sz w:val="22"/>
          <w:szCs w:val="22"/>
        </w:rPr>
        <w:t>pelagics</w:t>
      </w:r>
      <w:proofErr w:type="spellEnd"/>
      <w:r w:rsidRPr="00BF4AA8">
        <w:rPr>
          <w:rFonts w:ascii="Arial" w:hAnsi="Arial" w:cs="Arial"/>
          <w:sz w:val="22"/>
          <w:szCs w:val="22"/>
        </w:rPr>
        <w:t xml:space="preserve"> (Derrick et al., 2020). Sharks and rays have fallen from thousands of </w:t>
      </w:r>
      <w:proofErr w:type="spellStart"/>
      <w:r w:rsidRPr="00BF4AA8">
        <w:rPr>
          <w:rFonts w:ascii="Arial" w:hAnsi="Arial" w:cs="Arial"/>
          <w:sz w:val="22"/>
          <w:szCs w:val="22"/>
        </w:rPr>
        <w:t>tonnes</w:t>
      </w:r>
      <w:proofErr w:type="spellEnd"/>
      <w:r w:rsidRPr="00BF4AA8">
        <w:rPr>
          <w:rFonts w:ascii="Arial" w:hAnsi="Arial" w:cs="Arial"/>
          <w:sz w:val="22"/>
          <w:szCs w:val="22"/>
        </w:rPr>
        <w:t xml:space="preserve"> in the early 2000s to very small residual landings, while trawls and purse seines together account for </w:t>
      </w:r>
      <w:proofErr w:type="gramStart"/>
      <w:r w:rsidRPr="00BF4AA8">
        <w:rPr>
          <w:rFonts w:ascii="Arial" w:hAnsi="Arial" w:cs="Arial"/>
          <w:sz w:val="22"/>
          <w:szCs w:val="22"/>
        </w:rPr>
        <w:t>the vast majority of</w:t>
      </w:r>
      <w:proofErr w:type="gramEnd"/>
      <w:r w:rsidRPr="00BF4AA8">
        <w:rPr>
          <w:rFonts w:ascii="Arial" w:hAnsi="Arial" w:cs="Arial"/>
          <w:sz w:val="22"/>
          <w:szCs w:val="22"/>
        </w:rPr>
        <w:t xml:space="preserve"> marine catches, confirming intense gear-driven pressure on coastal stocks (Derrick et al., 2020; </w:t>
      </w:r>
      <w:proofErr w:type="spellStart"/>
      <w:r w:rsidRPr="00BF4AA8">
        <w:rPr>
          <w:rFonts w:ascii="Arial" w:hAnsi="Arial" w:cs="Arial"/>
          <w:sz w:val="22"/>
          <w:szCs w:val="22"/>
        </w:rPr>
        <w:t>FiA</w:t>
      </w:r>
      <w:proofErr w:type="spellEnd"/>
      <w:r w:rsidRPr="00BF4AA8">
        <w:rPr>
          <w:rFonts w:ascii="Arial" w:hAnsi="Arial" w:cs="Arial"/>
          <w:sz w:val="22"/>
          <w:szCs w:val="22"/>
        </w:rPr>
        <w:t>, 2024).</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Freshwater and estuarine wetlands remain central to rural livelihoods but are increasingly stressed by land-use change, hydrological </w:t>
      </w:r>
      <w:proofErr w:type="gramStart"/>
      <w:r w:rsidRPr="00BF4AA8">
        <w:rPr>
          <w:rFonts w:ascii="Arial" w:hAnsi="Arial" w:cs="Arial"/>
          <w:sz w:val="22"/>
          <w:szCs w:val="22"/>
        </w:rPr>
        <w:t>alteration</w:t>
      </w:r>
      <w:proofErr w:type="gramEnd"/>
      <w:r w:rsidRPr="00BF4AA8">
        <w:rPr>
          <w:rFonts w:ascii="Arial" w:hAnsi="Arial" w:cs="Arial"/>
          <w:sz w:val="22"/>
          <w:szCs w:val="22"/>
        </w:rPr>
        <w:t xml:space="preserve"> and salinity intrusion. Peat-forming mangrove–wetland mosaics in Koh Kong and floodplain systems linked to the Mekong–Tonle Sap–</w:t>
      </w:r>
      <w:proofErr w:type="spellStart"/>
      <w:r w:rsidRPr="00BF4AA8">
        <w:rPr>
          <w:rFonts w:ascii="Arial" w:hAnsi="Arial" w:cs="Arial"/>
          <w:sz w:val="22"/>
          <w:szCs w:val="22"/>
        </w:rPr>
        <w:t>Bassac</w:t>
      </w:r>
      <w:proofErr w:type="spellEnd"/>
      <w:r w:rsidRPr="00BF4AA8">
        <w:rPr>
          <w:rFonts w:ascii="Arial" w:hAnsi="Arial" w:cs="Arial"/>
          <w:sz w:val="22"/>
          <w:szCs w:val="22"/>
        </w:rPr>
        <w:t xml:space="preserve"> complex are particularly sensitive to drainage, new </w:t>
      </w:r>
      <w:proofErr w:type="gramStart"/>
      <w:r w:rsidRPr="00BF4AA8">
        <w:rPr>
          <w:rFonts w:ascii="Arial" w:hAnsi="Arial" w:cs="Arial"/>
          <w:sz w:val="22"/>
          <w:szCs w:val="22"/>
        </w:rPr>
        <w:t>roads</w:t>
      </w:r>
      <w:proofErr w:type="gramEnd"/>
      <w:r w:rsidRPr="00BF4AA8">
        <w:rPr>
          <w:rFonts w:ascii="Arial" w:hAnsi="Arial" w:cs="Arial"/>
          <w:sz w:val="22"/>
          <w:szCs w:val="22"/>
        </w:rPr>
        <w:t xml:space="preserve"> and channel infilling (PEAMSAE &amp; </w:t>
      </w:r>
      <w:proofErr w:type="spellStart"/>
      <w:r w:rsidRPr="00BF4AA8">
        <w:rPr>
          <w:rFonts w:ascii="Arial" w:hAnsi="Arial" w:cs="Arial"/>
          <w:sz w:val="22"/>
          <w:szCs w:val="22"/>
        </w:rPr>
        <w:t>MoE</w:t>
      </w:r>
      <w:proofErr w:type="spellEnd"/>
      <w:r w:rsidRPr="00BF4AA8">
        <w:rPr>
          <w:rFonts w:ascii="Arial" w:hAnsi="Arial" w:cs="Arial"/>
          <w:sz w:val="22"/>
          <w:szCs w:val="22"/>
        </w:rPr>
        <w:t xml:space="preserve">, 2019; SCSSAP, 2020). Socio-economic studies at Koh </w:t>
      </w:r>
      <w:proofErr w:type="spellStart"/>
      <w:r w:rsidRPr="00BF4AA8">
        <w:rPr>
          <w:rFonts w:ascii="Arial" w:hAnsi="Arial" w:cs="Arial"/>
          <w:sz w:val="22"/>
          <w:szCs w:val="22"/>
        </w:rPr>
        <w:t>Kapik</w:t>
      </w:r>
      <w:proofErr w:type="spellEnd"/>
      <w:r w:rsidRPr="00BF4AA8">
        <w:rPr>
          <w:rFonts w:ascii="Arial" w:hAnsi="Arial" w:cs="Arial"/>
          <w:sz w:val="22"/>
          <w:szCs w:val="22"/>
        </w:rPr>
        <w:t>–</w:t>
      </w:r>
      <w:proofErr w:type="spellStart"/>
      <w:r w:rsidRPr="00BF4AA8">
        <w:rPr>
          <w:rFonts w:ascii="Arial" w:hAnsi="Arial" w:cs="Arial"/>
          <w:sz w:val="22"/>
          <w:szCs w:val="22"/>
        </w:rPr>
        <w:t>Peam</w:t>
      </w:r>
      <w:proofErr w:type="spellEnd"/>
      <w:r w:rsidRPr="00BF4AA8">
        <w:rPr>
          <w:rFonts w:ascii="Arial" w:hAnsi="Arial" w:cs="Arial"/>
          <w:sz w:val="22"/>
          <w:szCs w:val="22"/>
        </w:rPr>
        <w:t xml:space="preserve"> </w:t>
      </w:r>
      <w:proofErr w:type="spellStart"/>
      <w:r w:rsidRPr="00BF4AA8">
        <w:rPr>
          <w:rFonts w:ascii="Arial" w:hAnsi="Arial" w:cs="Arial"/>
          <w:sz w:val="22"/>
          <w:szCs w:val="22"/>
        </w:rPr>
        <w:t>Krasop</w:t>
      </w:r>
      <w:proofErr w:type="spellEnd"/>
      <w:r w:rsidRPr="00BF4AA8">
        <w:rPr>
          <w:rFonts w:ascii="Arial" w:hAnsi="Arial" w:cs="Arial"/>
          <w:sz w:val="22"/>
          <w:szCs w:val="22"/>
        </w:rPr>
        <w:t xml:space="preserve"> and associated Ramsar sites show that 65–90% of household income can derive from wetland-based fisheries and natural resources, highlighting the vulnerability of these communities to further habitat loss or hydrological disruption (Fauna &amp; Flora, 2024; Ramsar Secretariat, 2012).</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Updated habitat mapping indicates that mangrove extent has declined by around 3,500–4,000 ha between 2014 and 2025, with the largest losses in Koh Kong and peri-urban fringes of Preah Sihanouk (PEAMSAE &amp; </w:t>
      </w:r>
      <w:proofErr w:type="spellStart"/>
      <w:r w:rsidRPr="00BF4AA8">
        <w:rPr>
          <w:rFonts w:ascii="Arial" w:hAnsi="Arial" w:cs="Arial"/>
          <w:sz w:val="22"/>
          <w:szCs w:val="22"/>
        </w:rPr>
        <w:t>MoE</w:t>
      </w:r>
      <w:proofErr w:type="spellEnd"/>
      <w:r w:rsidRPr="00BF4AA8">
        <w:rPr>
          <w:rFonts w:ascii="Arial" w:hAnsi="Arial" w:cs="Arial"/>
          <w:sz w:val="22"/>
          <w:szCs w:val="22"/>
        </w:rPr>
        <w:t xml:space="preserve">, 2019; SCSSAP, 2020). Coral cover at many nearshore sites has dropped to 6–10%, while seagrass meadows—especially in the </w:t>
      </w:r>
      <w:proofErr w:type="spellStart"/>
      <w:r w:rsidRPr="00BF4AA8">
        <w:rPr>
          <w:rFonts w:ascii="Arial" w:hAnsi="Arial" w:cs="Arial"/>
          <w:sz w:val="22"/>
          <w:szCs w:val="22"/>
        </w:rPr>
        <w:t>Kampot</w:t>
      </w:r>
      <w:proofErr w:type="spellEnd"/>
      <w:r w:rsidRPr="00BF4AA8">
        <w:rPr>
          <w:rFonts w:ascii="Arial" w:hAnsi="Arial" w:cs="Arial"/>
          <w:sz w:val="22"/>
          <w:szCs w:val="22"/>
        </w:rPr>
        <w:t>–</w:t>
      </w:r>
      <w:proofErr w:type="spellStart"/>
      <w:r w:rsidRPr="00BF4AA8">
        <w:rPr>
          <w:rFonts w:ascii="Arial" w:hAnsi="Arial" w:cs="Arial"/>
          <w:sz w:val="22"/>
          <w:szCs w:val="22"/>
        </w:rPr>
        <w:t>Kep</w:t>
      </w:r>
      <w:proofErr w:type="spellEnd"/>
      <w:r w:rsidRPr="00BF4AA8">
        <w:rPr>
          <w:rFonts w:ascii="Arial" w:hAnsi="Arial" w:cs="Arial"/>
          <w:sz w:val="22"/>
          <w:szCs w:val="22"/>
        </w:rPr>
        <w:t xml:space="preserve"> area—have shrunk by roughly 20% under pressure from trawling, dredging, </w:t>
      </w:r>
      <w:proofErr w:type="gramStart"/>
      <w:r w:rsidRPr="00BF4AA8">
        <w:rPr>
          <w:rFonts w:ascii="Arial" w:hAnsi="Arial" w:cs="Arial"/>
          <w:sz w:val="22"/>
          <w:szCs w:val="22"/>
        </w:rPr>
        <w:t>reclamation</w:t>
      </w:r>
      <w:proofErr w:type="gramEnd"/>
      <w:r w:rsidRPr="00BF4AA8">
        <w:rPr>
          <w:rFonts w:ascii="Arial" w:hAnsi="Arial" w:cs="Arial"/>
          <w:sz w:val="22"/>
          <w:szCs w:val="22"/>
        </w:rPr>
        <w:t xml:space="preserve"> and turbidity (ADB, 2023; </w:t>
      </w:r>
      <w:proofErr w:type="spellStart"/>
      <w:r w:rsidRPr="00BF4AA8">
        <w:rPr>
          <w:rFonts w:ascii="Arial" w:hAnsi="Arial" w:cs="Arial"/>
          <w:sz w:val="22"/>
          <w:szCs w:val="22"/>
        </w:rPr>
        <w:t>MoE</w:t>
      </w:r>
      <w:proofErr w:type="spellEnd"/>
      <w:r w:rsidRPr="00BF4AA8">
        <w:rPr>
          <w:rFonts w:ascii="Arial" w:hAnsi="Arial" w:cs="Arial"/>
          <w:sz w:val="22"/>
          <w:szCs w:val="22"/>
        </w:rPr>
        <w:t>, 2013). These ecosystem losses reduce fisheries productivity, carbon storage and natural coastal protection.</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Hydrological extremes have also become more severe. Floods remain Cambodia’s most damaging hazard, with exposure highest along the Mekong–Tonle Sap–</w:t>
      </w:r>
      <w:proofErr w:type="spellStart"/>
      <w:r w:rsidRPr="00BF4AA8">
        <w:rPr>
          <w:rFonts w:ascii="Arial" w:hAnsi="Arial" w:cs="Arial"/>
          <w:sz w:val="22"/>
          <w:szCs w:val="22"/>
        </w:rPr>
        <w:t>Bassac</w:t>
      </w:r>
      <w:proofErr w:type="spellEnd"/>
      <w:r w:rsidRPr="00BF4AA8">
        <w:rPr>
          <w:rFonts w:ascii="Arial" w:hAnsi="Arial" w:cs="Arial"/>
          <w:sz w:val="22"/>
          <w:szCs w:val="22"/>
        </w:rPr>
        <w:t xml:space="preserve"> corridor and coastal lowlands (UNDP &amp; NCDM, 2023; World Bank, 2023). Climate projections point to more intense rainfall events and higher flood peaks, while observed salinity intrusion is advancing 5–7 km inland in some estuaries (World Bank, 2023). Droughts are intensifying under ENSO variability and rising temperatures; recent events have affected millions of people, and many agricultural and peri-urban areas now experience recurrent water shortages, groundwater stress and higher aquaculture mortality during prolonged dry periods and heatwaves (</w:t>
      </w:r>
      <w:proofErr w:type="spellStart"/>
      <w:r w:rsidRPr="00BF4AA8">
        <w:rPr>
          <w:rFonts w:ascii="Arial" w:hAnsi="Arial" w:cs="Arial"/>
          <w:sz w:val="22"/>
          <w:szCs w:val="22"/>
        </w:rPr>
        <w:t>FiA</w:t>
      </w:r>
      <w:proofErr w:type="spellEnd"/>
      <w:r w:rsidRPr="00BF4AA8">
        <w:rPr>
          <w:rFonts w:ascii="Arial" w:hAnsi="Arial" w:cs="Arial"/>
          <w:sz w:val="22"/>
          <w:szCs w:val="22"/>
        </w:rPr>
        <w:t>, 2024; UNDP &amp; NCDM, 2023; World Bank, 2023).</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River-borne pollution remains a defining feature of coastal water quality. Monitoring along the Mekong–Tonle Sap–</w:t>
      </w:r>
      <w:proofErr w:type="spellStart"/>
      <w:r w:rsidRPr="00BF4AA8">
        <w:rPr>
          <w:rFonts w:ascii="Arial" w:hAnsi="Arial" w:cs="Arial"/>
          <w:sz w:val="22"/>
          <w:szCs w:val="22"/>
        </w:rPr>
        <w:t>Bassac</w:t>
      </w:r>
      <w:proofErr w:type="spellEnd"/>
      <w:r w:rsidRPr="00BF4AA8">
        <w:rPr>
          <w:rFonts w:ascii="Arial" w:hAnsi="Arial" w:cs="Arial"/>
          <w:sz w:val="22"/>
          <w:szCs w:val="22"/>
        </w:rPr>
        <w:t xml:space="preserve"> system shows persistent exceedance of </w:t>
      </w:r>
      <w:proofErr w:type="spellStart"/>
      <w:r w:rsidRPr="00BF4AA8">
        <w:rPr>
          <w:rFonts w:ascii="Arial" w:hAnsi="Arial" w:cs="Arial"/>
          <w:sz w:val="22"/>
          <w:szCs w:val="22"/>
        </w:rPr>
        <w:t>faecal</w:t>
      </w:r>
      <w:proofErr w:type="spellEnd"/>
      <w:r w:rsidRPr="00BF4AA8">
        <w:rPr>
          <w:rFonts w:ascii="Arial" w:hAnsi="Arial" w:cs="Arial"/>
          <w:sz w:val="22"/>
          <w:szCs w:val="22"/>
        </w:rPr>
        <w:t xml:space="preserve">-coliform standards and repeated TN/TP exceedances at key confluence points, with TSS reaching over 2,000 mg/L in parts of the </w:t>
      </w:r>
      <w:proofErr w:type="spellStart"/>
      <w:r w:rsidRPr="00BF4AA8">
        <w:rPr>
          <w:rFonts w:ascii="Arial" w:hAnsi="Arial" w:cs="Arial"/>
          <w:sz w:val="22"/>
          <w:szCs w:val="22"/>
        </w:rPr>
        <w:t>Bassac</w:t>
      </w:r>
      <w:proofErr w:type="spellEnd"/>
      <w:r w:rsidRPr="00BF4AA8">
        <w:rPr>
          <w:rFonts w:ascii="Arial" w:hAnsi="Arial" w:cs="Arial"/>
          <w:sz w:val="22"/>
          <w:szCs w:val="22"/>
        </w:rPr>
        <w:t xml:space="preserve"> during high-flow conditions (</w:t>
      </w:r>
      <w:proofErr w:type="spellStart"/>
      <w:r w:rsidRPr="00BF4AA8">
        <w:rPr>
          <w:rFonts w:ascii="Arial" w:hAnsi="Arial" w:cs="Arial"/>
          <w:sz w:val="22"/>
          <w:szCs w:val="22"/>
        </w:rPr>
        <w:t>MoE</w:t>
      </w:r>
      <w:proofErr w:type="spellEnd"/>
      <w:r w:rsidRPr="00BF4AA8">
        <w:rPr>
          <w:rFonts w:ascii="Arial" w:hAnsi="Arial" w:cs="Arial"/>
          <w:sz w:val="22"/>
          <w:szCs w:val="22"/>
        </w:rPr>
        <w:t xml:space="preserve">, 2013; WEPA, 2020). These loads generate large sediment and nutrient plumes that affect estuaries such as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Bay and Koh Kong and contribute to cross-border nutrient export to the Viet Nam delta and the wider Gulf of Thailand (ADB, 2023; SCSSAP, 2020). Overall, the updated evidence confirms that the conditions diagnosed in 2000 have not improved; instead, pressures have multiplied and intensified, calling for urgent, integrated responses across wastewater management, fisheries reform, habitat conservation, climate-resilient </w:t>
      </w:r>
      <w:proofErr w:type="gramStart"/>
      <w:r w:rsidRPr="00BF4AA8">
        <w:rPr>
          <w:rFonts w:ascii="Arial" w:hAnsi="Arial" w:cs="Arial"/>
          <w:sz w:val="22"/>
          <w:szCs w:val="22"/>
        </w:rPr>
        <w:t>planning</w:t>
      </w:r>
      <w:proofErr w:type="gramEnd"/>
      <w:r w:rsidRPr="00BF4AA8">
        <w:rPr>
          <w:rFonts w:ascii="Arial" w:hAnsi="Arial" w:cs="Arial"/>
          <w:sz w:val="22"/>
          <w:szCs w:val="22"/>
        </w:rPr>
        <w:t xml:space="preserve"> and catchment-to-coast governance.</w:t>
      </w:r>
    </w:p>
    <w:p w:rsidR="00BF4AA8" w:rsidRPr="00BF4AA8" w:rsidRDefault="00BF4AA8" w:rsidP="00BF4AA8">
      <w:pPr>
        <w:pStyle w:val="Caption"/>
        <w:jc w:val="both"/>
        <w:rPr>
          <w:rFonts w:ascii="Arial" w:hAnsi="Arial" w:cs="Arial"/>
          <w:color w:val="002060"/>
          <w:sz w:val="22"/>
          <w:szCs w:val="22"/>
        </w:rPr>
      </w:pPr>
      <w:bookmarkStart w:id="4" w:name="_Ref215332217"/>
      <w:r w:rsidRPr="00BF4AA8">
        <w:rPr>
          <w:rFonts w:ascii="Arial" w:hAnsi="Arial" w:cs="Arial"/>
          <w:color w:val="002060"/>
          <w:sz w:val="22"/>
          <w:szCs w:val="22"/>
        </w:rPr>
        <w:t>Annex Table 1-</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Annex_Table_1-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1</w:t>
      </w:r>
      <w:r w:rsidRPr="00BF4AA8">
        <w:rPr>
          <w:rFonts w:ascii="Arial" w:hAnsi="Arial" w:cs="Arial"/>
          <w:color w:val="002060"/>
          <w:sz w:val="22"/>
          <w:szCs w:val="22"/>
        </w:rPr>
        <w:fldChar w:fldCharType="end"/>
      </w:r>
      <w:bookmarkEnd w:id="4"/>
      <w:r w:rsidRPr="00BF4AA8">
        <w:rPr>
          <w:rFonts w:ascii="Arial" w:hAnsi="Arial" w:cs="Arial"/>
          <w:color w:val="002060"/>
          <w:sz w:val="22"/>
          <w:szCs w:val="22"/>
        </w:rPr>
        <w:t xml:space="preserve"> Comparative analysis of major water-related environmental problems (2000 vs 2025)</w:t>
      </w:r>
    </w:p>
    <w:tbl>
      <w:tblPr>
        <w:tblStyle w:val="GridTable4-Accent5"/>
        <w:tblW w:w="0" w:type="auto"/>
        <w:tblLook w:val="04A0" w:firstRow="1" w:lastRow="0" w:firstColumn="1" w:lastColumn="0" w:noHBand="0" w:noVBand="1"/>
      </w:tblPr>
      <w:tblGrid>
        <w:gridCol w:w="1820"/>
        <w:gridCol w:w="2101"/>
        <w:gridCol w:w="3417"/>
        <w:gridCol w:w="1150"/>
      </w:tblGrid>
      <w:tr w:rsidR="00BF4AA8"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jc w:val="center"/>
              <w:rPr>
                <w:rFonts w:ascii="Arial" w:hAnsi="Arial" w:cs="Arial"/>
                <w:sz w:val="22"/>
                <w:szCs w:val="22"/>
              </w:rPr>
            </w:pPr>
            <w:r w:rsidRPr="00BF4AA8">
              <w:rPr>
                <w:rStyle w:val="Strong"/>
                <w:rFonts w:ascii="Arial" w:hAnsi="Arial" w:cs="Arial"/>
                <w:sz w:val="22"/>
                <w:szCs w:val="22"/>
              </w:rPr>
              <w:t>Problem Category (2000)</w:t>
            </w:r>
          </w:p>
        </w:tc>
        <w:tc>
          <w:tcPr>
            <w:tcW w:w="2101" w:type="dxa"/>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b/>
                <w:bCs/>
                <w:sz w:val="22"/>
                <w:szCs w:val="22"/>
              </w:rPr>
              <w:t>Status / Evidence in 2000 (Baseline)</w:t>
            </w:r>
          </w:p>
        </w:tc>
        <w:tc>
          <w:tcPr>
            <w:tcW w:w="3417" w:type="dxa"/>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b/>
                <w:bCs/>
                <w:sz w:val="22"/>
                <w:szCs w:val="22"/>
              </w:rPr>
              <w:t xml:space="preserve">Status / Evidence in 2025 </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Key Sources</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b w:val="0"/>
                <w:bCs w:val="0"/>
                <w:sz w:val="22"/>
                <w:szCs w:val="22"/>
              </w:rPr>
            </w:pPr>
            <w:r w:rsidRPr="00BF4AA8">
              <w:rPr>
                <w:rStyle w:val="Strong"/>
                <w:rFonts w:ascii="Arial" w:hAnsi="Arial" w:cs="Arial"/>
                <w:sz w:val="22"/>
                <w:szCs w:val="22"/>
              </w:rPr>
              <w:t>1. Contamination of water quality – domestic &amp; non-point pollution</w:t>
            </w:r>
          </w:p>
        </w:tc>
        <w:tc>
          <w:tcPr>
            <w:tcW w:w="2101" w:type="dxa"/>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Widespread organic pollution and domestic sewage from urban </w:t>
            </w:r>
            <w:proofErr w:type="spellStart"/>
            <w:r w:rsidRPr="00BF4AA8">
              <w:rPr>
                <w:rFonts w:ascii="Arial" w:hAnsi="Arial" w:cs="Arial"/>
                <w:sz w:val="22"/>
                <w:szCs w:val="22"/>
              </w:rPr>
              <w:t>centres</w:t>
            </w:r>
            <w:proofErr w:type="spellEnd"/>
            <w:r w:rsidRPr="00BF4AA8">
              <w:rPr>
                <w:rFonts w:ascii="Arial" w:hAnsi="Arial" w:cs="Arial"/>
                <w:sz w:val="22"/>
                <w:szCs w:val="22"/>
              </w:rPr>
              <w:t xml:space="preserve">, with almost no wastewater treatment systems in coastal provinces. Monitoring already reported elevated BOD and TSS in urban rivers and receiving waters, alongside growing inputs of fertilizers and pesticides from agriculture and upland catchments. </w:t>
            </w:r>
          </w:p>
        </w:tc>
        <w:tc>
          <w:tcPr>
            <w:tcW w:w="3417" w:type="dxa"/>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Centralised</w:t>
            </w:r>
            <w:proofErr w:type="spellEnd"/>
            <w:r w:rsidRPr="00BF4AA8">
              <w:rPr>
                <w:rFonts w:ascii="Arial" w:hAnsi="Arial" w:cs="Arial"/>
                <w:sz w:val="22"/>
                <w:szCs w:val="22"/>
              </w:rPr>
              <w:t xml:space="preserve"> plants still treat only a small fraction of total flows: &lt;20% of sewage in Preah Sihanouk, &lt;10% in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and almost none in Koh Kong and </w:t>
            </w:r>
            <w:proofErr w:type="spellStart"/>
            <w:r w:rsidRPr="00BF4AA8">
              <w:rPr>
                <w:rFonts w:ascii="Arial" w:hAnsi="Arial" w:cs="Arial"/>
                <w:sz w:val="22"/>
                <w:szCs w:val="22"/>
              </w:rPr>
              <w:t>Kep</w:t>
            </w:r>
            <w:proofErr w:type="spellEnd"/>
            <w:r w:rsidRPr="00BF4AA8">
              <w:rPr>
                <w:rFonts w:ascii="Arial" w:hAnsi="Arial" w:cs="Arial"/>
                <w:sz w:val="22"/>
                <w:szCs w:val="22"/>
              </w:rPr>
              <w:t>, while most households rely on septic tanks that frequently overflow into drains and canals. FC levels in bathing waters and landing sites often reach 10⁴–10⁵ CFU/100 mL, and estuarine NO</w:t>
            </w:r>
            <w:r w:rsidRPr="00BF4AA8">
              <w:rPr>
                <w:rFonts w:ascii="Cambria Math" w:hAnsi="Cambria Math" w:cs="Cambria Math"/>
                <w:sz w:val="22"/>
                <w:szCs w:val="22"/>
              </w:rPr>
              <w:t>₃⁻</w:t>
            </w:r>
            <w:r w:rsidRPr="00BF4AA8">
              <w:rPr>
                <w:rFonts w:ascii="Arial" w:hAnsi="Arial" w:cs="Arial"/>
                <w:sz w:val="22"/>
                <w:szCs w:val="22"/>
              </w:rPr>
              <w:t xml:space="preserve"> and PO</w:t>
            </w:r>
            <w:r w:rsidRPr="00BF4AA8">
              <w:rPr>
                <w:rFonts w:ascii="Cambria Math" w:hAnsi="Cambria Math" w:cs="Cambria Math"/>
                <w:sz w:val="22"/>
                <w:szCs w:val="22"/>
              </w:rPr>
              <w:t>₄</w:t>
            </w:r>
            <w:r w:rsidRPr="00BF4AA8">
              <w:rPr>
                <w:rFonts w:ascii="Arial" w:hAnsi="Arial" w:cs="Arial"/>
                <w:sz w:val="22"/>
                <w:szCs w:val="22"/>
              </w:rPr>
              <w:t>³</w:t>
            </w:r>
            <w:r w:rsidRPr="00BF4AA8">
              <w:rPr>
                <w:rFonts w:ascii="Cambria Math" w:hAnsi="Cambria Math" w:cs="Cambria Math"/>
                <w:sz w:val="22"/>
                <w:szCs w:val="22"/>
              </w:rPr>
              <w:t>⁻</w:t>
            </w:r>
            <w:r w:rsidRPr="00BF4AA8">
              <w:rPr>
                <w:rFonts w:ascii="Arial" w:hAnsi="Arial" w:cs="Arial"/>
                <w:sz w:val="22"/>
                <w:szCs w:val="22"/>
              </w:rPr>
              <w:t xml:space="preserve"> concentrations (2.0–2.6 mg/L and 0.7–0.8 mg/L) exceed ASEAN guideline values. Industrial discharges near ports and SEZs frequently surpass national limits for oil &amp; grease, TPH, Pb and Zn, creating toxic hotspots in nearshore sediments.</w:t>
            </w:r>
          </w:p>
        </w:tc>
        <w:tc>
          <w:tcPr>
            <w:tcW w:w="0" w:type="auto"/>
            <w:hideMark/>
          </w:tcPr>
          <w:p w:rsidR="00BF4AA8" w:rsidRPr="00BF4AA8" w:rsidRDefault="00BF4AA8"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xml:space="preserve"> (2023); ADB (2023)</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Style w:val="Strong"/>
                <w:rFonts w:ascii="Arial" w:hAnsi="Arial" w:cs="Arial"/>
                <w:sz w:val="22"/>
                <w:szCs w:val="22"/>
              </w:rPr>
              <w:t>Overfishing and declining fish stocks (freshwater &amp; marine)</w:t>
            </w:r>
          </w:p>
        </w:tc>
        <w:tc>
          <w:tcPr>
            <w:tcW w:w="2101" w:type="dxa"/>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Early evidence of declining catches in Tonle Sap and coastal zones, with widespread use of destructive gears and limited enforcement. Stock assessments were sparse, but concerns </w:t>
            </w:r>
            <w:proofErr w:type="gramStart"/>
            <w:r w:rsidRPr="00BF4AA8">
              <w:rPr>
                <w:rFonts w:ascii="Arial" w:hAnsi="Arial" w:cs="Arial"/>
                <w:sz w:val="22"/>
                <w:szCs w:val="22"/>
              </w:rPr>
              <w:t>were raised</w:t>
            </w:r>
            <w:proofErr w:type="gramEnd"/>
            <w:r w:rsidRPr="00BF4AA8">
              <w:rPr>
                <w:rFonts w:ascii="Arial" w:hAnsi="Arial" w:cs="Arial"/>
                <w:sz w:val="22"/>
                <w:szCs w:val="22"/>
              </w:rPr>
              <w:t xml:space="preserve"> over reduced average fish size and loss of higher-value species. </w:t>
            </w:r>
          </w:p>
        </w:tc>
        <w:tc>
          <w:tcPr>
            <w:tcW w:w="3417" w:type="dxa"/>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Long-term indicators now show systemic depletion: demersal trawl CPUE has collapsed from 173 kg/</w:t>
            </w:r>
            <w:proofErr w:type="spellStart"/>
            <w:r w:rsidRPr="00BF4AA8">
              <w:rPr>
                <w:rFonts w:ascii="Arial" w:hAnsi="Arial" w:cs="Arial"/>
                <w:sz w:val="22"/>
                <w:szCs w:val="22"/>
              </w:rPr>
              <w:t>hr</w:t>
            </w:r>
            <w:proofErr w:type="spellEnd"/>
            <w:r w:rsidRPr="00BF4AA8">
              <w:rPr>
                <w:rFonts w:ascii="Arial" w:hAnsi="Arial" w:cs="Arial"/>
                <w:sz w:val="22"/>
                <w:szCs w:val="22"/>
              </w:rPr>
              <w:t xml:space="preserve"> in the 1960s to about 26 kg/</w:t>
            </w:r>
            <w:proofErr w:type="spellStart"/>
            <w:r w:rsidRPr="00BF4AA8">
              <w:rPr>
                <w:rFonts w:ascii="Arial" w:hAnsi="Arial" w:cs="Arial"/>
                <w:sz w:val="22"/>
                <w:szCs w:val="22"/>
              </w:rPr>
              <w:t>hr</w:t>
            </w:r>
            <w:proofErr w:type="spellEnd"/>
            <w:r w:rsidRPr="00BF4AA8">
              <w:rPr>
                <w:rFonts w:ascii="Arial" w:hAnsi="Arial" w:cs="Arial"/>
                <w:sz w:val="22"/>
                <w:szCs w:val="22"/>
              </w:rPr>
              <w:t xml:space="preserve"> today; ecosystem indices (MTI, </w:t>
            </w:r>
            <w:proofErr w:type="spellStart"/>
            <w:r w:rsidRPr="00BF4AA8">
              <w:rPr>
                <w:rFonts w:ascii="Arial" w:hAnsi="Arial" w:cs="Arial"/>
                <w:sz w:val="22"/>
                <w:szCs w:val="22"/>
              </w:rPr>
              <w:t>FiB</w:t>
            </w:r>
            <w:proofErr w:type="spellEnd"/>
            <w:r w:rsidRPr="00BF4AA8">
              <w:rPr>
                <w:rFonts w:ascii="Arial" w:hAnsi="Arial" w:cs="Arial"/>
                <w:sz w:val="22"/>
                <w:szCs w:val="22"/>
              </w:rPr>
              <w:t xml:space="preserve">, PPR) indicate fishing further down the food web; and sharks and rays have fallen from 2,000–4,000 t in the early 2000s to single-digit </w:t>
            </w:r>
            <w:proofErr w:type="spellStart"/>
            <w:r w:rsidRPr="00BF4AA8">
              <w:rPr>
                <w:rFonts w:ascii="Arial" w:hAnsi="Arial" w:cs="Arial"/>
                <w:sz w:val="22"/>
                <w:szCs w:val="22"/>
              </w:rPr>
              <w:t>tonnes</w:t>
            </w:r>
            <w:proofErr w:type="spellEnd"/>
            <w:r w:rsidRPr="00BF4AA8">
              <w:rPr>
                <w:rFonts w:ascii="Arial" w:hAnsi="Arial" w:cs="Arial"/>
                <w:sz w:val="22"/>
                <w:szCs w:val="22"/>
              </w:rPr>
              <w:t xml:space="preserve"> by 2018–2019. Small </w:t>
            </w:r>
            <w:proofErr w:type="spellStart"/>
            <w:r w:rsidRPr="00BF4AA8">
              <w:rPr>
                <w:rFonts w:ascii="Arial" w:hAnsi="Arial" w:cs="Arial"/>
                <w:sz w:val="22"/>
                <w:szCs w:val="22"/>
              </w:rPr>
              <w:t>pelagics</w:t>
            </w:r>
            <w:proofErr w:type="spellEnd"/>
            <w:r w:rsidRPr="00BF4AA8">
              <w:rPr>
                <w:rFonts w:ascii="Arial" w:hAnsi="Arial" w:cs="Arial"/>
                <w:sz w:val="22"/>
                <w:szCs w:val="22"/>
              </w:rPr>
              <w:t xml:space="preserve"> now account for more than 70% of marine catch, while trawls and purse seines generate 85–90% of landings, confirming intense, gear-driven pressure on coastal stocks.</w:t>
            </w:r>
          </w:p>
        </w:tc>
        <w:tc>
          <w:tcPr>
            <w:tcW w:w="0" w:type="auto"/>
            <w:hideMark/>
          </w:tcPr>
          <w:p w:rsidR="00BF4AA8" w:rsidRPr="00BF4AA8" w:rsidRDefault="00BF4AA8"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FiA</w:t>
            </w:r>
            <w:proofErr w:type="spellEnd"/>
            <w:r w:rsidRPr="00BF4AA8">
              <w:rPr>
                <w:rFonts w:ascii="Arial" w:hAnsi="Arial" w:cs="Arial"/>
                <w:sz w:val="22"/>
                <w:szCs w:val="22"/>
              </w:rPr>
              <w:t xml:space="preserve"> (2025); SAU (2024)</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Style w:val="Strong"/>
                <w:rFonts w:ascii="Arial" w:hAnsi="Arial" w:cs="Arial"/>
                <w:sz w:val="22"/>
                <w:szCs w:val="22"/>
              </w:rPr>
              <w:t>Habitat degradation – freshwater wetlands</w:t>
            </w:r>
          </w:p>
        </w:tc>
        <w:tc>
          <w:tcPr>
            <w:tcW w:w="2101" w:type="dxa"/>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Loss and degradation of wetlands due to agricultural expansion, drainage works and conversion for settlements and infrastructure, reducing the extent and quality of nursery grounds and flood-buffering functions. </w:t>
            </w:r>
          </w:p>
        </w:tc>
        <w:tc>
          <w:tcPr>
            <w:tcW w:w="3417" w:type="dxa"/>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Freshwater and estuarine wetlands remain central to rural livelihoods but are under increasing strain from land-use change, altered flow regimes and salinity intrusion. Peat-forming mangrove–wetland mosaics in </w:t>
            </w:r>
            <w:proofErr w:type="spellStart"/>
            <w:r w:rsidRPr="00BF4AA8">
              <w:rPr>
                <w:rFonts w:ascii="Arial" w:hAnsi="Arial" w:cs="Arial"/>
                <w:sz w:val="22"/>
                <w:szCs w:val="22"/>
              </w:rPr>
              <w:t>Botum</w:t>
            </w:r>
            <w:proofErr w:type="spellEnd"/>
            <w:r w:rsidRPr="00BF4AA8">
              <w:rPr>
                <w:rFonts w:ascii="Arial" w:hAnsi="Arial" w:cs="Arial"/>
                <w:sz w:val="22"/>
                <w:szCs w:val="22"/>
              </w:rPr>
              <w:t xml:space="preserve"> </w:t>
            </w:r>
            <w:proofErr w:type="spellStart"/>
            <w:r w:rsidRPr="00BF4AA8">
              <w:rPr>
                <w:rFonts w:ascii="Arial" w:hAnsi="Arial" w:cs="Arial"/>
                <w:sz w:val="22"/>
                <w:szCs w:val="22"/>
              </w:rPr>
              <w:t>Sakor</w:t>
            </w:r>
            <w:proofErr w:type="spellEnd"/>
            <w:r w:rsidRPr="00BF4AA8">
              <w:rPr>
                <w:rFonts w:ascii="Arial" w:hAnsi="Arial" w:cs="Arial"/>
                <w:sz w:val="22"/>
                <w:szCs w:val="22"/>
              </w:rPr>
              <w:t xml:space="preserve"> and floodplain systems linked to the Mekong–Tonle Sap–</w:t>
            </w:r>
            <w:proofErr w:type="spellStart"/>
            <w:r w:rsidRPr="00BF4AA8">
              <w:rPr>
                <w:rFonts w:ascii="Arial" w:hAnsi="Arial" w:cs="Arial"/>
                <w:sz w:val="22"/>
                <w:szCs w:val="22"/>
              </w:rPr>
              <w:t>Bassac</w:t>
            </w:r>
            <w:proofErr w:type="spellEnd"/>
            <w:r w:rsidRPr="00BF4AA8">
              <w:rPr>
                <w:rFonts w:ascii="Arial" w:hAnsi="Arial" w:cs="Arial"/>
                <w:sz w:val="22"/>
                <w:szCs w:val="22"/>
              </w:rPr>
              <w:t xml:space="preserve"> complex are highly sensitive to drainage, road construction and channel infill. In key sites such as Koh </w:t>
            </w:r>
            <w:proofErr w:type="spellStart"/>
            <w:r w:rsidRPr="00BF4AA8">
              <w:rPr>
                <w:rFonts w:ascii="Arial" w:hAnsi="Arial" w:cs="Arial"/>
                <w:sz w:val="22"/>
                <w:szCs w:val="22"/>
              </w:rPr>
              <w:t>Kapik</w:t>
            </w:r>
            <w:proofErr w:type="spellEnd"/>
            <w:r w:rsidRPr="00BF4AA8">
              <w:rPr>
                <w:rFonts w:ascii="Arial" w:hAnsi="Arial" w:cs="Arial"/>
                <w:sz w:val="22"/>
                <w:szCs w:val="22"/>
              </w:rPr>
              <w:t>–</w:t>
            </w:r>
            <w:proofErr w:type="spellStart"/>
            <w:r w:rsidRPr="00BF4AA8">
              <w:rPr>
                <w:rFonts w:ascii="Arial" w:hAnsi="Arial" w:cs="Arial"/>
                <w:sz w:val="22"/>
                <w:szCs w:val="22"/>
              </w:rPr>
              <w:t>Peam</w:t>
            </w:r>
            <w:proofErr w:type="spellEnd"/>
            <w:r w:rsidRPr="00BF4AA8">
              <w:rPr>
                <w:rFonts w:ascii="Arial" w:hAnsi="Arial" w:cs="Arial"/>
                <w:sz w:val="22"/>
                <w:szCs w:val="22"/>
              </w:rPr>
              <w:t xml:space="preserve"> </w:t>
            </w:r>
            <w:proofErr w:type="spellStart"/>
            <w:r w:rsidRPr="00BF4AA8">
              <w:rPr>
                <w:rFonts w:ascii="Arial" w:hAnsi="Arial" w:cs="Arial"/>
                <w:sz w:val="22"/>
                <w:szCs w:val="22"/>
              </w:rPr>
              <w:t>Krasop</w:t>
            </w:r>
            <w:proofErr w:type="spellEnd"/>
            <w:r w:rsidRPr="00BF4AA8">
              <w:rPr>
                <w:rFonts w:ascii="Arial" w:hAnsi="Arial" w:cs="Arial"/>
                <w:sz w:val="22"/>
                <w:szCs w:val="22"/>
              </w:rPr>
              <w:t>, more than 65–90% of household income depends on wetland-based fisheries and resources, making communities extremely vulnerable to any further habitat loss or hydrological disruption.</w:t>
            </w:r>
          </w:p>
        </w:tc>
        <w:tc>
          <w:tcPr>
            <w:tcW w:w="0" w:type="auto"/>
            <w:hideMark/>
          </w:tcPr>
          <w:p w:rsidR="00BF4AA8" w:rsidRPr="00BF4AA8" w:rsidRDefault="00BF4AA8"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Ramsar (2012); </w:t>
            </w:r>
            <w:proofErr w:type="spellStart"/>
            <w:r w:rsidRPr="00BF4AA8">
              <w:rPr>
                <w:rFonts w:ascii="Arial" w:hAnsi="Arial" w:cs="Arial"/>
                <w:sz w:val="22"/>
                <w:szCs w:val="22"/>
              </w:rPr>
              <w:t>MoE</w:t>
            </w:r>
            <w:proofErr w:type="spellEnd"/>
            <w:r w:rsidRPr="00BF4AA8">
              <w:rPr>
                <w:rFonts w:ascii="Arial" w:hAnsi="Arial" w:cs="Arial"/>
                <w:sz w:val="22"/>
                <w:szCs w:val="22"/>
              </w:rPr>
              <w:t xml:space="preserve"> (2024)</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Style w:val="Strong"/>
                <w:rFonts w:ascii="Arial" w:hAnsi="Arial" w:cs="Arial"/>
                <w:sz w:val="22"/>
                <w:szCs w:val="22"/>
              </w:rPr>
              <w:t>Habitat degradation – mangroves, coral reefs, seagrasses</w:t>
            </w:r>
          </w:p>
        </w:tc>
        <w:tc>
          <w:tcPr>
            <w:tcW w:w="2101" w:type="dxa"/>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Coastal habitats </w:t>
            </w:r>
            <w:proofErr w:type="gramStart"/>
            <w:r w:rsidRPr="00BF4AA8">
              <w:rPr>
                <w:rFonts w:ascii="Arial" w:hAnsi="Arial" w:cs="Arial"/>
                <w:sz w:val="22"/>
                <w:szCs w:val="22"/>
              </w:rPr>
              <w:t>were mapped</w:t>
            </w:r>
            <w:proofErr w:type="gramEnd"/>
            <w:r w:rsidRPr="00BF4AA8">
              <w:rPr>
                <w:rFonts w:ascii="Arial" w:hAnsi="Arial" w:cs="Arial"/>
                <w:sz w:val="22"/>
                <w:szCs w:val="22"/>
              </w:rPr>
              <w:t xml:space="preserve"> and </w:t>
            </w:r>
            <w:proofErr w:type="spellStart"/>
            <w:r w:rsidRPr="00BF4AA8">
              <w:rPr>
                <w:rFonts w:ascii="Arial" w:hAnsi="Arial" w:cs="Arial"/>
                <w:sz w:val="22"/>
                <w:szCs w:val="22"/>
              </w:rPr>
              <w:t>recognised</w:t>
            </w:r>
            <w:proofErr w:type="spellEnd"/>
            <w:r w:rsidRPr="00BF4AA8">
              <w:rPr>
                <w:rFonts w:ascii="Arial" w:hAnsi="Arial" w:cs="Arial"/>
                <w:sz w:val="22"/>
                <w:szCs w:val="22"/>
              </w:rPr>
              <w:t xml:space="preserve"> as important, but protected-area coverage and enforcement were limited. Early signs of mangrove clearance, coral damage from destructive fishing and sedimentation, and poorly understood seagrass distributions </w:t>
            </w:r>
            <w:proofErr w:type="gramStart"/>
            <w:r w:rsidRPr="00BF4AA8">
              <w:rPr>
                <w:rFonts w:ascii="Arial" w:hAnsi="Arial" w:cs="Arial"/>
                <w:sz w:val="22"/>
                <w:szCs w:val="22"/>
              </w:rPr>
              <w:t>were noted</w:t>
            </w:r>
            <w:proofErr w:type="gramEnd"/>
            <w:r w:rsidRPr="00BF4AA8">
              <w:rPr>
                <w:rFonts w:ascii="Arial" w:hAnsi="Arial" w:cs="Arial"/>
                <w:sz w:val="22"/>
                <w:szCs w:val="22"/>
              </w:rPr>
              <w:t xml:space="preserve">. </w:t>
            </w:r>
          </w:p>
        </w:tc>
        <w:tc>
          <w:tcPr>
            <w:tcW w:w="3417" w:type="dxa"/>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Updated mapping shows mangroves declining from ~58,866 ha (2014) to ~55,355 ha (2025), a net loss of 3,510–4,000 ha, concentrated in Koh Kong and peri-urban Preah Sihanouk. Coral cover in many nearshore sites has fallen to 6–10%, with only “fair” condition (20–30% cover) on less-impacted offshore reefs, while seagrass meadows—especially in the </w:t>
            </w:r>
            <w:proofErr w:type="spellStart"/>
            <w:r w:rsidRPr="00BF4AA8">
              <w:rPr>
                <w:rFonts w:ascii="Arial" w:hAnsi="Arial" w:cs="Arial"/>
                <w:sz w:val="22"/>
                <w:szCs w:val="22"/>
              </w:rPr>
              <w:t>Kampot</w:t>
            </w:r>
            <w:proofErr w:type="spellEnd"/>
            <w:r w:rsidRPr="00BF4AA8">
              <w:rPr>
                <w:rFonts w:ascii="Arial" w:hAnsi="Arial" w:cs="Arial"/>
                <w:sz w:val="22"/>
                <w:szCs w:val="22"/>
              </w:rPr>
              <w:t>–</w:t>
            </w:r>
            <w:proofErr w:type="spellStart"/>
            <w:r w:rsidRPr="00BF4AA8">
              <w:rPr>
                <w:rFonts w:ascii="Arial" w:hAnsi="Arial" w:cs="Arial"/>
                <w:sz w:val="22"/>
                <w:szCs w:val="22"/>
              </w:rPr>
              <w:t>Kep</w:t>
            </w:r>
            <w:proofErr w:type="spellEnd"/>
            <w:r w:rsidRPr="00BF4AA8">
              <w:rPr>
                <w:rFonts w:ascii="Arial" w:hAnsi="Arial" w:cs="Arial"/>
                <w:sz w:val="22"/>
                <w:szCs w:val="22"/>
              </w:rPr>
              <w:t xml:space="preserve"> corridor—have shrunk by about 20%, mainly due to trawling, dredging, shoreline works and turbidity increases. These losses compromise fisheries productivity, blue-carbon </w:t>
            </w:r>
            <w:proofErr w:type="gramStart"/>
            <w:r w:rsidRPr="00BF4AA8">
              <w:rPr>
                <w:rFonts w:ascii="Arial" w:hAnsi="Arial" w:cs="Arial"/>
                <w:sz w:val="22"/>
                <w:szCs w:val="22"/>
              </w:rPr>
              <w:t>storage</w:t>
            </w:r>
            <w:proofErr w:type="gramEnd"/>
            <w:r w:rsidRPr="00BF4AA8">
              <w:rPr>
                <w:rFonts w:ascii="Arial" w:hAnsi="Arial" w:cs="Arial"/>
                <w:sz w:val="22"/>
                <w:szCs w:val="22"/>
              </w:rPr>
              <w:t xml:space="preserve"> and natural coastal protection.</w:t>
            </w:r>
          </w:p>
        </w:tc>
        <w:tc>
          <w:tcPr>
            <w:tcW w:w="0" w:type="auto"/>
            <w:hideMark/>
          </w:tcPr>
          <w:p w:rsidR="00BF4AA8" w:rsidRPr="00BF4AA8" w:rsidRDefault="00BF4AA8"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xml:space="preserve"> (2023); ADB (2023)</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Style w:val="Strong"/>
                <w:rFonts w:ascii="Arial" w:hAnsi="Arial" w:cs="Arial"/>
                <w:sz w:val="22"/>
                <w:szCs w:val="22"/>
              </w:rPr>
              <w:t>Flooding (freshwater) and hydrological variability</w:t>
            </w:r>
          </w:p>
        </w:tc>
        <w:tc>
          <w:tcPr>
            <w:tcW w:w="2101" w:type="dxa"/>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Floods and droughts were already significant hazards, with Tonle Sap flow reversals and monsoon variability shaping seasonal exposure; adaptive capacity and disaster-risk systems </w:t>
            </w:r>
            <w:proofErr w:type="gramStart"/>
            <w:r w:rsidRPr="00BF4AA8">
              <w:rPr>
                <w:rFonts w:ascii="Arial" w:hAnsi="Arial" w:cs="Arial"/>
                <w:sz w:val="22"/>
                <w:szCs w:val="22"/>
              </w:rPr>
              <w:t>were limited</w:t>
            </w:r>
            <w:proofErr w:type="gramEnd"/>
            <w:r w:rsidRPr="00BF4AA8">
              <w:rPr>
                <w:rFonts w:ascii="Arial" w:hAnsi="Arial" w:cs="Arial"/>
                <w:sz w:val="22"/>
                <w:szCs w:val="22"/>
              </w:rPr>
              <w:t xml:space="preserve">. </w:t>
            </w:r>
          </w:p>
        </w:tc>
        <w:tc>
          <w:tcPr>
            <w:tcW w:w="3417" w:type="dxa"/>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Floods remain Cambodia’s deadliest and most damaging natural hazard, with major events affecting large populations and infrastructure along the Mekong–Tonle Sap–</w:t>
            </w:r>
            <w:proofErr w:type="spellStart"/>
            <w:r w:rsidRPr="00BF4AA8">
              <w:rPr>
                <w:rFonts w:ascii="Arial" w:hAnsi="Arial" w:cs="Arial"/>
                <w:sz w:val="22"/>
                <w:szCs w:val="22"/>
              </w:rPr>
              <w:t>Bassac</w:t>
            </w:r>
            <w:proofErr w:type="spellEnd"/>
            <w:r w:rsidRPr="00BF4AA8">
              <w:rPr>
                <w:rFonts w:ascii="Arial" w:hAnsi="Arial" w:cs="Arial"/>
                <w:sz w:val="22"/>
                <w:szCs w:val="22"/>
              </w:rPr>
              <w:t xml:space="preserve"> and coastal plains. Recent assessments classify national disaster risk as “medium” with very high river-flood exposure; climate projections point to more intense rainfall events and higher flood peaks, while salinity intrusion is advancing 5–7 km inland in some estuaries, raising compound risks for agriculture, water supply and ecosystems.</w:t>
            </w:r>
          </w:p>
        </w:tc>
        <w:tc>
          <w:tcPr>
            <w:tcW w:w="0" w:type="auto"/>
            <w:hideMark/>
          </w:tcPr>
          <w:p w:rsidR="00BF4AA8" w:rsidRPr="00BF4AA8" w:rsidRDefault="00BF4AA8"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NCDM &amp; UNDP (2021); WB (2021)</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Style w:val="Strong"/>
                <w:rFonts w:ascii="Arial" w:hAnsi="Arial" w:cs="Arial"/>
                <w:sz w:val="22"/>
                <w:szCs w:val="22"/>
              </w:rPr>
              <w:t>Drought-related impacts (freshwater + agriculture)</w:t>
            </w:r>
          </w:p>
        </w:tc>
        <w:tc>
          <w:tcPr>
            <w:tcW w:w="2101" w:type="dxa"/>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Seasonal droughts periodically affected rice production and domestic water supply; water-storage and irrigation infrastructure were inadequate and unevenly distributed. </w:t>
            </w:r>
          </w:p>
        </w:tc>
        <w:tc>
          <w:tcPr>
            <w:tcW w:w="3417" w:type="dxa"/>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Drought has become more frequent and severe under ENSO variability and rising temperatures, with the 2016 event affecting around 2.5 million people. Agricultural zones and peri-urban communities experience recurrent water shortages; shallow aquifers and small reservoirs are increasingly stressed, while aquaculture faces higher mortality, greater disease incidence and rising input costs during prolonged dry periods and heatwaves.</w:t>
            </w:r>
          </w:p>
        </w:tc>
        <w:tc>
          <w:tcPr>
            <w:tcW w:w="0" w:type="auto"/>
            <w:hideMark/>
          </w:tcPr>
          <w:p w:rsidR="00BF4AA8" w:rsidRPr="00BF4AA8" w:rsidRDefault="00BF4AA8"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WB (2021); </w:t>
            </w:r>
            <w:proofErr w:type="spellStart"/>
            <w:r w:rsidRPr="00BF4AA8">
              <w:rPr>
                <w:rFonts w:ascii="Arial" w:hAnsi="Arial" w:cs="Arial"/>
                <w:sz w:val="22"/>
                <w:szCs w:val="22"/>
              </w:rPr>
              <w:t>FiA</w:t>
            </w:r>
            <w:proofErr w:type="spellEnd"/>
            <w:r w:rsidRPr="00BF4AA8">
              <w:rPr>
                <w:rFonts w:ascii="Arial" w:hAnsi="Arial" w:cs="Arial"/>
                <w:sz w:val="22"/>
                <w:szCs w:val="22"/>
              </w:rPr>
              <w:t xml:space="preserve"> (2025)</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Style w:val="Strong"/>
                <w:rFonts w:ascii="Arial" w:hAnsi="Arial" w:cs="Arial"/>
                <w:sz w:val="22"/>
                <w:szCs w:val="22"/>
              </w:rPr>
              <w:t>Transboundary pollution &amp; river–coast linkages</w:t>
            </w:r>
          </w:p>
        </w:tc>
        <w:tc>
          <w:tcPr>
            <w:tcW w:w="2101" w:type="dxa"/>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The Mekong–Tonle Sap–</w:t>
            </w:r>
            <w:proofErr w:type="spellStart"/>
            <w:r w:rsidRPr="00BF4AA8">
              <w:rPr>
                <w:rFonts w:ascii="Arial" w:hAnsi="Arial" w:cs="Arial"/>
                <w:sz w:val="22"/>
                <w:szCs w:val="22"/>
              </w:rPr>
              <w:t>Bassac</w:t>
            </w:r>
            <w:proofErr w:type="spellEnd"/>
            <w:r w:rsidRPr="00BF4AA8">
              <w:rPr>
                <w:rFonts w:ascii="Arial" w:hAnsi="Arial" w:cs="Arial"/>
                <w:sz w:val="22"/>
                <w:szCs w:val="22"/>
              </w:rPr>
              <w:t xml:space="preserve"> system was </w:t>
            </w:r>
            <w:proofErr w:type="spellStart"/>
            <w:r w:rsidRPr="00BF4AA8">
              <w:rPr>
                <w:rFonts w:ascii="Arial" w:hAnsi="Arial" w:cs="Arial"/>
                <w:sz w:val="22"/>
                <w:szCs w:val="22"/>
              </w:rPr>
              <w:t>recognised</w:t>
            </w:r>
            <w:proofErr w:type="spellEnd"/>
            <w:r w:rsidRPr="00BF4AA8">
              <w:rPr>
                <w:rFonts w:ascii="Arial" w:hAnsi="Arial" w:cs="Arial"/>
                <w:sz w:val="22"/>
                <w:szCs w:val="22"/>
              </w:rPr>
              <w:t xml:space="preserve"> as a major conduit for sediment, </w:t>
            </w:r>
            <w:proofErr w:type="gramStart"/>
            <w:r w:rsidRPr="00BF4AA8">
              <w:rPr>
                <w:rFonts w:ascii="Arial" w:hAnsi="Arial" w:cs="Arial"/>
                <w:sz w:val="22"/>
                <w:szCs w:val="22"/>
              </w:rPr>
              <w:t>nutrients</w:t>
            </w:r>
            <w:proofErr w:type="gramEnd"/>
            <w:r w:rsidRPr="00BF4AA8">
              <w:rPr>
                <w:rFonts w:ascii="Arial" w:hAnsi="Arial" w:cs="Arial"/>
                <w:sz w:val="22"/>
                <w:szCs w:val="22"/>
              </w:rPr>
              <w:t xml:space="preserve"> and pollutants, with high </w:t>
            </w:r>
            <w:proofErr w:type="spellStart"/>
            <w:r w:rsidRPr="00BF4AA8">
              <w:rPr>
                <w:rFonts w:ascii="Arial" w:hAnsi="Arial" w:cs="Arial"/>
                <w:sz w:val="22"/>
                <w:szCs w:val="22"/>
              </w:rPr>
              <w:t>faecal</w:t>
            </w:r>
            <w:proofErr w:type="spellEnd"/>
            <w:r w:rsidRPr="00BF4AA8">
              <w:rPr>
                <w:rFonts w:ascii="Arial" w:hAnsi="Arial" w:cs="Arial"/>
                <w:sz w:val="22"/>
                <w:szCs w:val="22"/>
              </w:rPr>
              <w:t xml:space="preserve">-coliform levels in Phnom Penh discharge zones and significant loads delivered to the Vietnamese delta and coastal waters. </w:t>
            </w:r>
          </w:p>
        </w:tc>
        <w:tc>
          <w:tcPr>
            <w:tcW w:w="3417" w:type="dxa"/>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River-borne pollution remains a defining feature of Cambodia’s coastal water quality. Monitoring at Phnom Penh and along the </w:t>
            </w:r>
            <w:proofErr w:type="spellStart"/>
            <w:r w:rsidRPr="00BF4AA8">
              <w:rPr>
                <w:rFonts w:ascii="Arial" w:hAnsi="Arial" w:cs="Arial"/>
                <w:sz w:val="22"/>
                <w:szCs w:val="22"/>
              </w:rPr>
              <w:t>Bassac</w:t>
            </w:r>
            <w:proofErr w:type="spellEnd"/>
            <w:r w:rsidRPr="00BF4AA8">
              <w:rPr>
                <w:rFonts w:ascii="Arial" w:hAnsi="Arial" w:cs="Arial"/>
                <w:sz w:val="22"/>
                <w:szCs w:val="22"/>
              </w:rPr>
              <w:t xml:space="preserve"> indicates persistent exceedance of FC standards and repeated TN/TP exceedances at confluence points; TSS can reach 2,030 mg/L in the </w:t>
            </w:r>
            <w:proofErr w:type="spellStart"/>
            <w:r w:rsidRPr="00BF4AA8">
              <w:rPr>
                <w:rFonts w:ascii="Arial" w:hAnsi="Arial" w:cs="Arial"/>
                <w:sz w:val="22"/>
                <w:szCs w:val="22"/>
              </w:rPr>
              <w:t>Bassac</w:t>
            </w:r>
            <w:proofErr w:type="spellEnd"/>
            <w:r w:rsidRPr="00BF4AA8">
              <w:rPr>
                <w:rFonts w:ascii="Arial" w:hAnsi="Arial" w:cs="Arial"/>
                <w:sz w:val="22"/>
                <w:szCs w:val="22"/>
              </w:rPr>
              <w:t xml:space="preserve"> during high-flow conditions. These loads feed large sediment and nutrient plumes that affect estuaries such as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Bay and Koh Kong and contribute to cross-border nutrient export to the Viet Nam delta and the wider Gulf of Thailand.</w:t>
            </w:r>
          </w:p>
        </w:tc>
        <w:tc>
          <w:tcPr>
            <w:tcW w:w="0" w:type="auto"/>
            <w:hideMark/>
          </w:tcPr>
          <w:p w:rsidR="00BF4AA8" w:rsidRPr="00BF4AA8" w:rsidRDefault="00BF4AA8"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xml:space="preserve"> (2023); ADB (2023)</w:t>
            </w:r>
          </w:p>
        </w:tc>
      </w:tr>
    </w:tbl>
    <w:p w:rsidR="00BF4AA8" w:rsidRPr="00BF4AA8" w:rsidRDefault="00BF4AA8" w:rsidP="00BF4AA8">
      <w:pPr>
        <w:pStyle w:val="Heading2"/>
        <w:rPr>
          <w:rFonts w:ascii="Arial" w:hAnsi="Arial" w:cs="Arial"/>
          <w:color w:val="0070C0"/>
          <w:sz w:val="22"/>
          <w:szCs w:val="22"/>
        </w:rPr>
      </w:pPr>
      <w:bookmarkStart w:id="5" w:name="_Toc216681444"/>
      <w:r w:rsidRPr="00BF4AA8">
        <w:rPr>
          <w:rFonts w:ascii="Arial" w:hAnsi="Arial" w:cs="Arial"/>
          <w:color w:val="0070C0"/>
          <w:sz w:val="22"/>
          <w:szCs w:val="22"/>
        </w:rPr>
        <w:t>Annex 1-</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Annex_1-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2</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New or Intensifying Issues Not Assessed in 2000</w:t>
      </w:r>
      <w:bookmarkEnd w:id="5"/>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New threats not explicitly considered in the 2000 TDA have become major national priorities. Climate change now acts as a system-wide risk amplifier, driving sea-level rise, salinity intrusion, extreme rainfall, urban </w:t>
      </w:r>
      <w:proofErr w:type="gramStart"/>
      <w:r w:rsidRPr="00BF4AA8">
        <w:rPr>
          <w:rFonts w:ascii="Arial" w:hAnsi="Arial" w:cs="Arial"/>
          <w:sz w:val="22"/>
          <w:szCs w:val="22"/>
        </w:rPr>
        <w:t>flooding</w:t>
      </w:r>
      <w:proofErr w:type="gramEnd"/>
      <w:r w:rsidRPr="00BF4AA8">
        <w:rPr>
          <w:rFonts w:ascii="Arial" w:hAnsi="Arial" w:cs="Arial"/>
          <w:sz w:val="22"/>
          <w:szCs w:val="22"/>
        </w:rPr>
        <w:t xml:space="preserve"> and marine heatwaves that undermine infrastructure, fisheries and ecosystems (World Bank, 2023; UNDP &amp; NCDM, 2023). Projections indicate sea-level rise of 11–20 cm by 2050, with observed salinity intrusion extending 5–7 km inland and coral bleaching occurring during strong ENSO years (World Bank, 2023). Urban floods are worsening due to intense rainfall combined with undersized drainage networks.</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Marine plastics and microplastics have become chronic pollutants. Cambodia now generates more than 730,000 t/year of plastic waste, with at least 14,000 t/year entering coastal environments; sediments at several hotspots contain 120–350 microplastic particles per kg (ADB, 2023). Floating debris is increasingly common near ports and tourism beaches, creating risks for marine life, food safety and public health.</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Industrial and port-related pollution has intensified. Inspections show that around 60% of facilities near ports and SEZs are non-compliant with effluent standards, with high levels of oil and grease, total petroleum hydrocarbons, </w:t>
      </w:r>
      <w:proofErr w:type="gramStart"/>
      <w:r w:rsidRPr="00BF4AA8">
        <w:rPr>
          <w:rFonts w:ascii="Arial" w:hAnsi="Arial" w:cs="Arial"/>
          <w:sz w:val="22"/>
          <w:szCs w:val="22"/>
        </w:rPr>
        <w:t>lead</w:t>
      </w:r>
      <w:proofErr w:type="gramEnd"/>
      <w:r w:rsidRPr="00BF4AA8">
        <w:rPr>
          <w:rFonts w:ascii="Arial" w:hAnsi="Arial" w:cs="Arial"/>
          <w:sz w:val="22"/>
          <w:szCs w:val="22"/>
        </w:rPr>
        <w:t xml:space="preserve"> and zinc (ADB, 2023; </w:t>
      </w:r>
      <w:proofErr w:type="spellStart"/>
      <w:r w:rsidRPr="00BF4AA8">
        <w:rPr>
          <w:rFonts w:ascii="Arial" w:hAnsi="Arial" w:cs="Arial"/>
          <w:sz w:val="22"/>
          <w:szCs w:val="22"/>
        </w:rPr>
        <w:t>MoE</w:t>
      </w:r>
      <w:proofErr w:type="spellEnd"/>
      <w:r w:rsidRPr="00BF4AA8">
        <w:rPr>
          <w:rFonts w:ascii="Arial" w:hAnsi="Arial" w:cs="Arial"/>
          <w:sz w:val="22"/>
          <w:szCs w:val="22"/>
        </w:rPr>
        <w:t>, 2013). Hazardous and medical waste generation—estimated at roughly 120,000 t/year for industry and up to 20 t/day during the COVID-19 period—continues to overwhelm available treatment capacity (</w:t>
      </w:r>
      <w:proofErr w:type="spellStart"/>
      <w:r w:rsidRPr="00BF4AA8">
        <w:rPr>
          <w:rFonts w:ascii="Arial" w:hAnsi="Arial" w:cs="Arial"/>
          <w:sz w:val="22"/>
          <w:szCs w:val="22"/>
        </w:rPr>
        <w:t>MoE</w:t>
      </w:r>
      <w:proofErr w:type="spellEnd"/>
      <w:r w:rsidRPr="00BF4AA8">
        <w:rPr>
          <w:rFonts w:ascii="Arial" w:hAnsi="Arial" w:cs="Arial"/>
          <w:sz w:val="22"/>
          <w:szCs w:val="22"/>
        </w:rPr>
        <w:t>, 2013).</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Rapid and often unplanned coastal </w:t>
      </w:r>
      <w:proofErr w:type="spellStart"/>
      <w:r w:rsidRPr="00BF4AA8">
        <w:rPr>
          <w:rFonts w:ascii="Arial" w:hAnsi="Arial" w:cs="Arial"/>
          <w:sz w:val="22"/>
          <w:szCs w:val="22"/>
        </w:rPr>
        <w:t>urbanisation</w:t>
      </w:r>
      <w:proofErr w:type="spellEnd"/>
      <w:r w:rsidRPr="00BF4AA8">
        <w:rPr>
          <w:rFonts w:ascii="Arial" w:hAnsi="Arial" w:cs="Arial"/>
          <w:sz w:val="22"/>
          <w:szCs w:val="22"/>
        </w:rPr>
        <w:t xml:space="preserve"> further strains environmental systems. Cambodia’s urban population reached 39% in 2019, with Sihanoukville expanding fastest through large-scale land reclamation and real-estate growth (PEAMSAE &amp; </w:t>
      </w:r>
      <w:proofErr w:type="spellStart"/>
      <w:r w:rsidRPr="00BF4AA8">
        <w:rPr>
          <w:rFonts w:ascii="Arial" w:hAnsi="Arial" w:cs="Arial"/>
          <w:sz w:val="22"/>
          <w:szCs w:val="22"/>
        </w:rPr>
        <w:t>MoE</w:t>
      </w:r>
      <w:proofErr w:type="spellEnd"/>
      <w:r w:rsidRPr="00BF4AA8">
        <w:rPr>
          <w:rFonts w:ascii="Arial" w:hAnsi="Arial" w:cs="Arial"/>
          <w:sz w:val="22"/>
          <w:szCs w:val="22"/>
        </w:rPr>
        <w:t xml:space="preserve">, 2019). These changes have modified shorelines, reduced natural </w:t>
      </w:r>
      <w:proofErr w:type="gramStart"/>
      <w:r w:rsidRPr="00BF4AA8">
        <w:rPr>
          <w:rFonts w:ascii="Arial" w:hAnsi="Arial" w:cs="Arial"/>
          <w:sz w:val="22"/>
          <w:szCs w:val="22"/>
        </w:rPr>
        <w:t>buffers</w:t>
      </w:r>
      <w:proofErr w:type="gramEnd"/>
      <w:r w:rsidRPr="00BF4AA8">
        <w:rPr>
          <w:rFonts w:ascii="Arial" w:hAnsi="Arial" w:cs="Arial"/>
          <w:sz w:val="22"/>
          <w:szCs w:val="22"/>
        </w:rPr>
        <w:t xml:space="preserve"> and outpaced wastewater and drainage systems, increasing risks of flooding, erosion and pollution.</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Aquaculture expansion contributes growing nutrient and microbial loads. National aquaculture output exceeded 330,000 </w:t>
      </w:r>
      <w:proofErr w:type="spellStart"/>
      <w:r w:rsidRPr="00BF4AA8">
        <w:rPr>
          <w:rFonts w:ascii="Arial" w:hAnsi="Arial" w:cs="Arial"/>
          <w:sz w:val="22"/>
          <w:szCs w:val="22"/>
        </w:rPr>
        <w:t>tonnes</w:t>
      </w:r>
      <w:proofErr w:type="spellEnd"/>
      <w:r w:rsidRPr="00BF4AA8">
        <w:rPr>
          <w:rFonts w:ascii="Arial" w:hAnsi="Arial" w:cs="Arial"/>
          <w:sz w:val="22"/>
          <w:szCs w:val="22"/>
        </w:rPr>
        <w:t xml:space="preserve"> in 2022, with marine farming increasingly intensive in areas such as </w:t>
      </w:r>
      <w:proofErr w:type="spellStart"/>
      <w:r w:rsidRPr="00BF4AA8">
        <w:rPr>
          <w:rFonts w:ascii="Arial" w:hAnsi="Arial" w:cs="Arial"/>
          <w:sz w:val="22"/>
          <w:szCs w:val="22"/>
        </w:rPr>
        <w:t>Trapeang</w:t>
      </w:r>
      <w:proofErr w:type="spellEnd"/>
      <w:r w:rsidRPr="00BF4AA8">
        <w:rPr>
          <w:rFonts w:ascii="Arial" w:hAnsi="Arial" w:cs="Arial"/>
          <w:sz w:val="22"/>
          <w:szCs w:val="22"/>
        </w:rPr>
        <w:t xml:space="preserve"> </w:t>
      </w:r>
      <w:proofErr w:type="spellStart"/>
      <w:r w:rsidRPr="00BF4AA8">
        <w:rPr>
          <w:rFonts w:ascii="Arial" w:hAnsi="Arial" w:cs="Arial"/>
          <w:sz w:val="22"/>
          <w:szCs w:val="22"/>
        </w:rPr>
        <w:t>Ropov</w:t>
      </w:r>
      <w:proofErr w:type="spellEnd"/>
      <w:r w:rsidRPr="00BF4AA8">
        <w:rPr>
          <w:rFonts w:ascii="Arial" w:hAnsi="Arial" w:cs="Arial"/>
          <w:sz w:val="22"/>
          <w:szCs w:val="22"/>
        </w:rPr>
        <w:t xml:space="preserve"> and </w:t>
      </w:r>
      <w:proofErr w:type="spellStart"/>
      <w:r w:rsidRPr="00BF4AA8">
        <w:rPr>
          <w:rFonts w:ascii="Arial" w:hAnsi="Arial" w:cs="Arial"/>
          <w:sz w:val="22"/>
          <w:szCs w:val="22"/>
        </w:rPr>
        <w:t>Chroy</w:t>
      </w:r>
      <w:proofErr w:type="spellEnd"/>
      <w:r w:rsidRPr="00BF4AA8">
        <w:rPr>
          <w:rFonts w:ascii="Arial" w:hAnsi="Arial" w:cs="Arial"/>
          <w:sz w:val="22"/>
          <w:szCs w:val="22"/>
        </w:rPr>
        <w:t xml:space="preserve"> </w:t>
      </w:r>
      <w:proofErr w:type="spellStart"/>
      <w:r w:rsidRPr="00BF4AA8">
        <w:rPr>
          <w:rFonts w:ascii="Arial" w:hAnsi="Arial" w:cs="Arial"/>
          <w:sz w:val="22"/>
          <w:szCs w:val="22"/>
        </w:rPr>
        <w:t>Svay</w:t>
      </w:r>
      <w:proofErr w:type="spellEnd"/>
      <w:r w:rsidRPr="00BF4AA8">
        <w:rPr>
          <w:rFonts w:ascii="Arial" w:hAnsi="Arial" w:cs="Arial"/>
          <w:sz w:val="22"/>
          <w:szCs w:val="22"/>
        </w:rPr>
        <w:t>. Feed conversion ratios of 1.6–2.0 result in 25–30% feed loss to water, raising BOD and TSS, while studies have detected antibiotic-resistance genes in effluents, indicating emerging AMR risks (</w:t>
      </w:r>
      <w:proofErr w:type="spellStart"/>
      <w:r w:rsidRPr="00BF4AA8">
        <w:rPr>
          <w:rFonts w:ascii="Arial" w:hAnsi="Arial" w:cs="Arial"/>
          <w:sz w:val="22"/>
          <w:szCs w:val="22"/>
        </w:rPr>
        <w:t>FiA</w:t>
      </w:r>
      <w:proofErr w:type="spellEnd"/>
      <w:r w:rsidRPr="00BF4AA8">
        <w:rPr>
          <w:rFonts w:ascii="Arial" w:hAnsi="Arial" w:cs="Arial"/>
          <w:sz w:val="22"/>
          <w:szCs w:val="22"/>
        </w:rPr>
        <w:t>, 2025).</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Despite improved legal frameworks—such as the Code on Environment and Natural Resources and expanded MPA coverage—significant governance gaps remain. The NCCMD marine sub-decree is still pending, MSP has not been </w:t>
      </w:r>
      <w:proofErr w:type="spellStart"/>
      <w:r w:rsidRPr="00BF4AA8">
        <w:rPr>
          <w:rFonts w:ascii="Arial" w:hAnsi="Arial" w:cs="Arial"/>
          <w:sz w:val="22"/>
          <w:szCs w:val="22"/>
        </w:rPr>
        <w:t>formalised</w:t>
      </w:r>
      <w:proofErr w:type="spellEnd"/>
      <w:r w:rsidRPr="00BF4AA8">
        <w:rPr>
          <w:rFonts w:ascii="Arial" w:hAnsi="Arial" w:cs="Arial"/>
          <w:sz w:val="22"/>
          <w:szCs w:val="22"/>
        </w:rPr>
        <w:t xml:space="preserve">, fewer than 30% of MPAs </w:t>
      </w:r>
      <w:proofErr w:type="gramStart"/>
      <w:r w:rsidRPr="00BF4AA8">
        <w:rPr>
          <w:rFonts w:ascii="Arial" w:hAnsi="Arial" w:cs="Arial"/>
          <w:sz w:val="22"/>
          <w:szCs w:val="22"/>
        </w:rPr>
        <w:t>are effectively patrolled</w:t>
      </w:r>
      <w:proofErr w:type="gramEnd"/>
      <w:r w:rsidRPr="00BF4AA8">
        <w:rPr>
          <w:rFonts w:ascii="Arial" w:hAnsi="Arial" w:cs="Arial"/>
          <w:sz w:val="22"/>
          <w:szCs w:val="22"/>
        </w:rPr>
        <w:t xml:space="preserve"> and operational budgets for enforcement remain limited (ADB, 2023; PEAMSAE &amp; </w:t>
      </w:r>
      <w:proofErr w:type="spellStart"/>
      <w:r w:rsidRPr="00BF4AA8">
        <w:rPr>
          <w:rFonts w:ascii="Arial" w:hAnsi="Arial" w:cs="Arial"/>
          <w:sz w:val="22"/>
          <w:szCs w:val="22"/>
        </w:rPr>
        <w:t>MoE</w:t>
      </w:r>
      <w:proofErr w:type="spellEnd"/>
      <w:r w:rsidRPr="00BF4AA8">
        <w:rPr>
          <w:rFonts w:ascii="Arial" w:hAnsi="Arial" w:cs="Arial"/>
          <w:sz w:val="22"/>
          <w:szCs w:val="22"/>
        </w:rPr>
        <w:t xml:space="preserve">, 2019). These constraints reduce the State’s capacity to manage cumulative pressures from ports, </w:t>
      </w:r>
      <w:proofErr w:type="gramStart"/>
      <w:r w:rsidRPr="00BF4AA8">
        <w:rPr>
          <w:rFonts w:ascii="Arial" w:hAnsi="Arial" w:cs="Arial"/>
          <w:sz w:val="22"/>
          <w:szCs w:val="22"/>
        </w:rPr>
        <w:t>fisheries</w:t>
      </w:r>
      <w:proofErr w:type="gramEnd"/>
      <w:r w:rsidRPr="00BF4AA8">
        <w:rPr>
          <w:rFonts w:ascii="Arial" w:hAnsi="Arial" w:cs="Arial"/>
          <w:sz w:val="22"/>
          <w:szCs w:val="22"/>
        </w:rPr>
        <w:t xml:space="preserve"> and coastal development.</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Finally, sedimentation and turbidity are rising due to land clearing, road construction, sand mining and coastal works. In Koh Kong, sediment inflows to estuaries have increased by more than 35%, while monsoon-season TSS in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Bay can reach 250–320 mg/L (</w:t>
      </w:r>
      <w:proofErr w:type="spellStart"/>
      <w:r w:rsidRPr="00BF4AA8">
        <w:rPr>
          <w:rFonts w:ascii="Arial" w:hAnsi="Arial" w:cs="Arial"/>
          <w:sz w:val="22"/>
          <w:szCs w:val="22"/>
        </w:rPr>
        <w:t>MoE</w:t>
      </w:r>
      <w:proofErr w:type="spellEnd"/>
      <w:r w:rsidRPr="00BF4AA8">
        <w:rPr>
          <w:rFonts w:ascii="Arial" w:hAnsi="Arial" w:cs="Arial"/>
          <w:sz w:val="22"/>
          <w:szCs w:val="22"/>
        </w:rPr>
        <w:t>, 2013; SCSSAP, 2020). High sediment loads reduce light penetration, stress corals and seagrasses and interact with nutrient enrichment to elevate eutrophication risks.</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Together, these emerging threats demonstrate that Cambodia’s coastal risks are increasingly complex, interconnected and climate-sensitive, necessitating stronger pollution control, climate-resilient planning, compliance systems and a fully operational marine spatial planning framework.</w:t>
      </w:r>
    </w:p>
    <w:p w:rsidR="00BF4AA8" w:rsidRPr="00BF4AA8" w:rsidRDefault="00BF4AA8" w:rsidP="00BF4AA8">
      <w:pPr>
        <w:pStyle w:val="Caption"/>
        <w:jc w:val="both"/>
        <w:rPr>
          <w:rFonts w:ascii="Arial" w:hAnsi="Arial" w:cs="Arial"/>
          <w:color w:val="002060"/>
          <w:sz w:val="22"/>
          <w:szCs w:val="22"/>
        </w:rPr>
      </w:pPr>
      <w:r w:rsidRPr="00BF4AA8">
        <w:rPr>
          <w:rFonts w:ascii="Arial" w:hAnsi="Arial" w:cs="Arial"/>
          <w:color w:val="002060"/>
          <w:sz w:val="22"/>
          <w:szCs w:val="22"/>
        </w:rPr>
        <w:t>Annex Table 1-</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Annex_Table_1-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2</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Emerging environmental issues (post-2000)</w:t>
      </w:r>
    </w:p>
    <w:tbl>
      <w:tblPr>
        <w:tblStyle w:val="GridTable4-Accent5"/>
        <w:tblW w:w="0" w:type="auto"/>
        <w:tblLook w:val="04A0" w:firstRow="1" w:lastRow="0" w:firstColumn="1" w:lastColumn="0" w:noHBand="0" w:noVBand="1"/>
      </w:tblPr>
      <w:tblGrid>
        <w:gridCol w:w="2097"/>
        <w:gridCol w:w="2186"/>
        <w:gridCol w:w="3101"/>
        <w:gridCol w:w="1104"/>
      </w:tblGrid>
      <w:tr w:rsidR="00BF4AA8"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jc w:val="center"/>
              <w:rPr>
                <w:rFonts w:ascii="Arial" w:hAnsi="Arial" w:cs="Arial"/>
                <w:sz w:val="22"/>
                <w:szCs w:val="22"/>
              </w:rPr>
            </w:pPr>
            <w:r w:rsidRPr="00BF4AA8">
              <w:rPr>
                <w:rStyle w:val="Strong"/>
                <w:rFonts w:ascii="Arial" w:hAnsi="Arial" w:cs="Arial"/>
                <w:sz w:val="22"/>
                <w:szCs w:val="22"/>
              </w:rPr>
              <w:t>New or Emerging Issue (Post-2000)</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b/>
                <w:bCs/>
                <w:sz w:val="22"/>
                <w:szCs w:val="22"/>
              </w:rPr>
              <w:t>2000 Status</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b/>
                <w:bCs/>
                <w:sz w:val="22"/>
                <w:szCs w:val="22"/>
              </w:rPr>
              <w:t>2025 Status</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Key Sources</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b w:val="0"/>
                <w:bCs w:val="0"/>
                <w:sz w:val="22"/>
                <w:szCs w:val="22"/>
              </w:rPr>
            </w:pPr>
            <w:r w:rsidRPr="00BF4AA8">
              <w:rPr>
                <w:rStyle w:val="Strong"/>
                <w:rFonts w:ascii="Arial" w:hAnsi="Arial" w:cs="Arial"/>
                <w:sz w:val="22"/>
                <w:szCs w:val="22"/>
              </w:rPr>
              <w:t>Climate change impacts (SLR, salinity intrusion, marine heatwaves)</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Climate change </w:t>
            </w:r>
            <w:proofErr w:type="gramStart"/>
            <w:r w:rsidRPr="00BF4AA8">
              <w:rPr>
                <w:rFonts w:ascii="Arial" w:hAnsi="Arial" w:cs="Arial"/>
                <w:sz w:val="22"/>
                <w:szCs w:val="22"/>
              </w:rPr>
              <w:t>was not explicitly included</w:t>
            </w:r>
            <w:proofErr w:type="gramEnd"/>
            <w:r w:rsidRPr="00BF4AA8">
              <w:rPr>
                <w:rFonts w:ascii="Arial" w:hAnsi="Arial" w:cs="Arial"/>
                <w:sz w:val="22"/>
                <w:szCs w:val="22"/>
              </w:rPr>
              <w:t xml:space="preserve"> as a separate diagnostic theme; sea-level rise and temperature change were not quantified in the 2000 national report. </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Recent projections indicate sea-level rise of +11–20 cm by 2050, accompanied by higher sea-surface temperatures and more frequent marine heatwaves. Observed impacts include advancing salinity intrusion (5–7 km inland in some estuaries), greater coastal-flood depth and duration, and mass-bleaching episodes on coral reefs, particularly during strong ENSO years. Urban flooding is intensifying as extreme rainfall interacts with undersized drainage and high impervious-surface cover.</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WB (2021)</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Style w:val="Strong"/>
                <w:rFonts w:ascii="Arial" w:hAnsi="Arial" w:cs="Arial"/>
                <w:sz w:val="22"/>
                <w:szCs w:val="22"/>
              </w:rPr>
              <w:t>Marine plastics &amp; microplastics</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Plastic waste and microplastics </w:t>
            </w:r>
            <w:proofErr w:type="gramStart"/>
            <w:r w:rsidRPr="00BF4AA8">
              <w:rPr>
                <w:rFonts w:ascii="Arial" w:hAnsi="Arial" w:cs="Arial"/>
                <w:sz w:val="22"/>
                <w:szCs w:val="22"/>
              </w:rPr>
              <w:t>were not recorded</w:t>
            </w:r>
            <w:proofErr w:type="gramEnd"/>
            <w:r w:rsidRPr="00BF4AA8">
              <w:rPr>
                <w:rFonts w:ascii="Arial" w:hAnsi="Arial" w:cs="Arial"/>
                <w:sz w:val="22"/>
                <w:szCs w:val="22"/>
              </w:rPr>
              <w:t xml:space="preserve"> as a distinct pollution category and received little or no attention in the 2000 analysis. </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National plastic-waste generation now exceeds 730,000 t/year, with coastal leakage estimated at more than 14,000 t/year. Coastal sediments in some hotspots contain 120–350 microplastic particles/kg, and floating debris </w:t>
            </w:r>
            <w:proofErr w:type="gramStart"/>
            <w:r w:rsidRPr="00BF4AA8">
              <w:rPr>
                <w:rFonts w:ascii="Arial" w:hAnsi="Arial" w:cs="Arial"/>
                <w:sz w:val="22"/>
                <w:szCs w:val="22"/>
              </w:rPr>
              <w:t>is commonly observed</w:t>
            </w:r>
            <w:proofErr w:type="gramEnd"/>
            <w:r w:rsidRPr="00BF4AA8">
              <w:rPr>
                <w:rFonts w:ascii="Arial" w:hAnsi="Arial" w:cs="Arial"/>
                <w:sz w:val="22"/>
                <w:szCs w:val="22"/>
              </w:rPr>
              <w:t xml:space="preserve"> near ports, tourism beaches and river mouths. These trends pose chronic risks to marine life, fisheries, </w:t>
            </w:r>
            <w:proofErr w:type="gramStart"/>
            <w:r w:rsidRPr="00BF4AA8">
              <w:rPr>
                <w:rFonts w:ascii="Arial" w:hAnsi="Arial" w:cs="Arial"/>
                <w:sz w:val="22"/>
                <w:szCs w:val="22"/>
              </w:rPr>
              <w:t>tourism</w:t>
            </w:r>
            <w:proofErr w:type="gramEnd"/>
            <w:r w:rsidRPr="00BF4AA8">
              <w:rPr>
                <w:rFonts w:ascii="Arial" w:hAnsi="Arial" w:cs="Arial"/>
                <w:sz w:val="22"/>
                <w:szCs w:val="22"/>
              </w:rPr>
              <w:t xml:space="preserve"> and public health.</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xml:space="preserve"> (2023)</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Style w:val="Strong"/>
                <w:rFonts w:ascii="Arial" w:hAnsi="Arial" w:cs="Arial"/>
                <w:sz w:val="22"/>
                <w:szCs w:val="22"/>
              </w:rPr>
              <w:t>Industrial &amp; port-related pollution</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Industrial and port activities </w:t>
            </w:r>
            <w:proofErr w:type="gramStart"/>
            <w:r w:rsidRPr="00BF4AA8">
              <w:rPr>
                <w:rFonts w:ascii="Arial" w:hAnsi="Arial" w:cs="Arial"/>
                <w:sz w:val="22"/>
                <w:szCs w:val="22"/>
              </w:rPr>
              <w:t>were mentioned</w:t>
            </w:r>
            <w:proofErr w:type="gramEnd"/>
            <w:r w:rsidRPr="00BF4AA8">
              <w:rPr>
                <w:rFonts w:ascii="Arial" w:hAnsi="Arial" w:cs="Arial"/>
                <w:sz w:val="22"/>
                <w:szCs w:val="22"/>
              </w:rPr>
              <w:t xml:space="preserve"> only briefly, with limited data on effluent composition or spill risks. </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Expansion of coastal SEZs and port infrastructure has created </w:t>
            </w:r>
            <w:proofErr w:type="spellStart"/>
            <w:r w:rsidRPr="00BF4AA8">
              <w:rPr>
                <w:rFonts w:ascii="Arial" w:hAnsi="Arial" w:cs="Arial"/>
                <w:sz w:val="22"/>
                <w:szCs w:val="22"/>
              </w:rPr>
              <w:t>localised</w:t>
            </w:r>
            <w:proofErr w:type="spellEnd"/>
            <w:r w:rsidRPr="00BF4AA8">
              <w:rPr>
                <w:rFonts w:ascii="Arial" w:hAnsi="Arial" w:cs="Arial"/>
                <w:sz w:val="22"/>
                <w:szCs w:val="22"/>
              </w:rPr>
              <w:t xml:space="preserve"> toxic hotspots. Recent inspections show about 60% of sampled facilities near ports/industrial zones are non-compliant with effluent standards, with elevated oil &amp; grease, TPH, Pb and Zn. Hazardous and medical wastes (~120,000 t/year industrial; COVID-era medical peaks up to 20 t/day) strain limited treatment and disposal capacity, increasing the risk of accidental releases and chronic contamination.</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ADB (2023)</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Style w:val="Strong"/>
                <w:rFonts w:ascii="Arial" w:hAnsi="Arial" w:cs="Arial"/>
                <w:sz w:val="22"/>
                <w:szCs w:val="22"/>
              </w:rPr>
              <w:t>Urbanization pressure &amp; land reclamation</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Urbanisation</w:t>
            </w:r>
            <w:proofErr w:type="spellEnd"/>
            <w:r w:rsidRPr="00BF4AA8">
              <w:rPr>
                <w:rFonts w:ascii="Arial" w:hAnsi="Arial" w:cs="Arial"/>
                <w:sz w:val="22"/>
                <w:szCs w:val="22"/>
              </w:rPr>
              <w:t xml:space="preserve"> levels were relatively low (~16% of the population in 1998), and large-scale coastal reclamation had not yet begun.</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Urbanisation</w:t>
            </w:r>
            <w:proofErr w:type="spellEnd"/>
            <w:r w:rsidRPr="00BF4AA8">
              <w:rPr>
                <w:rFonts w:ascii="Arial" w:hAnsi="Arial" w:cs="Arial"/>
                <w:sz w:val="22"/>
                <w:szCs w:val="22"/>
              </w:rPr>
              <w:t xml:space="preserve"> has accelerated sharply: Census data show the urban share rising to 39% by 2019, with especially rapid growth in Sihanoukville and other coastal towns. Extensive land reclamation and real-estate development in Preah Sihanouk and selected estuaries have altered shoreline configuration, reduced natural </w:t>
            </w:r>
            <w:proofErr w:type="gramStart"/>
            <w:r w:rsidRPr="00BF4AA8">
              <w:rPr>
                <w:rFonts w:ascii="Arial" w:hAnsi="Arial" w:cs="Arial"/>
                <w:sz w:val="22"/>
                <w:szCs w:val="22"/>
              </w:rPr>
              <w:t>buffers</w:t>
            </w:r>
            <w:proofErr w:type="gramEnd"/>
            <w:r w:rsidRPr="00BF4AA8">
              <w:rPr>
                <w:rFonts w:ascii="Arial" w:hAnsi="Arial" w:cs="Arial"/>
                <w:sz w:val="22"/>
                <w:szCs w:val="22"/>
              </w:rPr>
              <w:t xml:space="preserve"> and outpaced the capacity of drainage, wastewater and solid-waste systems, heightening exposure to floods, erosion and pollution.</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NIS (2019)</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Style w:val="Strong"/>
                <w:rFonts w:ascii="Arial" w:hAnsi="Arial" w:cs="Arial"/>
                <w:sz w:val="22"/>
                <w:szCs w:val="22"/>
              </w:rPr>
              <w:t>Aquaculture nutrient/microbial loading</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Aquaculture existed but at relatively small scale; nutrient and microbial loads from ponds and cages </w:t>
            </w:r>
            <w:proofErr w:type="gramStart"/>
            <w:r w:rsidRPr="00BF4AA8">
              <w:rPr>
                <w:rFonts w:ascii="Arial" w:hAnsi="Arial" w:cs="Arial"/>
                <w:sz w:val="22"/>
                <w:szCs w:val="22"/>
              </w:rPr>
              <w:t>were not considered</w:t>
            </w:r>
            <w:proofErr w:type="gramEnd"/>
            <w:r w:rsidRPr="00BF4AA8">
              <w:rPr>
                <w:rFonts w:ascii="Arial" w:hAnsi="Arial" w:cs="Arial"/>
                <w:sz w:val="22"/>
                <w:szCs w:val="22"/>
              </w:rPr>
              <w:t xml:space="preserve"> a major driver in the 2000 diagnosis. </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Aquaculture has expanded dramatically, with national production reaching over 330,000 t in 2022. Marine/coastal farming remains a smaller share but is locally intense: feed conversion ratios of 1.6–2.0 imply that 25–30% of feed </w:t>
            </w:r>
            <w:proofErr w:type="gramStart"/>
            <w:r w:rsidRPr="00BF4AA8">
              <w:rPr>
                <w:rFonts w:ascii="Arial" w:hAnsi="Arial" w:cs="Arial"/>
                <w:sz w:val="22"/>
                <w:szCs w:val="22"/>
              </w:rPr>
              <w:t>is lost</w:t>
            </w:r>
            <w:proofErr w:type="gramEnd"/>
            <w:r w:rsidRPr="00BF4AA8">
              <w:rPr>
                <w:rFonts w:ascii="Arial" w:hAnsi="Arial" w:cs="Arial"/>
                <w:sz w:val="22"/>
                <w:szCs w:val="22"/>
              </w:rPr>
              <w:t xml:space="preserve"> as waste, elevating BOD and TSS in dense farming zones such as </w:t>
            </w:r>
            <w:proofErr w:type="spellStart"/>
            <w:r w:rsidRPr="00BF4AA8">
              <w:rPr>
                <w:rFonts w:ascii="Arial" w:hAnsi="Arial" w:cs="Arial"/>
                <w:sz w:val="22"/>
                <w:szCs w:val="22"/>
              </w:rPr>
              <w:t>Trapeang</w:t>
            </w:r>
            <w:proofErr w:type="spellEnd"/>
            <w:r w:rsidRPr="00BF4AA8">
              <w:rPr>
                <w:rFonts w:ascii="Arial" w:hAnsi="Arial" w:cs="Arial"/>
                <w:sz w:val="22"/>
                <w:szCs w:val="22"/>
              </w:rPr>
              <w:t xml:space="preserve"> </w:t>
            </w:r>
            <w:proofErr w:type="spellStart"/>
            <w:r w:rsidRPr="00BF4AA8">
              <w:rPr>
                <w:rFonts w:ascii="Arial" w:hAnsi="Arial" w:cs="Arial"/>
                <w:sz w:val="22"/>
                <w:szCs w:val="22"/>
              </w:rPr>
              <w:t>Ropov</w:t>
            </w:r>
            <w:proofErr w:type="spellEnd"/>
            <w:r w:rsidRPr="00BF4AA8">
              <w:rPr>
                <w:rFonts w:ascii="Arial" w:hAnsi="Arial" w:cs="Arial"/>
                <w:sz w:val="22"/>
                <w:szCs w:val="22"/>
              </w:rPr>
              <w:t xml:space="preserve"> and </w:t>
            </w:r>
            <w:proofErr w:type="spellStart"/>
            <w:r w:rsidRPr="00BF4AA8">
              <w:rPr>
                <w:rFonts w:ascii="Arial" w:hAnsi="Arial" w:cs="Arial"/>
                <w:sz w:val="22"/>
                <w:szCs w:val="22"/>
              </w:rPr>
              <w:t>Chroy</w:t>
            </w:r>
            <w:proofErr w:type="spellEnd"/>
            <w:r w:rsidRPr="00BF4AA8">
              <w:rPr>
                <w:rFonts w:ascii="Arial" w:hAnsi="Arial" w:cs="Arial"/>
                <w:sz w:val="22"/>
                <w:szCs w:val="22"/>
              </w:rPr>
              <w:t xml:space="preserve"> </w:t>
            </w:r>
            <w:proofErr w:type="spellStart"/>
            <w:r w:rsidRPr="00BF4AA8">
              <w:rPr>
                <w:rFonts w:ascii="Arial" w:hAnsi="Arial" w:cs="Arial"/>
                <w:sz w:val="22"/>
                <w:szCs w:val="22"/>
              </w:rPr>
              <w:t>Svay</w:t>
            </w:r>
            <w:proofErr w:type="spellEnd"/>
            <w:r w:rsidRPr="00BF4AA8">
              <w:rPr>
                <w:rFonts w:ascii="Arial" w:hAnsi="Arial" w:cs="Arial"/>
                <w:sz w:val="22"/>
                <w:szCs w:val="22"/>
              </w:rPr>
              <w:t xml:space="preserve">. Studies detect antibiotic-resistance genes in farm effluents, </w:t>
            </w:r>
            <w:proofErr w:type="spellStart"/>
            <w:r w:rsidRPr="00BF4AA8">
              <w:rPr>
                <w:rFonts w:ascii="Arial" w:hAnsi="Arial" w:cs="Arial"/>
                <w:sz w:val="22"/>
                <w:szCs w:val="22"/>
              </w:rPr>
              <w:t>signalling</w:t>
            </w:r>
            <w:proofErr w:type="spellEnd"/>
            <w:r w:rsidRPr="00BF4AA8">
              <w:rPr>
                <w:rFonts w:ascii="Arial" w:hAnsi="Arial" w:cs="Arial"/>
                <w:sz w:val="22"/>
                <w:szCs w:val="22"/>
              </w:rPr>
              <w:t xml:space="preserve"> emerging AMR risks alongside disease outbreaks and periodic mass mortality events.</w:t>
            </w:r>
          </w:p>
        </w:tc>
        <w:tc>
          <w:tcPr>
            <w:tcW w:w="0" w:type="auto"/>
            <w:hideMark/>
          </w:tcPr>
          <w:p w:rsidR="00BF4AA8" w:rsidRPr="00BF4AA8" w:rsidRDefault="00BF4AA8"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FiA</w:t>
            </w:r>
            <w:proofErr w:type="spellEnd"/>
            <w:r w:rsidRPr="00BF4AA8">
              <w:rPr>
                <w:rFonts w:ascii="Arial" w:hAnsi="Arial" w:cs="Arial"/>
                <w:sz w:val="22"/>
                <w:szCs w:val="22"/>
              </w:rPr>
              <w:t xml:space="preserve"> (2025)</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Style w:val="Strong"/>
                <w:rFonts w:ascii="Arial" w:hAnsi="Arial" w:cs="Arial"/>
                <w:sz w:val="22"/>
                <w:szCs w:val="22"/>
              </w:rPr>
              <w:t>Governance gaps in enforcement &amp; MSP</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The 2000 report noted fragmented mandates and limited capacity but did not systematically assess governance performance, ICZM or MSP. </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Today, Cambodia has a more complete legal and institutional framework (Code on Environment &amp; Natural Resources, Fisheries Law, PAs, IWRM commitments, NCCMD/NCSD), but significant gaps remain at sea. The NCCMD marine sub-decree is still pending, leaving offshore zoning and MSP without a clear legal backbone; MPA coverage has increased but less than 30% of marine protected areas </w:t>
            </w:r>
            <w:proofErr w:type="gramStart"/>
            <w:r w:rsidRPr="00BF4AA8">
              <w:rPr>
                <w:rFonts w:ascii="Arial" w:hAnsi="Arial" w:cs="Arial"/>
                <w:sz w:val="22"/>
                <w:szCs w:val="22"/>
              </w:rPr>
              <w:t>are effectively patrolled</w:t>
            </w:r>
            <w:proofErr w:type="gramEnd"/>
            <w:r w:rsidRPr="00BF4AA8">
              <w:rPr>
                <w:rFonts w:ascii="Arial" w:hAnsi="Arial" w:cs="Arial"/>
                <w:sz w:val="22"/>
                <w:szCs w:val="22"/>
              </w:rPr>
              <w:t xml:space="preserve">; and patrol, prosecution and O&amp;M budgets remain thin. These factors limit the ability of institutions to reverse ecosystem degradation and manage cumulative impacts from ports, </w:t>
            </w:r>
            <w:proofErr w:type="gramStart"/>
            <w:r w:rsidRPr="00BF4AA8">
              <w:rPr>
                <w:rFonts w:ascii="Arial" w:hAnsi="Arial" w:cs="Arial"/>
                <w:sz w:val="22"/>
                <w:szCs w:val="22"/>
              </w:rPr>
              <w:t>tourism</w:t>
            </w:r>
            <w:proofErr w:type="gramEnd"/>
            <w:r w:rsidRPr="00BF4AA8">
              <w:rPr>
                <w:rFonts w:ascii="Arial" w:hAnsi="Arial" w:cs="Arial"/>
                <w:sz w:val="22"/>
                <w:szCs w:val="22"/>
              </w:rPr>
              <w:t xml:space="preserve"> and fisheries.</w:t>
            </w:r>
          </w:p>
        </w:tc>
        <w:tc>
          <w:tcPr>
            <w:tcW w:w="0" w:type="auto"/>
            <w:hideMark/>
          </w:tcPr>
          <w:p w:rsidR="00BF4AA8" w:rsidRPr="00BF4AA8" w:rsidRDefault="00BF4AA8"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xml:space="preserve"> (2024)</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Style w:val="Strong"/>
                <w:rFonts w:ascii="Arial" w:hAnsi="Arial" w:cs="Arial"/>
                <w:sz w:val="22"/>
                <w:szCs w:val="22"/>
              </w:rPr>
              <w:t>Sedimentation / turbidity from land-use change</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Sediment and turbidity issues </w:t>
            </w:r>
            <w:proofErr w:type="gramStart"/>
            <w:r w:rsidRPr="00BF4AA8">
              <w:rPr>
                <w:rFonts w:ascii="Arial" w:hAnsi="Arial" w:cs="Arial"/>
                <w:sz w:val="22"/>
                <w:szCs w:val="22"/>
              </w:rPr>
              <w:t xml:space="preserve">were </w:t>
            </w:r>
            <w:proofErr w:type="spellStart"/>
            <w:r w:rsidRPr="00BF4AA8">
              <w:rPr>
                <w:rFonts w:ascii="Arial" w:hAnsi="Arial" w:cs="Arial"/>
                <w:sz w:val="22"/>
                <w:szCs w:val="22"/>
              </w:rPr>
              <w:t>recognised</w:t>
            </w:r>
            <w:proofErr w:type="spellEnd"/>
            <w:proofErr w:type="gramEnd"/>
            <w:r w:rsidRPr="00BF4AA8">
              <w:rPr>
                <w:rFonts w:ascii="Arial" w:hAnsi="Arial" w:cs="Arial"/>
                <w:sz w:val="22"/>
                <w:szCs w:val="22"/>
              </w:rPr>
              <w:t xml:space="preserve"> but not quantified; monitoring was limited to a few stations and data on land-use drivers were sparse. </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Land clearing, road construction, sand mining and coastal works have increased sediment yields. In Koh Kong, land-cover change and infrastructure expansion are estimated to have raised sediment inflows to estuaries by more than 35%, while TSS in some monsoon-affected estuaries (</w:t>
            </w:r>
            <w:proofErr w:type="gramStart"/>
            <w:r w:rsidRPr="00BF4AA8">
              <w:rPr>
                <w:rFonts w:ascii="Arial" w:hAnsi="Arial" w:cs="Arial"/>
                <w:sz w:val="22"/>
                <w:szCs w:val="22"/>
              </w:rPr>
              <w:t>e.g.</w:t>
            </w:r>
            <w:proofErr w:type="gramEnd"/>
            <w:r w:rsidRPr="00BF4AA8">
              <w:rPr>
                <w:rFonts w:ascii="Arial" w:hAnsi="Arial" w:cs="Arial"/>
                <w:sz w:val="22"/>
                <w:szCs w:val="22"/>
              </w:rPr>
              <w:t xml:space="preserve">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Bay) can exceed 250–320 mg/L. These high loads reduce light penetration, stress corals and seagrasses, and interact with nutrient enrichment to increase the risk of eutrophication and habitat loss.</w:t>
            </w:r>
          </w:p>
        </w:tc>
        <w:tc>
          <w:tcPr>
            <w:tcW w:w="0" w:type="auto"/>
            <w:hideMark/>
          </w:tcPr>
          <w:p w:rsidR="00BF4AA8" w:rsidRPr="00BF4AA8" w:rsidRDefault="00BF4AA8"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xml:space="preserve"> (2023)</w:t>
            </w:r>
          </w:p>
        </w:tc>
      </w:tr>
    </w:tbl>
    <w:p w:rsidR="00BF4AA8" w:rsidRPr="00BF4AA8" w:rsidRDefault="00BF4AA8" w:rsidP="00BF4AA8">
      <w:pPr>
        <w:jc w:val="both"/>
        <w:rPr>
          <w:rFonts w:ascii="Arial" w:hAnsi="Arial" w:cs="Arial"/>
          <w:sz w:val="22"/>
          <w:szCs w:val="22"/>
        </w:rPr>
      </w:pPr>
    </w:p>
    <w:p w:rsidR="00BF4AA8" w:rsidRPr="00BF4AA8" w:rsidRDefault="00BF4AA8" w:rsidP="00BF4AA8">
      <w:pPr>
        <w:pStyle w:val="Heading2"/>
        <w:rPr>
          <w:rFonts w:ascii="Arial" w:hAnsi="Arial" w:cs="Arial"/>
          <w:color w:val="0070C0"/>
          <w:sz w:val="22"/>
          <w:szCs w:val="22"/>
        </w:rPr>
      </w:pPr>
      <w:bookmarkStart w:id="6" w:name="_Toc216681445"/>
      <w:r w:rsidRPr="00BF4AA8">
        <w:rPr>
          <w:rFonts w:ascii="Arial" w:hAnsi="Arial" w:cs="Arial"/>
          <w:color w:val="0070C0"/>
          <w:sz w:val="22"/>
          <w:szCs w:val="22"/>
        </w:rPr>
        <w:t>Annex 1-</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Annex_1-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3</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Subnational Geographic Divisions</w:t>
      </w:r>
      <w:bookmarkEnd w:id="6"/>
    </w:p>
    <w:p w:rsidR="00BF4AA8" w:rsidRPr="00BF4AA8" w:rsidRDefault="00BF4AA8" w:rsidP="00BF4AA8">
      <w:pPr>
        <w:pStyle w:val="Caption"/>
        <w:jc w:val="both"/>
        <w:rPr>
          <w:rFonts w:ascii="Arial" w:hAnsi="Arial" w:cs="Arial"/>
          <w:color w:val="002060"/>
          <w:sz w:val="22"/>
          <w:szCs w:val="22"/>
        </w:rPr>
      </w:pPr>
      <w:r w:rsidRPr="00BF4AA8">
        <w:rPr>
          <w:rFonts w:ascii="Arial" w:hAnsi="Arial" w:cs="Arial"/>
          <w:color w:val="002060"/>
          <w:sz w:val="22"/>
          <w:szCs w:val="22"/>
        </w:rPr>
        <w:t>Annex Table 1-</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Annex_Table_1-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3</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Geographic divisions used in the analysis</w:t>
      </w:r>
    </w:p>
    <w:tbl>
      <w:tblPr>
        <w:tblStyle w:val="GridTable4-Accent5"/>
        <w:tblW w:w="0" w:type="auto"/>
        <w:tblLook w:val="04A0" w:firstRow="1" w:lastRow="0" w:firstColumn="1" w:lastColumn="0" w:noHBand="0" w:noVBand="1"/>
      </w:tblPr>
      <w:tblGrid>
        <w:gridCol w:w="1639"/>
        <w:gridCol w:w="3708"/>
        <w:gridCol w:w="3141"/>
      </w:tblGrid>
      <w:tr w:rsidR="00BF4AA8"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jc w:val="both"/>
              <w:rPr>
                <w:rFonts w:ascii="Arial" w:hAnsi="Arial" w:cs="Arial"/>
                <w:sz w:val="22"/>
                <w:szCs w:val="22"/>
              </w:rPr>
            </w:pPr>
            <w:r w:rsidRPr="00BF4AA8">
              <w:rPr>
                <w:rFonts w:ascii="Arial" w:hAnsi="Arial" w:cs="Arial"/>
                <w:sz w:val="22"/>
                <w:szCs w:val="22"/>
              </w:rPr>
              <w:t>Division</w:t>
            </w:r>
          </w:p>
        </w:tc>
        <w:tc>
          <w:tcPr>
            <w:tcW w:w="0" w:type="auto"/>
            <w:hideMark/>
          </w:tcPr>
          <w:p w:rsidR="00BF4AA8" w:rsidRPr="00BF4AA8" w:rsidRDefault="00BF4AA8"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Description</w:t>
            </w:r>
          </w:p>
        </w:tc>
        <w:tc>
          <w:tcPr>
            <w:tcW w:w="0" w:type="auto"/>
            <w:hideMark/>
          </w:tcPr>
          <w:p w:rsidR="00BF4AA8" w:rsidRPr="00BF4AA8" w:rsidRDefault="00BF4AA8"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Application</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jc w:val="both"/>
              <w:rPr>
                <w:rFonts w:ascii="Arial" w:hAnsi="Arial" w:cs="Arial"/>
                <w:sz w:val="22"/>
                <w:szCs w:val="22"/>
              </w:rPr>
            </w:pPr>
            <w:r w:rsidRPr="00BF4AA8">
              <w:rPr>
                <w:rFonts w:ascii="Arial" w:hAnsi="Arial" w:cs="Arial"/>
                <w:sz w:val="22"/>
                <w:szCs w:val="22"/>
              </w:rPr>
              <w:t>Coastal provinces</w:t>
            </w:r>
          </w:p>
        </w:tc>
        <w:tc>
          <w:tcPr>
            <w:tcW w:w="0" w:type="auto"/>
            <w:hideMark/>
          </w:tcPr>
          <w:p w:rsidR="00BF4AA8" w:rsidRPr="00BF4AA8" w:rsidRDefault="00BF4AA8"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Koh Kong, Preah Sihanouk,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w:t>
            </w:r>
            <w:proofErr w:type="spellStart"/>
            <w:r w:rsidRPr="00BF4AA8">
              <w:rPr>
                <w:rFonts w:ascii="Arial" w:hAnsi="Arial" w:cs="Arial"/>
                <w:sz w:val="22"/>
                <w:szCs w:val="22"/>
              </w:rPr>
              <w:t>Kep</w:t>
            </w:r>
            <w:proofErr w:type="spellEnd"/>
          </w:p>
        </w:tc>
        <w:tc>
          <w:tcPr>
            <w:tcW w:w="0" w:type="auto"/>
            <w:hideMark/>
          </w:tcPr>
          <w:p w:rsidR="00BF4AA8" w:rsidRPr="00BF4AA8" w:rsidRDefault="00BF4AA8"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Socioeconomics, climate risk, governance.</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jc w:val="both"/>
              <w:rPr>
                <w:rFonts w:ascii="Arial" w:hAnsi="Arial" w:cs="Arial"/>
                <w:sz w:val="22"/>
                <w:szCs w:val="22"/>
              </w:rPr>
            </w:pPr>
            <w:r w:rsidRPr="00BF4AA8">
              <w:rPr>
                <w:rFonts w:ascii="Arial" w:hAnsi="Arial" w:cs="Arial"/>
                <w:sz w:val="22"/>
                <w:szCs w:val="22"/>
              </w:rPr>
              <w:t>River basins</w:t>
            </w:r>
          </w:p>
        </w:tc>
        <w:tc>
          <w:tcPr>
            <w:tcW w:w="0" w:type="auto"/>
            <w:hideMark/>
          </w:tcPr>
          <w:p w:rsidR="00BF4AA8" w:rsidRPr="00BF4AA8" w:rsidRDefault="00BF4AA8"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Mekong–Tonle Sap–</w:t>
            </w:r>
            <w:proofErr w:type="spellStart"/>
            <w:r w:rsidRPr="00BF4AA8">
              <w:rPr>
                <w:rFonts w:ascii="Arial" w:hAnsi="Arial" w:cs="Arial"/>
                <w:sz w:val="22"/>
                <w:szCs w:val="22"/>
              </w:rPr>
              <w:t>Bassac</w:t>
            </w:r>
            <w:proofErr w:type="spellEnd"/>
            <w:r w:rsidRPr="00BF4AA8">
              <w:rPr>
                <w:rFonts w:ascii="Arial" w:hAnsi="Arial" w:cs="Arial"/>
                <w:sz w:val="22"/>
                <w:szCs w:val="22"/>
              </w:rPr>
              <w:t xml:space="preserve">; </w:t>
            </w:r>
            <w:proofErr w:type="spellStart"/>
            <w:r w:rsidRPr="00BF4AA8">
              <w:rPr>
                <w:rFonts w:ascii="Arial" w:hAnsi="Arial" w:cs="Arial"/>
                <w:sz w:val="22"/>
                <w:szCs w:val="22"/>
              </w:rPr>
              <w:t>Tatai</w:t>
            </w:r>
            <w:proofErr w:type="spellEnd"/>
            <w:r w:rsidRPr="00BF4AA8">
              <w:rPr>
                <w:rFonts w:ascii="Arial" w:hAnsi="Arial" w:cs="Arial"/>
                <w:sz w:val="22"/>
                <w:szCs w:val="22"/>
              </w:rPr>
              <w:t xml:space="preserve">; </w:t>
            </w:r>
            <w:proofErr w:type="spellStart"/>
            <w:r w:rsidRPr="00BF4AA8">
              <w:rPr>
                <w:rFonts w:ascii="Arial" w:hAnsi="Arial" w:cs="Arial"/>
                <w:sz w:val="22"/>
                <w:szCs w:val="22"/>
              </w:rPr>
              <w:t>Kah</w:t>
            </w:r>
            <w:proofErr w:type="spellEnd"/>
            <w:r w:rsidRPr="00BF4AA8">
              <w:rPr>
                <w:rFonts w:ascii="Arial" w:hAnsi="Arial" w:cs="Arial"/>
                <w:sz w:val="22"/>
                <w:szCs w:val="22"/>
              </w:rPr>
              <w:t xml:space="preserve"> </w:t>
            </w:r>
            <w:proofErr w:type="spellStart"/>
            <w:r w:rsidRPr="00BF4AA8">
              <w:rPr>
                <w:rFonts w:ascii="Arial" w:hAnsi="Arial" w:cs="Arial"/>
                <w:sz w:val="22"/>
                <w:szCs w:val="22"/>
              </w:rPr>
              <w:t>Bpow</w:t>
            </w:r>
            <w:proofErr w:type="spellEnd"/>
            <w:r w:rsidRPr="00BF4AA8">
              <w:rPr>
                <w:rFonts w:ascii="Arial" w:hAnsi="Arial" w:cs="Arial"/>
                <w:sz w:val="22"/>
                <w:szCs w:val="22"/>
              </w:rPr>
              <w:t xml:space="preserve">; </w:t>
            </w:r>
            <w:proofErr w:type="spellStart"/>
            <w:r w:rsidRPr="00BF4AA8">
              <w:rPr>
                <w:rFonts w:ascii="Arial" w:hAnsi="Arial" w:cs="Arial"/>
                <w:sz w:val="22"/>
                <w:szCs w:val="22"/>
              </w:rPr>
              <w:t>Prek</w:t>
            </w:r>
            <w:proofErr w:type="spellEnd"/>
            <w:r w:rsidRPr="00BF4AA8">
              <w:rPr>
                <w:rFonts w:ascii="Arial" w:hAnsi="Arial" w:cs="Arial"/>
                <w:sz w:val="22"/>
                <w:szCs w:val="22"/>
              </w:rPr>
              <w:t xml:space="preserve"> </w:t>
            </w:r>
            <w:proofErr w:type="spellStart"/>
            <w:r w:rsidRPr="00BF4AA8">
              <w:rPr>
                <w:rFonts w:ascii="Arial" w:hAnsi="Arial" w:cs="Arial"/>
                <w:sz w:val="22"/>
                <w:szCs w:val="22"/>
              </w:rPr>
              <w:t>Thnot</w:t>
            </w:r>
            <w:proofErr w:type="spellEnd"/>
          </w:p>
        </w:tc>
        <w:tc>
          <w:tcPr>
            <w:tcW w:w="0" w:type="auto"/>
            <w:hideMark/>
          </w:tcPr>
          <w:p w:rsidR="00BF4AA8" w:rsidRPr="00BF4AA8" w:rsidRDefault="00BF4AA8"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Pollution and sediment pathways.</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jc w:val="both"/>
              <w:rPr>
                <w:rFonts w:ascii="Arial" w:hAnsi="Arial" w:cs="Arial"/>
                <w:sz w:val="22"/>
                <w:szCs w:val="22"/>
              </w:rPr>
            </w:pPr>
            <w:r w:rsidRPr="00BF4AA8">
              <w:rPr>
                <w:rFonts w:ascii="Arial" w:hAnsi="Arial" w:cs="Arial"/>
                <w:sz w:val="22"/>
                <w:szCs w:val="22"/>
              </w:rPr>
              <w:t>Marine subregions</w:t>
            </w:r>
          </w:p>
        </w:tc>
        <w:tc>
          <w:tcPr>
            <w:tcW w:w="0" w:type="auto"/>
            <w:hideMark/>
          </w:tcPr>
          <w:p w:rsidR="00BF4AA8" w:rsidRPr="00BF4AA8" w:rsidRDefault="00BF4AA8"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Sihanoukville coast; </w:t>
            </w:r>
            <w:proofErr w:type="spellStart"/>
            <w:r w:rsidRPr="00BF4AA8">
              <w:rPr>
                <w:rFonts w:ascii="Arial" w:hAnsi="Arial" w:cs="Arial"/>
                <w:sz w:val="22"/>
                <w:szCs w:val="22"/>
              </w:rPr>
              <w:t>Kampot</w:t>
            </w:r>
            <w:proofErr w:type="spellEnd"/>
            <w:r w:rsidRPr="00BF4AA8">
              <w:rPr>
                <w:rFonts w:ascii="Arial" w:hAnsi="Arial" w:cs="Arial"/>
                <w:sz w:val="22"/>
                <w:szCs w:val="22"/>
              </w:rPr>
              <w:t>–</w:t>
            </w:r>
            <w:proofErr w:type="spellStart"/>
            <w:r w:rsidRPr="00BF4AA8">
              <w:rPr>
                <w:rFonts w:ascii="Arial" w:hAnsi="Arial" w:cs="Arial"/>
                <w:sz w:val="22"/>
                <w:szCs w:val="22"/>
              </w:rPr>
              <w:t>Kep</w:t>
            </w:r>
            <w:proofErr w:type="spellEnd"/>
            <w:r w:rsidRPr="00BF4AA8">
              <w:rPr>
                <w:rFonts w:ascii="Arial" w:hAnsi="Arial" w:cs="Arial"/>
                <w:sz w:val="22"/>
                <w:szCs w:val="22"/>
              </w:rPr>
              <w:t xml:space="preserve"> corridor; Koh Kong estuaries; Koh Rong archipelago</w:t>
            </w:r>
          </w:p>
        </w:tc>
        <w:tc>
          <w:tcPr>
            <w:tcW w:w="0" w:type="auto"/>
            <w:hideMark/>
          </w:tcPr>
          <w:p w:rsidR="00BF4AA8" w:rsidRPr="00BF4AA8" w:rsidRDefault="00BF4AA8"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Ecosystem, fisheries, </w:t>
            </w:r>
            <w:proofErr w:type="gramStart"/>
            <w:r w:rsidRPr="00BF4AA8">
              <w:rPr>
                <w:rFonts w:ascii="Arial" w:hAnsi="Arial" w:cs="Arial"/>
                <w:sz w:val="22"/>
                <w:szCs w:val="22"/>
              </w:rPr>
              <w:t>pollution</w:t>
            </w:r>
            <w:proofErr w:type="gramEnd"/>
            <w:r w:rsidRPr="00BF4AA8">
              <w:rPr>
                <w:rFonts w:ascii="Arial" w:hAnsi="Arial" w:cs="Arial"/>
                <w:sz w:val="22"/>
                <w:szCs w:val="22"/>
              </w:rPr>
              <w:t xml:space="preserve"> and development dynamics.</w:t>
            </w:r>
          </w:p>
        </w:tc>
      </w:tr>
    </w:tbl>
    <w:p w:rsidR="00BF4AA8" w:rsidRPr="00BF4AA8" w:rsidRDefault="00BF4AA8" w:rsidP="00BF4AA8">
      <w:pPr>
        <w:jc w:val="both"/>
        <w:rPr>
          <w:rFonts w:ascii="Arial" w:hAnsi="Arial" w:cs="Arial"/>
          <w:sz w:val="22"/>
          <w:szCs w:val="22"/>
        </w:rPr>
      </w:pPr>
    </w:p>
    <w:p w:rsidR="00BF4AA8" w:rsidRPr="00BF4AA8" w:rsidRDefault="00BF4AA8" w:rsidP="00BF4AA8">
      <w:pPr>
        <w:pStyle w:val="Heading2"/>
        <w:rPr>
          <w:rFonts w:ascii="Arial" w:hAnsi="Arial" w:cs="Arial"/>
          <w:color w:val="0070C0"/>
          <w:sz w:val="22"/>
          <w:szCs w:val="22"/>
        </w:rPr>
      </w:pPr>
      <w:bookmarkStart w:id="7" w:name="_Toc216681446"/>
      <w:r w:rsidRPr="00BF4AA8">
        <w:rPr>
          <w:rFonts w:ascii="Arial" w:hAnsi="Arial" w:cs="Arial"/>
          <w:color w:val="0070C0"/>
          <w:sz w:val="22"/>
          <w:szCs w:val="22"/>
        </w:rPr>
        <w:t>Annex 1-</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Annex_1-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4</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Indicator Inventory</w:t>
      </w:r>
      <w:bookmarkEnd w:id="7"/>
    </w:p>
    <w:p w:rsidR="00BF4AA8" w:rsidRPr="00BF4AA8" w:rsidRDefault="00BF4AA8" w:rsidP="00BF4AA8">
      <w:pPr>
        <w:pStyle w:val="Caption"/>
        <w:keepNext/>
        <w:jc w:val="both"/>
        <w:rPr>
          <w:rFonts w:ascii="Arial" w:hAnsi="Arial" w:cs="Arial"/>
          <w:sz w:val="22"/>
          <w:szCs w:val="22"/>
        </w:rPr>
      </w:pPr>
      <w:r w:rsidRPr="00BF4AA8">
        <w:rPr>
          <w:rFonts w:ascii="Arial" w:hAnsi="Arial" w:cs="Arial"/>
          <w:color w:val="002060"/>
          <w:sz w:val="22"/>
          <w:szCs w:val="22"/>
        </w:rPr>
        <w:t>Annex Table 1-</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Annex_Table_1-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4</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Indicators used by component</w:t>
      </w:r>
    </w:p>
    <w:tbl>
      <w:tblPr>
        <w:tblStyle w:val="GridTable4-Accent5"/>
        <w:tblW w:w="0" w:type="auto"/>
        <w:tblLook w:val="04A0" w:firstRow="1" w:lastRow="0" w:firstColumn="1" w:lastColumn="0" w:noHBand="0" w:noVBand="1"/>
      </w:tblPr>
      <w:tblGrid>
        <w:gridCol w:w="1965"/>
        <w:gridCol w:w="4649"/>
        <w:gridCol w:w="1874"/>
      </w:tblGrid>
      <w:tr w:rsidR="00BF4AA8"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Component</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Indicator group</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Primary sources</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jc w:val="both"/>
              <w:rPr>
                <w:rFonts w:ascii="Arial" w:hAnsi="Arial" w:cs="Arial"/>
                <w:sz w:val="22"/>
                <w:szCs w:val="22"/>
              </w:rPr>
            </w:pPr>
            <w:r w:rsidRPr="00BF4AA8">
              <w:rPr>
                <w:rFonts w:ascii="Arial" w:hAnsi="Arial" w:cs="Arial"/>
                <w:sz w:val="22"/>
                <w:szCs w:val="22"/>
              </w:rPr>
              <w:t>Socioeconomics</w:t>
            </w:r>
          </w:p>
        </w:tc>
        <w:tc>
          <w:tcPr>
            <w:tcW w:w="0" w:type="auto"/>
            <w:hideMark/>
          </w:tcPr>
          <w:p w:rsidR="00BF4AA8" w:rsidRPr="00BF4AA8" w:rsidRDefault="00BF4AA8"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Population, HDI/SHDI, poverty, livelihoods, </w:t>
            </w:r>
            <w:proofErr w:type="spellStart"/>
            <w:r w:rsidRPr="00BF4AA8">
              <w:rPr>
                <w:rFonts w:ascii="Arial" w:hAnsi="Arial" w:cs="Arial"/>
                <w:sz w:val="22"/>
                <w:szCs w:val="22"/>
              </w:rPr>
              <w:t>urbanisation</w:t>
            </w:r>
            <w:proofErr w:type="spellEnd"/>
            <w:r w:rsidRPr="00BF4AA8">
              <w:rPr>
                <w:rFonts w:ascii="Arial" w:hAnsi="Arial" w:cs="Arial"/>
                <w:sz w:val="22"/>
                <w:szCs w:val="22"/>
              </w:rPr>
              <w:t>, disaster impacts</w:t>
            </w:r>
          </w:p>
        </w:tc>
        <w:tc>
          <w:tcPr>
            <w:tcW w:w="0" w:type="auto"/>
            <w:hideMark/>
          </w:tcPr>
          <w:p w:rsidR="00BF4AA8" w:rsidRPr="00BF4AA8" w:rsidRDefault="00BF4AA8"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NIS; UNDP; MOP</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jc w:val="both"/>
              <w:rPr>
                <w:rFonts w:ascii="Arial" w:hAnsi="Arial" w:cs="Arial"/>
                <w:sz w:val="22"/>
                <w:szCs w:val="22"/>
              </w:rPr>
            </w:pPr>
            <w:r w:rsidRPr="00BF4AA8">
              <w:rPr>
                <w:rFonts w:ascii="Arial" w:hAnsi="Arial" w:cs="Arial"/>
                <w:sz w:val="22"/>
                <w:szCs w:val="22"/>
              </w:rPr>
              <w:t>Pollution</w:t>
            </w:r>
          </w:p>
        </w:tc>
        <w:tc>
          <w:tcPr>
            <w:tcW w:w="0" w:type="auto"/>
            <w:hideMark/>
          </w:tcPr>
          <w:p w:rsidR="00BF4AA8" w:rsidRPr="00BF4AA8" w:rsidRDefault="00BF4AA8"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TN, TP, FC, TSS, COD, BOD, TPH, metals; plastics; hazardous waste</w:t>
            </w:r>
          </w:p>
        </w:tc>
        <w:tc>
          <w:tcPr>
            <w:tcW w:w="0" w:type="auto"/>
            <w:hideMark/>
          </w:tcPr>
          <w:p w:rsidR="00BF4AA8" w:rsidRPr="00BF4AA8" w:rsidRDefault="00BF4AA8"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WEPA; ADB</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jc w:val="both"/>
              <w:rPr>
                <w:rFonts w:ascii="Arial" w:hAnsi="Arial" w:cs="Arial"/>
                <w:sz w:val="22"/>
                <w:szCs w:val="22"/>
              </w:rPr>
            </w:pPr>
            <w:r w:rsidRPr="00BF4AA8">
              <w:rPr>
                <w:rFonts w:ascii="Arial" w:hAnsi="Arial" w:cs="Arial"/>
                <w:sz w:val="22"/>
                <w:szCs w:val="22"/>
              </w:rPr>
              <w:t>Ecosystems</w:t>
            </w:r>
          </w:p>
        </w:tc>
        <w:tc>
          <w:tcPr>
            <w:tcW w:w="0" w:type="auto"/>
            <w:hideMark/>
          </w:tcPr>
          <w:p w:rsidR="00BF4AA8" w:rsidRPr="00BF4AA8" w:rsidRDefault="00BF4AA8"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Mangrove extent, coral cover, seagrass, wetland condition, species lists</w:t>
            </w:r>
          </w:p>
        </w:tc>
        <w:tc>
          <w:tcPr>
            <w:tcW w:w="0" w:type="auto"/>
            <w:hideMark/>
          </w:tcPr>
          <w:p w:rsidR="00BF4AA8" w:rsidRPr="00BF4AA8" w:rsidRDefault="00BF4AA8"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PEMSEA; Ramsar</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jc w:val="both"/>
              <w:rPr>
                <w:rFonts w:ascii="Arial" w:hAnsi="Arial" w:cs="Arial"/>
                <w:sz w:val="22"/>
                <w:szCs w:val="22"/>
              </w:rPr>
            </w:pPr>
            <w:r w:rsidRPr="00BF4AA8">
              <w:rPr>
                <w:rFonts w:ascii="Arial" w:hAnsi="Arial" w:cs="Arial"/>
                <w:sz w:val="22"/>
                <w:szCs w:val="22"/>
              </w:rPr>
              <w:t>Fisheries</w:t>
            </w:r>
          </w:p>
        </w:tc>
        <w:tc>
          <w:tcPr>
            <w:tcW w:w="0" w:type="auto"/>
            <w:hideMark/>
          </w:tcPr>
          <w:p w:rsidR="00BF4AA8" w:rsidRPr="00BF4AA8" w:rsidRDefault="00BF4AA8"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CPUE, MTI, </w:t>
            </w:r>
            <w:proofErr w:type="spellStart"/>
            <w:r w:rsidRPr="00BF4AA8">
              <w:rPr>
                <w:rFonts w:ascii="Arial" w:hAnsi="Arial" w:cs="Arial"/>
                <w:sz w:val="22"/>
                <w:szCs w:val="22"/>
              </w:rPr>
              <w:t>FiB</w:t>
            </w:r>
            <w:proofErr w:type="spellEnd"/>
            <w:r w:rsidRPr="00BF4AA8">
              <w:rPr>
                <w:rFonts w:ascii="Arial" w:hAnsi="Arial" w:cs="Arial"/>
                <w:sz w:val="22"/>
                <w:szCs w:val="22"/>
              </w:rPr>
              <w:t>, species trends, gear impacts, aquaculture</w:t>
            </w:r>
          </w:p>
        </w:tc>
        <w:tc>
          <w:tcPr>
            <w:tcW w:w="0" w:type="auto"/>
            <w:hideMark/>
          </w:tcPr>
          <w:p w:rsidR="00BF4AA8" w:rsidRPr="00BF4AA8" w:rsidRDefault="00BF4AA8"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FiA</w:t>
            </w:r>
            <w:proofErr w:type="spellEnd"/>
            <w:r w:rsidRPr="00BF4AA8">
              <w:rPr>
                <w:rFonts w:ascii="Arial" w:hAnsi="Arial" w:cs="Arial"/>
                <w:sz w:val="22"/>
                <w:szCs w:val="22"/>
              </w:rPr>
              <w:t>; SAU</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jc w:val="both"/>
              <w:rPr>
                <w:rFonts w:ascii="Arial" w:hAnsi="Arial" w:cs="Arial"/>
                <w:sz w:val="22"/>
                <w:szCs w:val="22"/>
              </w:rPr>
            </w:pPr>
            <w:r w:rsidRPr="00BF4AA8">
              <w:rPr>
                <w:rFonts w:ascii="Arial" w:hAnsi="Arial" w:cs="Arial"/>
                <w:sz w:val="22"/>
                <w:szCs w:val="22"/>
              </w:rPr>
              <w:t>Governance</w:t>
            </w:r>
          </w:p>
        </w:tc>
        <w:tc>
          <w:tcPr>
            <w:tcW w:w="0" w:type="auto"/>
            <w:hideMark/>
          </w:tcPr>
          <w:p w:rsidR="00BF4AA8" w:rsidRPr="00BF4AA8" w:rsidRDefault="00BF4AA8"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ICZM, MSP readiness, MPAs/MFMAs, patrol effort, budgets, legal instruments</w:t>
            </w:r>
          </w:p>
        </w:tc>
        <w:tc>
          <w:tcPr>
            <w:tcW w:w="0" w:type="auto"/>
            <w:hideMark/>
          </w:tcPr>
          <w:p w:rsidR="00BF4AA8" w:rsidRPr="00BF4AA8" w:rsidRDefault="00BF4AA8"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xml:space="preserve">; NCSD; </w:t>
            </w:r>
            <w:proofErr w:type="spellStart"/>
            <w:r w:rsidRPr="00BF4AA8">
              <w:rPr>
                <w:rFonts w:ascii="Arial" w:hAnsi="Arial" w:cs="Arial"/>
                <w:sz w:val="22"/>
                <w:szCs w:val="22"/>
              </w:rPr>
              <w:t>FiA</w:t>
            </w:r>
            <w:proofErr w:type="spellEnd"/>
          </w:p>
        </w:tc>
      </w:tr>
    </w:tbl>
    <w:p w:rsidR="00BF4AA8" w:rsidRPr="00BF4AA8" w:rsidRDefault="00BF4AA8" w:rsidP="00BF4AA8">
      <w:pPr>
        <w:jc w:val="both"/>
        <w:rPr>
          <w:rFonts w:ascii="Arial" w:hAnsi="Arial" w:cs="Arial"/>
          <w:sz w:val="22"/>
          <w:szCs w:val="22"/>
        </w:rPr>
      </w:pPr>
    </w:p>
    <w:p w:rsidR="00BF4AA8" w:rsidRPr="00BF4AA8" w:rsidRDefault="00BF4AA8" w:rsidP="00BF4AA8">
      <w:pPr>
        <w:pStyle w:val="Heading2"/>
        <w:keepNext/>
        <w:adjustRightInd w:val="0"/>
        <w:snapToGrid w:val="0"/>
        <w:spacing w:before="240" w:beforeAutospacing="0" w:after="120" w:afterAutospacing="0"/>
        <w:rPr>
          <w:rFonts w:ascii="Arial" w:hAnsi="Arial" w:cs="Arial"/>
          <w:color w:val="0070C0"/>
          <w:sz w:val="22"/>
          <w:szCs w:val="22"/>
        </w:rPr>
      </w:pPr>
      <w:bookmarkStart w:id="8" w:name="_Toc216681447"/>
      <w:r w:rsidRPr="00BF4AA8">
        <w:rPr>
          <w:rFonts w:ascii="Arial" w:hAnsi="Arial" w:cs="Arial"/>
          <w:color w:val="0070C0"/>
          <w:sz w:val="22"/>
          <w:szCs w:val="22"/>
        </w:rPr>
        <w:t>Annex 1-</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Annex_1-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5</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Expanded Risk-Assessment Methods</w:t>
      </w:r>
      <w:bookmarkEnd w:id="8"/>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This annex describes the technical approach used to derive risk levels for ecosystems, </w:t>
      </w:r>
      <w:proofErr w:type="gramStart"/>
      <w:r w:rsidRPr="00BF4AA8">
        <w:rPr>
          <w:rFonts w:ascii="Arial" w:hAnsi="Arial" w:cs="Arial"/>
          <w:sz w:val="22"/>
          <w:szCs w:val="22"/>
        </w:rPr>
        <w:t>people</w:t>
      </w:r>
      <w:proofErr w:type="gramEnd"/>
      <w:r w:rsidRPr="00BF4AA8">
        <w:rPr>
          <w:rFonts w:ascii="Arial" w:hAnsi="Arial" w:cs="Arial"/>
          <w:sz w:val="22"/>
          <w:szCs w:val="22"/>
        </w:rPr>
        <w:t xml:space="preserve"> and livelihoods across Cambodia’s coastal and river–sea interface zones. The method follows the </w:t>
      </w:r>
      <w:r w:rsidRPr="00BF4AA8">
        <w:rPr>
          <w:rStyle w:val="Strong"/>
          <w:rFonts w:ascii="Arial" w:hAnsi="Arial" w:cs="Arial"/>
          <w:sz w:val="22"/>
          <w:szCs w:val="22"/>
        </w:rPr>
        <w:t>Exposure–Sensitivity–Adaptive Capacity (ESAC)</w:t>
      </w:r>
      <w:r w:rsidRPr="00BF4AA8">
        <w:rPr>
          <w:rFonts w:ascii="Arial" w:hAnsi="Arial" w:cs="Arial"/>
          <w:sz w:val="22"/>
          <w:szCs w:val="22"/>
        </w:rPr>
        <w:t xml:space="preserve"> framework widely applied in climate and environmental risk assessments, and is </w:t>
      </w:r>
      <w:proofErr w:type="spellStart"/>
      <w:r w:rsidRPr="00BF4AA8">
        <w:rPr>
          <w:rFonts w:ascii="Arial" w:hAnsi="Arial" w:cs="Arial"/>
          <w:sz w:val="22"/>
          <w:szCs w:val="22"/>
        </w:rPr>
        <w:t>harmonised</w:t>
      </w:r>
      <w:proofErr w:type="spellEnd"/>
      <w:r w:rsidRPr="00BF4AA8">
        <w:rPr>
          <w:rFonts w:ascii="Arial" w:hAnsi="Arial" w:cs="Arial"/>
          <w:sz w:val="22"/>
          <w:szCs w:val="22"/>
        </w:rPr>
        <w:t xml:space="preserve"> with </w:t>
      </w:r>
      <w:r w:rsidRPr="00BF4AA8">
        <w:rPr>
          <w:rStyle w:val="Strong"/>
          <w:rFonts w:ascii="Arial" w:hAnsi="Arial" w:cs="Arial"/>
          <w:sz w:val="22"/>
          <w:szCs w:val="22"/>
        </w:rPr>
        <w:t>UNEP/GEF TDA–SAP guidelines</w:t>
      </w:r>
      <w:r w:rsidRPr="00BF4AA8">
        <w:rPr>
          <w:rFonts w:ascii="Arial" w:hAnsi="Arial" w:cs="Arial"/>
          <w:sz w:val="22"/>
          <w:szCs w:val="22"/>
        </w:rPr>
        <w:t xml:space="preserve"> and regional indicator templates.</w:t>
      </w:r>
    </w:p>
    <w:p w:rsidR="00BF4AA8" w:rsidRPr="00BF4AA8" w:rsidRDefault="00BF4AA8" w:rsidP="00BF4AA8">
      <w:pPr>
        <w:adjustRightInd w:val="0"/>
        <w:snapToGrid w:val="0"/>
        <w:spacing w:before="240" w:after="120"/>
        <w:rPr>
          <w:rFonts w:ascii="Arial" w:hAnsi="Arial" w:cs="Arial"/>
          <w:sz w:val="22"/>
          <w:szCs w:val="22"/>
        </w:rPr>
      </w:pPr>
      <w:r w:rsidRPr="00BF4AA8">
        <w:rPr>
          <w:rStyle w:val="Strong"/>
          <w:rFonts w:ascii="Arial" w:hAnsi="Arial" w:cs="Arial"/>
          <w:sz w:val="22"/>
          <w:szCs w:val="22"/>
        </w:rPr>
        <w:t>1. Exposure Indicators</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Exposure represents the </w:t>
      </w:r>
      <w:r w:rsidRPr="00BF4AA8">
        <w:rPr>
          <w:rStyle w:val="Strong"/>
          <w:rFonts w:ascii="Arial" w:hAnsi="Arial" w:cs="Arial"/>
          <w:sz w:val="22"/>
          <w:szCs w:val="22"/>
        </w:rPr>
        <w:t>degree to which ecosystems or communities are subject to hazards</w:t>
      </w:r>
      <w:r w:rsidRPr="00BF4AA8">
        <w:rPr>
          <w:rFonts w:ascii="Arial" w:hAnsi="Arial" w:cs="Arial"/>
          <w:sz w:val="22"/>
          <w:szCs w:val="22"/>
        </w:rPr>
        <w:t xml:space="preserve">. Indicators capture the intensity, </w:t>
      </w:r>
      <w:proofErr w:type="gramStart"/>
      <w:r w:rsidRPr="00BF4AA8">
        <w:rPr>
          <w:rFonts w:ascii="Arial" w:hAnsi="Arial" w:cs="Arial"/>
          <w:sz w:val="22"/>
          <w:szCs w:val="22"/>
        </w:rPr>
        <w:t>frequency</w:t>
      </w:r>
      <w:proofErr w:type="gramEnd"/>
      <w:r w:rsidRPr="00BF4AA8">
        <w:rPr>
          <w:rFonts w:ascii="Arial" w:hAnsi="Arial" w:cs="Arial"/>
          <w:sz w:val="22"/>
          <w:szCs w:val="22"/>
        </w:rPr>
        <w:t xml:space="preserve"> and spatial distribution of biophysical pressures.</w:t>
      </w:r>
    </w:p>
    <w:p w:rsidR="00BF4AA8" w:rsidRPr="00BF4AA8" w:rsidRDefault="00BF4AA8" w:rsidP="00BF4AA8">
      <w:pPr>
        <w:rPr>
          <w:rFonts w:ascii="Arial" w:hAnsi="Arial" w:cs="Arial"/>
          <w:b/>
          <w:bCs/>
          <w:i/>
          <w:iCs/>
          <w:color w:val="0070C0"/>
          <w:sz w:val="22"/>
          <w:szCs w:val="22"/>
        </w:rPr>
      </w:pPr>
      <w:r w:rsidRPr="00BF4AA8">
        <w:rPr>
          <w:rStyle w:val="Strong"/>
          <w:rFonts w:ascii="Arial" w:hAnsi="Arial" w:cs="Arial"/>
          <w:b w:val="0"/>
          <w:bCs w:val="0"/>
          <w:i/>
          <w:iCs/>
          <w:color w:val="0070C0"/>
          <w:sz w:val="22"/>
          <w:szCs w:val="22"/>
        </w:rPr>
        <w:t>Pollution loads:</w:t>
      </w:r>
    </w:p>
    <w:p w:rsidR="00BF4AA8" w:rsidRPr="00BF4AA8" w:rsidRDefault="00BF4AA8" w:rsidP="00BF4AA8">
      <w:pPr>
        <w:pStyle w:val="NormalWeb"/>
        <w:numPr>
          <w:ilvl w:val="0"/>
          <w:numId w:val="59"/>
        </w:numPr>
        <w:adjustRightInd w:val="0"/>
        <w:snapToGrid w:val="0"/>
        <w:spacing w:before="0" w:beforeAutospacing="0"/>
        <w:ind w:left="714" w:hanging="357"/>
        <w:jc w:val="both"/>
        <w:rPr>
          <w:rFonts w:ascii="Arial" w:hAnsi="Arial" w:cs="Arial"/>
          <w:sz w:val="22"/>
          <w:szCs w:val="22"/>
        </w:rPr>
      </w:pPr>
      <w:r w:rsidRPr="00BF4AA8">
        <w:rPr>
          <w:rFonts w:ascii="Arial" w:hAnsi="Arial" w:cs="Arial"/>
          <w:sz w:val="22"/>
          <w:szCs w:val="22"/>
        </w:rPr>
        <w:t>Total Nitrogen (TN), Total Phosphorus (TP)</w:t>
      </w:r>
    </w:p>
    <w:p w:rsidR="00BF4AA8" w:rsidRPr="00BF4AA8" w:rsidRDefault="00BF4AA8" w:rsidP="00BF4AA8">
      <w:pPr>
        <w:pStyle w:val="NormalWeb"/>
        <w:numPr>
          <w:ilvl w:val="0"/>
          <w:numId w:val="59"/>
        </w:numPr>
        <w:jc w:val="both"/>
        <w:rPr>
          <w:rFonts w:ascii="Arial" w:hAnsi="Arial" w:cs="Arial"/>
          <w:sz w:val="22"/>
          <w:szCs w:val="22"/>
        </w:rPr>
      </w:pPr>
      <w:r w:rsidRPr="00BF4AA8">
        <w:rPr>
          <w:rFonts w:ascii="Arial" w:hAnsi="Arial" w:cs="Arial"/>
          <w:sz w:val="22"/>
          <w:szCs w:val="22"/>
        </w:rPr>
        <w:t>Fecal coliform (FC) levels</w:t>
      </w:r>
    </w:p>
    <w:p w:rsidR="00BF4AA8" w:rsidRPr="00BF4AA8" w:rsidRDefault="00BF4AA8" w:rsidP="00BF4AA8">
      <w:pPr>
        <w:pStyle w:val="NormalWeb"/>
        <w:numPr>
          <w:ilvl w:val="0"/>
          <w:numId w:val="59"/>
        </w:numPr>
        <w:jc w:val="both"/>
        <w:rPr>
          <w:rFonts w:ascii="Arial" w:hAnsi="Arial" w:cs="Arial"/>
          <w:sz w:val="22"/>
          <w:szCs w:val="22"/>
        </w:rPr>
      </w:pPr>
      <w:r w:rsidRPr="00BF4AA8">
        <w:rPr>
          <w:rFonts w:ascii="Arial" w:hAnsi="Arial" w:cs="Arial"/>
          <w:sz w:val="22"/>
          <w:szCs w:val="22"/>
        </w:rPr>
        <w:t>Chemical pollutants (oil &amp; grease, TPH, Pb, Zn)</w:t>
      </w:r>
    </w:p>
    <w:p w:rsidR="00BF4AA8" w:rsidRPr="00BF4AA8" w:rsidRDefault="00BF4AA8" w:rsidP="00BF4AA8">
      <w:pPr>
        <w:pStyle w:val="NormalWeb"/>
        <w:numPr>
          <w:ilvl w:val="0"/>
          <w:numId w:val="59"/>
        </w:numPr>
        <w:jc w:val="both"/>
        <w:rPr>
          <w:rFonts w:ascii="Arial" w:hAnsi="Arial" w:cs="Arial"/>
          <w:sz w:val="22"/>
          <w:szCs w:val="22"/>
        </w:rPr>
      </w:pPr>
      <w:r w:rsidRPr="00BF4AA8">
        <w:rPr>
          <w:rFonts w:ascii="Arial" w:hAnsi="Arial" w:cs="Arial"/>
          <w:sz w:val="22"/>
          <w:szCs w:val="22"/>
        </w:rPr>
        <w:t>Microplastics (density in sediments and water column)</w:t>
      </w:r>
    </w:p>
    <w:p w:rsidR="00BF4AA8" w:rsidRPr="00BF4AA8" w:rsidRDefault="00BF4AA8" w:rsidP="00BF4AA8">
      <w:pPr>
        <w:pStyle w:val="NormalWeb"/>
        <w:numPr>
          <w:ilvl w:val="0"/>
          <w:numId w:val="59"/>
        </w:numPr>
        <w:jc w:val="both"/>
        <w:rPr>
          <w:rFonts w:ascii="Arial" w:hAnsi="Arial" w:cs="Arial"/>
          <w:sz w:val="22"/>
          <w:szCs w:val="22"/>
        </w:rPr>
      </w:pPr>
      <w:r w:rsidRPr="00BF4AA8">
        <w:rPr>
          <w:rFonts w:ascii="Arial" w:hAnsi="Arial" w:cs="Arial"/>
          <w:sz w:val="22"/>
          <w:szCs w:val="22"/>
        </w:rPr>
        <w:t xml:space="preserve">These highlight areas receiving untreated wastewater, industrial </w:t>
      </w:r>
      <w:proofErr w:type="gramStart"/>
      <w:r w:rsidRPr="00BF4AA8">
        <w:rPr>
          <w:rFonts w:ascii="Arial" w:hAnsi="Arial" w:cs="Arial"/>
          <w:sz w:val="22"/>
          <w:szCs w:val="22"/>
        </w:rPr>
        <w:t>discharges</w:t>
      </w:r>
      <w:proofErr w:type="gramEnd"/>
      <w:r w:rsidRPr="00BF4AA8">
        <w:rPr>
          <w:rFonts w:ascii="Arial" w:hAnsi="Arial" w:cs="Arial"/>
          <w:sz w:val="22"/>
          <w:szCs w:val="22"/>
        </w:rPr>
        <w:t xml:space="preserve"> or solid-waste leakage</w:t>
      </w:r>
    </w:p>
    <w:p w:rsidR="00BF4AA8" w:rsidRPr="00BF4AA8" w:rsidRDefault="00BF4AA8" w:rsidP="00BF4AA8">
      <w:pPr>
        <w:pStyle w:val="NormalWeb"/>
        <w:jc w:val="both"/>
        <w:rPr>
          <w:rStyle w:val="Strong"/>
          <w:rFonts w:ascii="Arial" w:hAnsi="Arial" w:cs="Arial"/>
          <w:b w:val="0"/>
          <w:bCs w:val="0"/>
          <w:sz w:val="22"/>
          <w:szCs w:val="22"/>
        </w:rPr>
      </w:pPr>
      <w:r w:rsidRPr="00BF4AA8">
        <w:rPr>
          <w:rStyle w:val="Strong"/>
          <w:rFonts w:ascii="Arial" w:hAnsi="Arial" w:cs="Arial"/>
          <w:b w:val="0"/>
          <w:bCs w:val="0"/>
          <w:i/>
          <w:iCs/>
          <w:color w:val="0070C0"/>
          <w:sz w:val="22"/>
          <w:szCs w:val="22"/>
        </w:rPr>
        <w:t>Fishing pressure</w:t>
      </w:r>
    </w:p>
    <w:p w:rsidR="00BF4AA8" w:rsidRPr="00BF4AA8" w:rsidRDefault="00BF4AA8" w:rsidP="00BF4AA8">
      <w:pPr>
        <w:pStyle w:val="NormalWeb"/>
        <w:numPr>
          <w:ilvl w:val="0"/>
          <w:numId w:val="60"/>
        </w:numPr>
        <w:jc w:val="both"/>
        <w:rPr>
          <w:rFonts w:ascii="Arial" w:hAnsi="Arial" w:cs="Arial"/>
          <w:sz w:val="22"/>
          <w:szCs w:val="22"/>
        </w:rPr>
      </w:pPr>
      <w:r w:rsidRPr="00BF4AA8">
        <w:rPr>
          <w:rFonts w:ascii="Arial" w:hAnsi="Arial" w:cs="Arial"/>
          <w:sz w:val="22"/>
          <w:szCs w:val="22"/>
        </w:rPr>
        <w:t>Spatial distribution of trawl and purse-seine effort</w:t>
      </w:r>
    </w:p>
    <w:p w:rsidR="00BF4AA8" w:rsidRPr="00BF4AA8" w:rsidRDefault="00BF4AA8" w:rsidP="00BF4AA8">
      <w:pPr>
        <w:pStyle w:val="NormalWeb"/>
        <w:numPr>
          <w:ilvl w:val="0"/>
          <w:numId w:val="60"/>
        </w:numPr>
        <w:jc w:val="both"/>
        <w:rPr>
          <w:rFonts w:ascii="Arial" w:hAnsi="Arial" w:cs="Arial"/>
          <w:sz w:val="22"/>
          <w:szCs w:val="22"/>
        </w:rPr>
      </w:pPr>
      <w:r w:rsidRPr="00BF4AA8">
        <w:rPr>
          <w:rFonts w:ascii="Arial" w:hAnsi="Arial" w:cs="Arial"/>
          <w:sz w:val="22"/>
          <w:szCs w:val="22"/>
        </w:rPr>
        <w:t>Gear intensity in inshore zones (&lt;20 m depth)</w:t>
      </w:r>
    </w:p>
    <w:p w:rsidR="00BF4AA8" w:rsidRPr="00BF4AA8" w:rsidRDefault="00BF4AA8" w:rsidP="00BF4AA8">
      <w:pPr>
        <w:pStyle w:val="NormalWeb"/>
        <w:numPr>
          <w:ilvl w:val="0"/>
          <w:numId w:val="60"/>
        </w:numPr>
        <w:jc w:val="both"/>
        <w:rPr>
          <w:rFonts w:ascii="Arial" w:hAnsi="Arial" w:cs="Arial"/>
          <w:sz w:val="22"/>
          <w:szCs w:val="22"/>
        </w:rPr>
      </w:pPr>
      <w:r w:rsidRPr="00BF4AA8">
        <w:rPr>
          <w:rFonts w:ascii="Arial" w:hAnsi="Arial" w:cs="Arial"/>
          <w:sz w:val="22"/>
          <w:szCs w:val="22"/>
        </w:rPr>
        <w:t xml:space="preserve">Reconstructed effort trends from </w:t>
      </w:r>
      <w:proofErr w:type="spellStart"/>
      <w:r w:rsidRPr="00BF4AA8">
        <w:rPr>
          <w:rFonts w:ascii="Arial" w:hAnsi="Arial" w:cs="Arial"/>
          <w:sz w:val="22"/>
          <w:szCs w:val="22"/>
        </w:rPr>
        <w:t>FiA</w:t>
      </w:r>
      <w:proofErr w:type="spellEnd"/>
      <w:r w:rsidRPr="00BF4AA8">
        <w:rPr>
          <w:rFonts w:ascii="Arial" w:hAnsi="Arial" w:cs="Arial"/>
          <w:sz w:val="22"/>
          <w:szCs w:val="22"/>
        </w:rPr>
        <w:t xml:space="preserve"> and SAU</w:t>
      </w:r>
    </w:p>
    <w:p w:rsidR="00BF4AA8" w:rsidRPr="00BF4AA8" w:rsidRDefault="00BF4AA8" w:rsidP="00BF4AA8">
      <w:pPr>
        <w:pStyle w:val="NormalWeb"/>
        <w:numPr>
          <w:ilvl w:val="0"/>
          <w:numId w:val="60"/>
        </w:numPr>
        <w:jc w:val="both"/>
        <w:rPr>
          <w:rFonts w:ascii="Arial" w:hAnsi="Arial" w:cs="Arial"/>
          <w:sz w:val="22"/>
          <w:szCs w:val="22"/>
        </w:rPr>
      </w:pPr>
      <w:r w:rsidRPr="00BF4AA8">
        <w:rPr>
          <w:rFonts w:ascii="Arial" w:hAnsi="Arial" w:cs="Arial"/>
          <w:sz w:val="22"/>
          <w:szCs w:val="22"/>
        </w:rPr>
        <w:t>These indicators identify areas of chronic ecosystem stress and habitat disturbance.</w:t>
      </w:r>
    </w:p>
    <w:p w:rsidR="00BF4AA8" w:rsidRPr="00BF4AA8" w:rsidRDefault="00BF4AA8" w:rsidP="00BF4AA8">
      <w:pPr>
        <w:rPr>
          <w:rStyle w:val="Strong"/>
          <w:rFonts w:ascii="Arial" w:hAnsi="Arial" w:cs="Arial"/>
          <w:b w:val="0"/>
          <w:bCs w:val="0"/>
          <w:i/>
          <w:iCs/>
          <w:color w:val="0070C0"/>
          <w:sz w:val="22"/>
          <w:szCs w:val="22"/>
        </w:rPr>
      </w:pPr>
      <w:r w:rsidRPr="00BF4AA8">
        <w:rPr>
          <w:rStyle w:val="Strong"/>
          <w:rFonts w:ascii="Arial" w:hAnsi="Arial" w:cs="Arial"/>
          <w:b w:val="0"/>
          <w:bCs w:val="0"/>
          <w:i/>
          <w:iCs/>
          <w:color w:val="0070C0"/>
          <w:sz w:val="22"/>
          <w:szCs w:val="22"/>
        </w:rPr>
        <w:t xml:space="preserve">Climate hazards: </w:t>
      </w:r>
    </w:p>
    <w:p w:rsidR="00BF4AA8" w:rsidRPr="00BF4AA8" w:rsidRDefault="00BF4AA8" w:rsidP="00BF4AA8">
      <w:pPr>
        <w:pStyle w:val="NormalWeb"/>
        <w:numPr>
          <w:ilvl w:val="0"/>
          <w:numId w:val="61"/>
        </w:numPr>
        <w:jc w:val="both"/>
        <w:rPr>
          <w:rFonts w:ascii="Arial" w:hAnsi="Arial" w:cs="Arial"/>
          <w:sz w:val="22"/>
          <w:szCs w:val="22"/>
        </w:rPr>
      </w:pPr>
      <w:r w:rsidRPr="00BF4AA8">
        <w:rPr>
          <w:rFonts w:ascii="Arial" w:hAnsi="Arial" w:cs="Arial"/>
          <w:sz w:val="22"/>
          <w:szCs w:val="22"/>
        </w:rPr>
        <w:t>Flood frequency, magnitude and affected population</w:t>
      </w:r>
    </w:p>
    <w:p w:rsidR="00BF4AA8" w:rsidRPr="00BF4AA8" w:rsidRDefault="00BF4AA8" w:rsidP="00BF4AA8">
      <w:pPr>
        <w:pStyle w:val="NormalWeb"/>
        <w:numPr>
          <w:ilvl w:val="0"/>
          <w:numId w:val="61"/>
        </w:numPr>
        <w:jc w:val="both"/>
        <w:rPr>
          <w:rFonts w:ascii="Arial" w:hAnsi="Arial" w:cs="Arial"/>
          <w:sz w:val="22"/>
          <w:szCs w:val="22"/>
        </w:rPr>
      </w:pPr>
      <w:r w:rsidRPr="00BF4AA8">
        <w:rPr>
          <w:rFonts w:ascii="Arial" w:hAnsi="Arial" w:cs="Arial"/>
          <w:sz w:val="22"/>
          <w:szCs w:val="22"/>
        </w:rPr>
        <w:t>Drought intensity (ENSO-linked) and duration</w:t>
      </w:r>
    </w:p>
    <w:p w:rsidR="00BF4AA8" w:rsidRPr="00BF4AA8" w:rsidRDefault="00BF4AA8" w:rsidP="00BF4AA8">
      <w:pPr>
        <w:pStyle w:val="NormalWeb"/>
        <w:numPr>
          <w:ilvl w:val="0"/>
          <w:numId w:val="61"/>
        </w:numPr>
        <w:jc w:val="both"/>
        <w:rPr>
          <w:rFonts w:ascii="Arial" w:hAnsi="Arial" w:cs="Arial"/>
          <w:sz w:val="22"/>
          <w:szCs w:val="22"/>
        </w:rPr>
      </w:pPr>
      <w:r w:rsidRPr="00BF4AA8">
        <w:rPr>
          <w:rFonts w:ascii="Arial" w:hAnsi="Arial" w:cs="Arial"/>
          <w:sz w:val="22"/>
          <w:szCs w:val="22"/>
        </w:rPr>
        <w:t>Sea-level rise (SLR) projections</w:t>
      </w:r>
    </w:p>
    <w:p w:rsidR="00BF4AA8" w:rsidRPr="00BF4AA8" w:rsidRDefault="00BF4AA8" w:rsidP="00BF4AA8">
      <w:pPr>
        <w:pStyle w:val="NormalWeb"/>
        <w:numPr>
          <w:ilvl w:val="0"/>
          <w:numId w:val="61"/>
        </w:numPr>
        <w:jc w:val="both"/>
        <w:rPr>
          <w:rFonts w:ascii="Arial" w:hAnsi="Arial" w:cs="Arial"/>
          <w:sz w:val="22"/>
          <w:szCs w:val="22"/>
        </w:rPr>
      </w:pPr>
      <w:r w:rsidRPr="00BF4AA8">
        <w:rPr>
          <w:rFonts w:ascii="Arial" w:hAnsi="Arial" w:cs="Arial"/>
          <w:sz w:val="22"/>
          <w:szCs w:val="22"/>
        </w:rPr>
        <w:t>Marine heatwaves and temperature anomalies</w:t>
      </w:r>
    </w:p>
    <w:p w:rsidR="00BF4AA8" w:rsidRPr="00BF4AA8" w:rsidRDefault="00BF4AA8" w:rsidP="00BF4AA8">
      <w:pPr>
        <w:pStyle w:val="NormalWeb"/>
        <w:numPr>
          <w:ilvl w:val="0"/>
          <w:numId w:val="61"/>
        </w:numPr>
        <w:jc w:val="both"/>
        <w:rPr>
          <w:rStyle w:val="Strong"/>
          <w:rFonts w:ascii="Arial" w:hAnsi="Arial" w:cs="Arial"/>
          <w:b w:val="0"/>
          <w:bCs w:val="0"/>
          <w:sz w:val="22"/>
          <w:szCs w:val="22"/>
        </w:rPr>
      </w:pPr>
      <w:r w:rsidRPr="00BF4AA8">
        <w:rPr>
          <w:rFonts w:ascii="Arial" w:hAnsi="Arial" w:cs="Arial"/>
          <w:sz w:val="22"/>
          <w:szCs w:val="22"/>
        </w:rPr>
        <w:t xml:space="preserve">These </w:t>
      </w:r>
      <w:proofErr w:type="gramStart"/>
      <w:r w:rsidRPr="00BF4AA8">
        <w:rPr>
          <w:rFonts w:ascii="Arial" w:hAnsi="Arial" w:cs="Arial"/>
          <w:sz w:val="22"/>
          <w:szCs w:val="22"/>
        </w:rPr>
        <w:t>are used</w:t>
      </w:r>
      <w:proofErr w:type="gramEnd"/>
      <w:r w:rsidRPr="00BF4AA8">
        <w:rPr>
          <w:rFonts w:ascii="Arial" w:hAnsi="Arial" w:cs="Arial"/>
          <w:sz w:val="22"/>
          <w:szCs w:val="22"/>
        </w:rPr>
        <w:t xml:space="preserve"> to </w:t>
      </w:r>
      <w:proofErr w:type="spellStart"/>
      <w:r w:rsidRPr="00BF4AA8">
        <w:rPr>
          <w:rFonts w:ascii="Arial" w:hAnsi="Arial" w:cs="Arial"/>
          <w:sz w:val="22"/>
          <w:szCs w:val="22"/>
        </w:rPr>
        <w:t>characterise</w:t>
      </w:r>
      <w:proofErr w:type="spellEnd"/>
      <w:r w:rsidRPr="00BF4AA8">
        <w:rPr>
          <w:rFonts w:ascii="Arial" w:hAnsi="Arial" w:cs="Arial"/>
          <w:sz w:val="22"/>
          <w:szCs w:val="22"/>
        </w:rPr>
        <w:t xml:space="preserve"> hazard “hot years” and long-term climatic shifts.</w:t>
      </w:r>
    </w:p>
    <w:p w:rsidR="00BF4AA8" w:rsidRPr="00BF4AA8" w:rsidRDefault="00BF4AA8" w:rsidP="00BF4AA8">
      <w:pPr>
        <w:pStyle w:val="NormalWeb"/>
        <w:jc w:val="both"/>
        <w:rPr>
          <w:rStyle w:val="Strong"/>
          <w:rFonts w:ascii="Arial" w:hAnsi="Arial" w:cs="Arial"/>
          <w:b w:val="0"/>
          <w:bCs w:val="0"/>
          <w:sz w:val="22"/>
          <w:szCs w:val="22"/>
        </w:rPr>
      </w:pPr>
      <w:r w:rsidRPr="00BF4AA8">
        <w:rPr>
          <w:rStyle w:val="Strong"/>
          <w:rFonts w:ascii="Arial" w:hAnsi="Arial" w:cs="Arial"/>
          <w:b w:val="0"/>
          <w:bCs w:val="0"/>
          <w:i/>
          <w:iCs/>
          <w:color w:val="0070C0"/>
          <w:sz w:val="22"/>
          <w:szCs w:val="22"/>
        </w:rPr>
        <w:t>Coastal development intensity:</w:t>
      </w:r>
      <w:r w:rsidRPr="00BF4AA8">
        <w:rPr>
          <w:rStyle w:val="Strong"/>
          <w:rFonts w:ascii="Arial" w:hAnsi="Arial" w:cs="Arial"/>
          <w:i/>
          <w:iCs/>
          <w:color w:val="0070C0"/>
          <w:sz w:val="22"/>
          <w:szCs w:val="22"/>
        </w:rPr>
        <w:t xml:space="preserve"> </w:t>
      </w:r>
    </w:p>
    <w:p w:rsidR="00BF4AA8" w:rsidRPr="00BF4AA8" w:rsidRDefault="00BF4AA8" w:rsidP="00BF4AA8">
      <w:pPr>
        <w:pStyle w:val="NormalWeb"/>
        <w:numPr>
          <w:ilvl w:val="0"/>
          <w:numId w:val="62"/>
        </w:numPr>
        <w:jc w:val="both"/>
        <w:rPr>
          <w:rFonts w:ascii="Arial" w:hAnsi="Arial" w:cs="Arial"/>
          <w:sz w:val="22"/>
          <w:szCs w:val="22"/>
        </w:rPr>
      </w:pPr>
      <w:r w:rsidRPr="00BF4AA8">
        <w:rPr>
          <w:rFonts w:ascii="Arial" w:hAnsi="Arial" w:cs="Arial"/>
          <w:sz w:val="22"/>
          <w:szCs w:val="22"/>
        </w:rPr>
        <w:t>SEZ footprint and density</w:t>
      </w:r>
    </w:p>
    <w:p w:rsidR="00BF4AA8" w:rsidRPr="00BF4AA8" w:rsidRDefault="00BF4AA8" w:rsidP="00BF4AA8">
      <w:pPr>
        <w:pStyle w:val="NormalWeb"/>
        <w:numPr>
          <w:ilvl w:val="0"/>
          <w:numId w:val="62"/>
        </w:numPr>
        <w:jc w:val="both"/>
        <w:rPr>
          <w:rFonts w:ascii="Arial" w:hAnsi="Arial" w:cs="Arial"/>
          <w:sz w:val="22"/>
          <w:szCs w:val="22"/>
        </w:rPr>
      </w:pPr>
      <w:r w:rsidRPr="00BF4AA8">
        <w:rPr>
          <w:rFonts w:ascii="Arial" w:hAnsi="Arial" w:cs="Arial"/>
          <w:sz w:val="22"/>
          <w:szCs w:val="22"/>
        </w:rPr>
        <w:t>Port expansion, dredging and reclamation areas</w:t>
      </w:r>
    </w:p>
    <w:p w:rsidR="00BF4AA8" w:rsidRPr="00BF4AA8" w:rsidRDefault="00BF4AA8" w:rsidP="00BF4AA8">
      <w:pPr>
        <w:pStyle w:val="NormalWeb"/>
        <w:numPr>
          <w:ilvl w:val="0"/>
          <w:numId w:val="62"/>
        </w:numPr>
        <w:jc w:val="both"/>
        <w:rPr>
          <w:rFonts w:ascii="Arial" w:hAnsi="Arial" w:cs="Arial"/>
          <w:sz w:val="22"/>
          <w:szCs w:val="22"/>
        </w:rPr>
      </w:pPr>
      <w:r w:rsidRPr="00BF4AA8">
        <w:rPr>
          <w:rFonts w:ascii="Arial" w:hAnsi="Arial" w:cs="Arial"/>
          <w:sz w:val="22"/>
          <w:szCs w:val="22"/>
        </w:rPr>
        <w:t xml:space="preserve">Tourism and </w:t>
      </w:r>
      <w:proofErr w:type="spellStart"/>
      <w:r w:rsidRPr="00BF4AA8">
        <w:rPr>
          <w:rFonts w:ascii="Arial" w:hAnsi="Arial" w:cs="Arial"/>
          <w:sz w:val="22"/>
          <w:szCs w:val="22"/>
        </w:rPr>
        <w:t>urbanisation</w:t>
      </w:r>
      <w:proofErr w:type="spellEnd"/>
      <w:r w:rsidRPr="00BF4AA8">
        <w:rPr>
          <w:rFonts w:ascii="Arial" w:hAnsi="Arial" w:cs="Arial"/>
          <w:sz w:val="22"/>
          <w:szCs w:val="22"/>
        </w:rPr>
        <w:t xml:space="preserve"> rates</w:t>
      </w:r>
    </w:p>
    <w:p w:rsidR="00BF4AA8" w:rsidRPr="00BF4AA8" w:rsidRDefault="00BF4AA8" w:rsidP="00BF4AA8">
      <w:pPr>
        <w:pStyle w:val="NormalWeb"/>
        <w:numPr>
          <w:ilvl w:val="0"/>
          <w:numId w:val="62"/>
        </w:numPr>
        <w:jc w:val="both"/>
        <w:rPr>
          <w:rFonts w:ascii="Arial" w:hAnsi="Arial" w:cs="Arial"/>
          <w:sz w:val="22"/>
          <w:szCs w:val="22"/>
        </w:rPr>
      </w:pPr>
      <w:r w:rsidRPr="00BF4AA8">
        <w:rPr>
          <w:rFonts w:ascii="Arial" w:hAnsi="Arial" w:cs="Arial"/>
          <w:sz w:val="22"/>
          <w:szCs w:val="22"/>
        </w:rPr>
        <w:t>High development intensity correlates with pollution hotspots, habitat loss and erosion.</w:t>
      </w:r>
    </w:p>
    <w:p w:rsidR="00BF4AA8" w:rsidRPr="00BF4AA8" w:rsidRDefault="00BF4AA8" w:rsidP="00BF4AA8">
      <w:pPr>
        <w:rPr>
          <w:rStyle w:val="Strong"/>
          <w:rFonts w:ascii="Arial" w:hAnsi="Arial" w:cs="Arial"/>
          <w:i/>
          <w:iCs/>
          <w:sz w:val="22"/>
          <w:szCs w:val="22"/>
        </w:rPr>
      </w:pPr>
      <w:r w:rsidRPr="00BF4AA8">
        <w:rPr>
          <w:rStyle w:val="Strong"/>
          <w:rFonts w:ascii="Arial" w:hAnsi="Arial" w:cs="Arial"/>
          <w:b w:val="0"/>
          <w:bCs w:val="0"/>
          <w:i/>
          <w:iCs/>
          <w:color w:val="0070C0"/>
          <w:sz w:val="22"/>
          <w:szCs w:val="22"/>
        </w:rPr>
        <w:t>River discharge and sediment inflows:</w:t>
      </w:r>
      <w:r w:rsidRPr="00BF4AA8">
        <w:rPr>
          <w:rStyle w:val="Strong"/>
          <w:rFonts w:ascii="Arial" w:hAnsi="Arial" w:cs="Arial"/>
          <w:i/>
          <w:iCs/>
          <w:color w:val="0070C0"/>
          <w:sz w:val="22"/>
          <w:szCs w:val="22"/>
        </w:rPr>
        <w:t xml:space="preserve"> </w:t>
      </w:r>
    </w:p>
    <w:p w:rsidR="00BF4AA8" w:rsidRPr="00BF4AA8" w:rsidRDefault="00BF4AA8" w:rsidP="00BF4AA8">
      <w:pPr>
        <w:pStyle w:val="NormalWeb"/>
        <w:numPr>
          <w:ilvl w:val="0"/>
          <w:numId w:val="63"/>
        </w:numPr>
        <w:jc w:val="both"/>
        <w:rPr>
          <w:rFonts w:ascii="Arial" w:hAnsi="Arial" w:cs="Arial"/>
          <w:sz w:val="22"/>
          <w:szCs w:val="22"/>
        </w:rPr>
      </w:pPr>
      <w:r w:rsidRPr="00BF4AA8">
        <w:rPr>
          <w:rFonts w:ascii="Arial" w:hAnsi="Arial" w:cs="Arial"/>
          <w:sz w:val="22"/>
          <w:szCs w:val="22"/>
        </w:rPr>
        <w:t>Discharge peaks (Mekong–Tonle Sap–</w:t>
      </w:r>
      <w:proofErr w:type="spellStart"/>
      <w:r w:rsidRPr="00BF4AA8">
        <w:rPr>
          <w:rFonts w:ascii="Arial" w:hAnsi="Arial" w:cs="Arial"/>
          <w:sz w:val="22"/>
          <w:szCs w:val="22"/>
        </w:rPr>
        <w:t>Bassac</w:t>
      </w:r>
      <w:proofErr w:type="spellEnd"/>
      <w:r w:rsidRPr="00BF4AA8">
        <w:rPr>
          <w:rFonts w:ascii="Arial" w:hAnsi="Arial" w:cs="Arial"/>
          <w:sz w:val="22"/>
          <w:szCs w:val="22"/>
        </w:rPr>
        <w:t xml:space="preserve"> system)</w:t>
      </w:r>
    </w:p>
    <w:p w:rsidR="00BF4AA8" w:rsidRPr="00BF4AA8" w:rsidRDefault="00BF4AA8" w:rsidP="00BF4AA8">
      <w:pPr>
        <w:pStyle w:val="NormalWeb"/>
        <w:numPr>
          <w:ilvl w:val="0"/>
          <w:numId w:val="63"/>
        </w:numPr>
        <w:jc w:val="both"/>
        <w:rPr>
          <w:rFonts w:ascii="Arial" w:hAnsi="Arial" w:cs="Arial"/>
          <w:sz w:val="22"/>
          <w:szCs w:val="22"/>
        </w:rPr>
      </w:pPr>
      <w:r w:rsidRPr="00BF4AA8">
        <w:rPr>
          <w:rFonts w:ascii="Arial" w:hAnsi="Arial" w:cs="Arial"/>
          <w:sz w:val="22"/>
          <w:szCs w:val="22"/>
        </w:rPr>
        <w:t>Total Suspended Solids (TSS) in monsoon flows</w:t>
      </w:r>
    </w:p>
    <w:p w:rsidR="00BF4AA8" w:rsidRPr="00BF4AA8" w:rsidRDefault="00BF4AA8" w:rsidP="00BF4AA8">
      <w:pPr>
        <w:pStyle w:val="NormalWeb"/>
        <w:numPr>
          <w:ilvl w:val="0"/>
          <w:numId w:val="63"/>
        </w:numPr>
        <w:jc w:val="both"/>
        <w:rPr>
          <w:rFonts w:ascii="Arial" w:hAnsi="Arial" w:cs="Arial"/>
          <w:sz w:val="22"/>
          <w:szCs w:val="22"/>
        </w:rPr>
      </w:pPr>
      <w:r w:rsidRPr="00BF4AA8">
        <w:rPr>
          <w:rFonts w:ascii="Arial" w:hAnsi="Arial" w:cs="Arial"/>
          <w:sz w:val="22"/>
          <w:szCs w:val="22"/>
        </w:rPr>
        <w:t xml:space="preserve">This </w:t>
      </w:r>
      <w:proofErr w:type="gramStart"/>
      <w:r w:rsidRPr="00BF4AA8">
        <w:rPr>
          <w:rFonts w:ascii="Arial" w:hAnsi="Arial" w:cs="Arial"/>
          <w:sz w:val="22"/>
          <w:szCs w:val="22"/>
        </w:rPr>
        <w:t>explain</w:t>
      </w:r>
      <w:proofErr w:type="gramEnd"/>
      <w:r w:rsidRPr="00BF4AA8">
        <w:rPr>
          <w:rFonts w:ascii="Arial" w:hAnsi="Arial" w:cs="Arial"/>
          <w:sz w:val="22"/>
          <w:szCs w:val="22"/>
        </w:rPr>
        <w:t xml:space="preserve"> transboundary nutrient and sediment delivery to estuaries and coastal waters.</w:t>
      </w:r>
    </w:p>
    <w:p w:rsidR="00BF4AA8" w:rsidRPr="00BF4AA8" w:rsidRDefault="00BF4AA8" w:rsidP="00BF4AA8">
      <w:pPr>
        <w:adjustRightInd w:val="0"/>
        <w:snapToGrid w:val="0"/>
        <w:spacing w:before="240" w:after="120"/>
        <w:rPr>
          <w:rStyle w:val="Strong"/>
          <w:rFonts w:ascii="Arial" w:hAnsi="Arial" w:cs="Arial"/>
          <w:sz w:val="22"/>
          <w:szCs w:val="22"/>
        </w:rPr>
      </w:pPr>
      <w:r w:rsidRPr="00BF4AA8">
        <w:rPr>
          <w:rStyle w:val="Strong"/>
          <w:rFonts w:ascii="Arial" w:hAnsi="Arial" w:cs="Arial"/>
          <w:sz w:val="22"/>
          <w:szCs w:val="22"/>
        </w:rPr>
        <w:t>2. Sensitivity Indicators</w:t>
      </w:r>
    </w:p>
    <w:p w:rsidR="00BF4AA8" w:rsidRPr="00BF4AA8" w:rsidRDefault="00BF4AA8" w:rsidP="00BF4AA8">
      <w:pPr>
        <w:pStyle w:val="NormalWeb"/>
        <w:jc w:val="both"/>
        <w:rPr>
          <w:rFonts w:ascii="Arial" w:hAnsi="Arial" w:cs="Arial"/>
          <w:b/>
          <w:bCs/>
          <w:sz w:val="22"/>
          <w:szCs w:val="22"/>
        </w:rPr>
      </w:pPr>
      <w:r w:rsidRPr="00BF4AA8">
        <w:rPr>
          <w:rFonts w:ascii="Arial" w:hAnsi="Arial" w:cs="Arial"/>
          <w:sz w:val="22"/>
          <w:szCs w:val="22"/>
        </w:rPr>
        <w:t>Sensitivity captures the</w:t>
      </w:r>
      <w:r w:rsidRPr="00BF4AA8">
        <w:rPr>
          <w:rFonts w:ascii="Arial" w:hAnsi="Arial" w:cs="Arial"/>
          <w:b/>
          <w:bCs/>
          <w:sz w:val="22"/>
          <w:szCs w:val="22"/>
        </w:rPr>
        <w:t xml:space="preserve"> </w:t>
      </w:r>
      <w:r w:rsidRPr="00BF4AA8">
        <w:rPr>
          <w:rStyle w:val="Strong"/>
          <w:rFonts w:ascii="Arial" w:hAnsi="Arial" w:cs="Arial"/>
          <w:b w:val="0"/>
          <w:bCs w:val="0"/>
          <w:sz w:val="22"/>
          <w:szCs w:val="22"/>
        </w:rPr>
        <w:t>degree of harm that ecosystems or communities are likely to experience when exposed to a hazard</w:t>
      </w:r>
      <w:r w:rsidRPr="00BF4AA8">
        <w:rPr>
          <w:rFonts w:ascii="Arial" w:hAnsi="Arial" w:cs="Arial"/>
          <w:b/>
          <w:bCs/>
          <w:sz w:val="22"/>
          <w:szCs w:val="22"/>
        </w:rPr>
        <w:t>.</w:t>
      </w:r>
    </w:p>
    <w:p w:rsidR="00BF4AA8" w:rsidRPr="00BF4AA8" w:rsidRDefault="00BF4AA8" w:rsidP="00BF4AA8">
      <w:pPr>
        <w:rPr>
          <w:rStyle w:val="Strong"/>
          <w:rFonts w:ascii="Arial" w:hAnsi="Arial" w:cs="Arial"/>
          <w:b w:val="0"/>
          <w:bCs w:val="0"/>
          <w:i/>
          <w:iCs/>
          <w:color w:val="0070C0"/>
          <w:sz w:val="22"/>
          <w:szCs w:val="22"/>
        </w:rPr>
      </w:pPr>
      <w:r w:rsidRPr="00BF4AA8">
        <w:rPr>
          <w:rStyle w:val="Strong"/>
          <w:rFonts w:ascii="Arial" w:hAnsi="Arial" w:cs="Arial"/>
          <w:b w:val="0"/>
          <w:bCs w:val="0"/>
          <w:i/>
          <w:iCs/>
          <w:color w:val="0070C0"/>
          <w:sz w:val="22"/>
          <w:szCs w:val="22"/>
        </w:rPr>
        <w:t>Coral bleaching susceptibility</w:t>
      </w:r>
    </w:p>
    <w:p w:rsidR="00BF4AA8" w:rsidRPr="00BF4AA8" w:rsidRDefault="00BF4AA8" w:rsidP="00BF4AA8">
      <w:pPr>
        <w:pStyle w:val="NormalWeb"/>
        <w:numPr>
          <w:ilvl w:val="0"/>
          <w:numId w:val="64"/>
        </w:numPr>
        <w:jc w:val="both"/>
        <w:rPr>
          <w:rFonts w:ascii="Arial" w:hAnsi="Arial" w:cs="Arial"/>
          <w:sz w:val="22"/>
          <w:szCs w:val="22"/>
        </w:rPr>
      </w:pPr>
      <w:r w:rsidRPr="00BF4AA8">
        <w:rPr>
          <w:rFonts w:ascii="Arial" w:hAnsi="Arial" w:cs="Arial"/>
          <w:sz w:val="22"/>
          <w:szCs w:val="22"/>
        </w:rPr>
        <w:t>Presence of bleaching events during heatwaves</w:t>
      </w:r>
    </w:p>
    <w:p w:rsidR="00BF4AA8" w:rsidRPr="00BF4AA8" w:rsidRDefault="00BF4AA8" w:rsidP="00BF4AA8">
      <w:pPr>
        <w:pStyle w:val="NormalWeb"/>
        <w:numPr>
          <w:ilvl w:val="0"/>
          <w:numId w:val="64"/>
        </w:numPr>
        <w:jc w:val="both"/>
        <w:rPr>
          <w:rFonts w:ascii="Arial" w:hAnsi="Arial" w:cs="Arial"/>
          <w:sz w:val="22"/>
          <w:szCs w:val="22"/>
        </w:rPr>
      </w:pPr>
      <w:r w:rsidRPr="00BF4AA8">
        <w:rPr>
          <w:rFonts w:ascii="Arial" w:hAnsi="Arial" w:cs="Arial"/>
          <w:sz w:val="22"/>
          <w:szCs w:val="22"/>
        </w:rPr>
        <w:t>Coral genera with low thermal tolerance</w:t>
      </w:r>
    </w:p>
    <w:p w:rsidR="00BF4AA8" w:rsidRPr="00BF4AA8" w:rsidRDefault="00BF4AA8" w:rsidP="00BF4AA8">
      <w:pPr>
        <w:pStyle w:val="NormalWeb"/>
        <w:numPr>
          <w:ilvl w:val="0"/>
          <w:numId w:val="64"/>
        </w:numPr>
        <w:jc w:val="both"/>
        <w:rPr>
          <w:rFonts w:ascii="Arial" w:hAnsi="Arial" w:cs="Arial"/>
          <w:sz w:val="22"/>
          <w:szCs w:val="22"/>
        </w:rPr>
      </w:pPr>
      <w:r w:rsidRPr="00BF4AA8">
        <w:rPr>
          <w:rFonts w:ascii="Arial" w:hAnsi="Arial" w:cs="Arial"/>
          <w:sz w:val="22"/>
          <w:szCs w:val="22"/>
        </w:rPr>
        <w:t>Sediment-tolerant vs. sensitive assemblages</w:t>
      </w:r>
    </w:p>
    <w:p w:rsidR="00BF4AA8" w:rsidRPr="00BF4AA8" w:rsidRDefault="00BF4AA8" w:rsidP="00BF4AA8">
      <w:pPr>
        <w:rPr>
          <w:rStyle w:val="Strong"/>
          <w:rFonts w:ascii="Arial" w:hAnsi="Arial" w:cs="Arial"/>
          <w:b w:val="0"/>
          <w:bCs w:val="0"/>
          <w:i/>
          <w:iCs/>
          <w:color w:val="0070C0"/>
          <w:sz w:val="22"/>
          <w:szCs w:val="22"/>
        </w:rPr>
      </w:pPr>
      <w:r w:rsidRPr="00BF4AA8">
        <w:rPr>
          <w:rStyle w:val="Strong"/>
          <w:rFonts w:ascii="Arial" w:hAnsi="Arial" w:cs="Arial"/>
          <w:b w:val="0"/>
          <w:bCs w:val="0"/>
          <w:i/>
          <w:iCs/>
          <w:color w:val="0070C0"/>
          <w:sz w:val="22"/>
          <w:szCs w:val="22"/>
        </w:rPr>
        <w:t>Seagrass turbidity thresholds</w:t>
      </w:r>
    </w:p>
    <w:p w:rsidR="00BF4AA8" w:rsidRPr="00BF4AA8" w:rsidRDefault="00BF4AA8" w:rsidP="00BF4AA8">
      <w:pPr>
        <w:pStyle w:val="NormalWeb"/>
        <w:numPr>
          <w:ilvl w:val="0"/>
          <w:numId w:val="65"/>
        </w:numPr>
        <w:jc w:val="both"/>
        <w:rPr>
          <w:rFonts w:ascii="Arial" w:hAnsi="Arial" w:cs="Arial"/>
          <w:sz w:val="22"/>
          <w:szCs w:val="22"/>
        </w:rPr>
      </w:pPr>
      <w:r w:rsidRPr="00BF4AA8">
        <w:rPr>
          <w:rFonts w:ascii="Arial" w:hAnsi="Arial" w:cs="Arial"/>
          <w:sz w:val="22"/>
          <w:szCs w:val="22"/>
        </w:rPr>
        <w:t>Light-limitation thresholds (e.g., TSS &gt; 25–30 mg/L)</w:t>
      </w:r>
    </w:p>
    <w:p w:rsidR="00BF4AA8" w:rsidRPr="00BF4AA8" w:rsidRDefault="00BF4AA8" w:rsidP="00BF4AA8">
      <w:pPr>
        <w:pStyle w:val="NormalWeb"/>
        <w:numPr>
          <w:ilvl w:val="0"/>
          <w:numId w:val="65"/>
        </w:numPr>
        <w:jc w:val="both"/>
        <w:rPr>
          <w:rFonts w:ascii="Arial" w:hAnsi="Arial" w:cs="Arial"/>
          <w:sz w:val="22"/>
          <w:szCs w:val="22"/>
        </w:rPr>
      </w:pPr>
      <w:r w:rsidRPr="00BF4AA8">
        <w:rPr>
          <w:rFonts w:ascii="Arial" w:hAnsi="Arial" w:cs="Arial"/>
          <w:sz w:val="22"/>
          <w:szCs w:val="22"/>
        </w:rPr>
        <w:t>Species-specific responses to sedimentation</w:t>
      </w:r>
    </w:p>
    <w:p w:rsidR="00BF4AA8" w:rsidRPr="00BF4AA8" w:rsidRDefault="00BF4AA8" w:rsidP="00BF4AA8">
      <w:pPr>
        <w:pStyle w:val="NormalWeb"/>
        <w:numPr>
          <w:ilvl w:val="0"/>
          <w:numId w:val="65"/>
        </w:numPr>
        <w:jc w:val="both"/>
        <w:rPr>
          <w:rFonts w:ascii="Arial" w:hAnsi="Arial" w:cs="Arial"/>
          <w:sz w:val="22"/>
          <w:szCs w:val="22"/>
        </w:rPr>
      </w:pPr>
      <w:r w:rsidRPr="00BF4AA8">
        <w:rPr>
          <w:rFonts w:ascii="Arial" w:hAnsi="Arial" w:cs="Arial"/>
          <w:sz w:val="22"/>
          <w:szCs w:val="22"/>
        </w:rPr>
        <w:t>Nearshore dredging impacts</w:t>
      </w:r>
    </w:p>
    <w:p w:rsidR="00BF4AA8" w:rsidRPr="00BF4AA8" w:rsidRDefault="00BF4AA8" w:rsidP="00BF4AA8">
      <w:pPr>
        <w:rPr>
          <w:rStyle w:val="Strong"/>
          <w:rFonts w:ascii="Arial" w:hAnsi="Arial" w:cs="Arial"/>
          <w:b w:val="0"/>
          <w:bCs w:val="0"/>
          <w:i/>
          <w:iCs/>
          <w:color w:val="0070C0"/>
          <w:sz w:val="22"/>
          <w:szCs w:val="22"/>
        </w:rPr>
      </w:pPr>
      <w:r w:rsidRPr="00BF4AA8">
        <w:rPr>
          <w:rStyle w:val="Strong"/>
          <w:rFonts w:ascii="Arial" w:hAnsi="Arial" w:cs="Arial"/>
          <w:b w:val="0"/>
          <w:bCs w:val="0"/>
          <w:i/>
          <w:iCs/>
          <w:color w:val="0070C0"/>
          <w:sz w:val="22"/>
          <w:szCs w:val="22"/>
        </w:rPr>
        <w:t>Mangrove fragmentation and dieback</w:t>
      </w:r>
    </w:p>
    <w:p w:rsidR="00BF4AA8" w:rsidRPr="00BF4AA8" w:rsidRDefault="00BF4AA8" w:rsidP="00BF4AA8">
      <w:pPr>
        <w:pStyle w:val="NormalWeb"/>
        <w:numPr>
          <w:ilvl w:val="0"/>
          <w:numId w:val="66"/>
        </w:numPr>
        <w:jc w:val="both"/>
        <w:rPr>
          <w:rFonts w:ascii="Arial" w:hAnsi="Arial" w:cs="Arial"/>
          <w:sz w:val="22"/>
          <w:szCs w:val="22"/>
        </w:rPr>
      </w:pPr>
      <w:r w:rsidRPr="00BF4AA8">
        <w:rPr>
          <w:rFonts w:ascii="Arial" w:hAnsi="Arial" w:cs="Arial"/>
          <w:sz w:val="22"/>
          <w:szCs w:val="22"/>
        </w:rPr>
        <w:t>Patch-size metrics</w:t>
      </w:r>
    </w:p>
    <w:p w:rsidR="00BF4AA8" w:rsidRPr="00BF4AA8" w:rsidRDefault="00BF4AA8" w:rsidP="00BF4AA8">
      <w:pPr>
        <w:pStyle w:val="NormalWeb"/>
        <w:numPr>
          <w:ilvl w:val="0"/>
          <w:numId w:val="66"/>
        </w:numPr>
        <w:jc w:val="both"/>
        <w:rPr>
          <w:rFonts w:ascii="Arial" w:hAnsi="Arial" w:cs="Arial"/>
          <w:sz w:val="22"/>
          <w:szCs w:val="22"/>
        </w:rPr>
      </w:pPr>
      <w:r w:rsidRPr="00BF4AA8">
        <w:rPr>
          <w:rFonts w:ascii="Arial" w:hAnsi="Arial" w:cs="Arial"/>
          <w:sz w:val="22"/>
          <w:szCs w:val="22"/>
        </w:rPr>
        <w:t>Proportion of degraded vs. intact stands</w:t>
      </w:r>
    </w:p>
    <w:p w:rsidR="00BF4AA8" w:rsidRPr="00BF4AA8" w:rsidRDefault="00BF4AA8" w:rsidP="00BF4AA8">
      <w:pPr>
        <w:pStyle w:val="NormalWeb"/>
        <w:numPr>
          <w:ilvl w:val="0"/>
          <w:numId w:val="66"/>
        </w:numPr>
        <w:jc w:val="both"/>
        <w:rPr>
          <w:rFonts w:ascii="Arial" w:hAnsi="Arial" w:cs="Arial"/>
          <w:sz w:val="22"/>
          <w:szCs w:val="22"/>
        </w:rPr>
      </w:pPr>
      <w:r w:rsidRPr="00BF4AA8">
        <w:rPr>
          <w:rFonts w:ascii="Arial" w:hAnsi="Arial" w:cs="Arial"/>
          <w:sz w:val="22"/>
          <w:szCs w:val="22"/>
        </w:rPr>
        <w:t>Proximity to hydrological blockages and conversion areas</w:t>
      </w:r>
    </w:p>
    <w:p w:rsidR="00BF4AA8" w:rsidRPr="00BF4AA8" w:rsidRDefault="00BF4AA8" w:rsidP="00BF4AA8">
      <w:pPr>
        <w:rPr>
          <w:rStyle w:val="Strong"/>
          <w:rFonts w:ascii="Arial" w:hAnsi="Arial" w:cs="Arial"/>
          <w:b w:val="0"/>
          <w:bCs w:val="0"/>
          <w:i/>
          <w:iCs/>
          <w:color w:val="0070C0"/>
          <w:sz w:val="22"/>
          <w:szCs w:val="22"/>
        </w:rPr>
      </w:pPr>
      <w:r w:rsidRPr="00BF4AA8">
        <w:rPr>
          <w:rStyle w:val="Strong"/>
          <w:rFonts w:ascii="Arial" w:hAnsi="Arial" w:cs="Arial"/>
          <w:b w:val="0"/>
          <w:bCs w:val="0"/>
          <w:i/>
          <w:iCs/>
          <w:color w:val="0070C0"/>
          <w:sz w:val="22"/>
          <w:szCs w:val="22"/>
        </w:rPr>
        <w:t>Livelihood dependence</w:t>
      </w:r>
    </w:p>
    <w:p w:rsidR="00BF4AA8" w:rsidRPr="00BF4AA8" w:rsidRDefault="00BF4AA8" w:rsidP="00BF4AA8">
      <w:pPr>
        <w:pStyle w:val="NormalWeb"/>
        <w:numPr>
          <w:ilvl w:val="0"/>
          <w:numId w:val="67"/>
        </w:numPr>
        <w:jc w:val="both"/>
        <w:rPr>
          <w:rFonts w:ascii="Arial" w:hAnsi="Arial" w:cs="Arial"/>
          <w:sz w:val="22"/>
          <w:szCs w:val="22"/>
        </w:rPr>
      </w:pPr>
      <w:r w:rsidRPr="00BF4AA8">
        <w:rPr>
          <w:rFonts w:ascii="Arial" w:hAnsi="Arial" w:cs="Arial"/>
          <w:sz w:val="22"/>
          <w:szCs w:val="22"/>
        </w:rPr>
        <w:t xml:space="preserve">Share of income from fisheries, </w:t>
      </w:r>
      <w:proofErr w:type="gramStart"/>
      <w:r w:rsidRPr="00BF4AA8">
        <w:rPr>
          <w:rFonts w:ascii="Arial" w:hAnsi="Arial" w:cs="Arial"/>
          <w:sz w:val="22"/>
          <w:szCs w:val="22"/>
        </w:rPr>
        <w:t>wetlands</w:t>
      </w:r>
      <w:proofErr w:type="gramEnd"/>
      <w:r w:rsidRPr="00BF4AA8">
        <w:rPr>
          <w:rFonts w:ascii="Arial" w:hAnsi="Arial" w:cs="Arial"/>
          <w:sz w:val="22"/>
          <w:szCs w:val="22"/>
        </w:rPr>
        <w:t xml:space="preserve"> and coastal resources</w:t>
      </w:r>
    </w:p>
    <w:p w:rsidR="00BF4AA8" w:rsidRPr="00BF4AA8" w:rsidRDefault="00BF4AA8" w:rsidP="00BF4AA8">
      <w:pPr>
        <w:pStyle w:val="NormalWeb"/>
        <w:numPr>
          <w:ilvl w:val="0"/>
          <w:numId w:val="67"/>
        </w:numPr>
        <w:jc w:val="both"/>
        <w:rPr>
          <w:rFonts w:ascii="Arial" w:hAnsi="Arial" w:cs="Arial"/>
          <w:sz w:val="22"/>
          <w:szCs w:val="22"/>
        </w:rPr>
      </w:pPr>
      <w:r w:rsidRPr="00BF4AA8">
        <w:rPr>
          <w:rFonts w:ascii="Arial" w:hAnsi="Arial" w:cs="Arial"/>
          <w:sz w:val="22"/>
          <w:szCs w:val="22"/>
        </w:rPr>
        <w:t xml:space="preserve">Proportion of </w:t>
      </w:r>
      <w:proofErr w:type="gramStart"/>
      <w:r w:rsidRPr="00BF4AA8">
        <w:rPr>
          <w:rFonts w:ascii="Arial" w:hAnsi="Arial" w:cs="Arial"/>
          <w:sz w:val="22"/>
          <w:szCs w:val="22"/>
        </w:rPr>
        <w:t>households</w:t>
      </w:r>
      <w:proofErr w:type="gramEnd"/>
      <w:r w:rsidRPr="00BF4AA8">
        <w:rPr>
          <w:rFonts w:ascii="Arial" w:hAnsi="Arial" w:cs="Arial"/>
          <w:sz w:val="22"/>
          <w:szCs w:val="22"/>
        </w:rPr>
        <w:t xml:space="preserve"> dependent on daily catch or gleaning</w:t>
      </w:r>
    </w:p>
    <w:p w:rsidR="00BF4AA8" w:rsidRPr="00BF4AA8" w:rsidRDefault="00BF4AA8" w:rsidP="00BF4AA8">
      <w:pPr>
        <w:pStyle w:val="NormalWeb"/>
        <w:numPr>
          <w:ilvl w:val="0"/>
          <w:numId w:val="67"/>
        </w:numPr>
        <w:jc w:val="both"/>
        <w:rPr>
          <w:rFonts w:ascii="Arial" w:hAnsi="Arial" w:cs="Arial"/>
          <w:sz w:val="22"/>
          <w:szCs w:val="22"/>
        </w:rPr>
      </w:pPr>
      <w:r w:rsidRPr="00BF4AA8">
        <w:rPr>
          <w:rFonts w:ascii="Arial" w:hAnsi="Arial" w:cs="Arial"/>
          <w:sz w:val="22"/>
          <w:szCs w:val="22"/>
        </w:rPr>
        <w:t>High dependence increases vulnerability to ecological shocks.</w:t>
      </w:r>
    </w:p>
    <w:p w:rsidR="00BF4AA8" w:rsidRPr="00BF4AA8" w:rsidRDefault="00BF4AA8" w:rsidP="00BF4AA8">
      <w:pPr>
        <w:rPr>
          <w:rStyle w:val="Strong"/>
          <w:rFonts w:ascii="Arial" w:hAnsi="Arial" w:cs="Arial"/>
          <w:b w:val="0"/>
          <w:bCs w:val="0"/>
          <w:i/>
          <w:iCs/>
          <w:color w:val="0070C0"/>
          <w:sz w:val="22"/>
          <w:szCs w:val="22"/>
        </w:rPr>
      </w:pPr>
      <w:r w:rsidRPr="00BF4AA8">
        <w:rPr>
          <w:rStyle w:val="Strong"/>
          <w:rFonts w:ascii="Arial" w:hAnsi="Arial" w:cs="Arial"/>
          <w:b w:val="0"/>
          <w:bCs w:val="0"/>
          <w:i/>
          <w:iCs/>
          <w:color w:val="0070C0"/>
          <w:sz w:val="22"/>
          <w:szCs w:val="22"/>
        </w:rPr>
        <w:t>Poverty incidence and vulnerable groups</w:t>
      </w:r>
    </w:p>
    <w:p w:rsidR="00BF4AA8" w:rsidRPr="00BF4AA8" w:rsidRDefault="00BF4AA8" w:rsidP="00BF4AA8">
      <w:pPr>
        <w:pStyle w:val="NormalWeb"/>
        <w:numPr>
          <w:ilvl w:val="0"/>
          <w:numId w:val="68"/>
        </w:numPr>
        <w:jc w:val="both"/>
        <w:rPr>
          <w:rFonts w:ascii="Arial" w:hAnsi="Arial" w:cs="Arial"/>
          <w:sz w:val="22"/>
          <w:szCs w:val="22"/>
        </w:rPr>
      </w:pPr>
      <w:proofErr w:type="spellStart"/>
      <w:r w:rsidRPr="00BF4AA8">
        <w:rPr>
          <w:rFonts w:ascii="Arial" w:hAnsi="Arial" w:cs="Arial"/>
          <w:sz w:val="22"/>
          <w:szCs w:val="22"/>
        </w:rPr>
        <w:t>IDPoor</w:t>
      </w:r>
      <w:proofErr w:type="spellEnd"/>
      <w:r w:rsidRPr="00BF4AA8">
        <w:rPr>
          <w:rFonts w:ascii="Arial" w:hAnsi="Arial" w:cs="Arial"/>
          <w:sz w:val="22"/>
          <w:szCs w:val="22"/>
        </w:rPr>
        <w:t xml:space="preserve"> distribution</w:t>
      </w:r>
    </w:p>
    <w:p w:rsidR="00BF4AA8" w:rsidRPr="00BF4AA8" w:rsidRDefault="00BF4AA8" w:rsidP="00BF4AA8">
      <w:pPr>
        <w:pStyle w:val="NormalWeb"/>
        <w:numPr>
          <w:ilvl w:val="0"/>
          <w:numId w:val="68"/>
        </w:numPr>
        <w:jc w:val="both"/>
        <w:rPr>
          <w:rFonts w:ascii="Arial" w:hAnsi="Arial" w:cs="Arial"/>
          <w:sz w:val="22"/>
          <w:szCs w:val="22"/>
        </w:rPr>
      </w:pPr>
      <w:r w:rsidRPr="00BF4AA8">
        <w:rPr>
          <w:rFonts w:ascii="Arial" w:hAnsi="Arial" w:cs="Arial"/>
          <w:sz w:val="22"/>
          <w:szCs w:val="22"/>
        </w:rPr>
        <w:t>Exposure of low-income groups to floods, salinity intrusion or pollution</w:t>
      </w:r>
    </w:p>
    <w:p w:rsidR="00BF4AA8" w:rsidRPr="00BF4AA8" w:rsidRDefault="00BF4AA8" w:rsidP="00BF4AA8">
      <w:pPr>
        <w:pStyle w:val="NormalWeb"/>
        <w:numPr>
          <w:ilvl w:val="0"/>
          <w:numId w:val="68"/>
        </w:numPr>
        <w:jc w:val="both"/>
        <w:rPr>
          <w:rFonts w:ascii="Arial" w:hAnsi="Arial" w:cs="Arial"/>
          <w:sz w:val="22"/>
          <w:szCs w:val="22"/>
        </w:rPr>
      </w:pPr>
      <w:r w:rsidRPr="00BF4AA8">
        <w:rPr>
          <w:rFonts w:ascii="Arial" w:hAnsi="Arial" w:cs="Arial"/>
          <w:sz w:val="22"/>
          <w:szCs w:val="22"/>
        </w:rPr>
        <w:t>Poorer households have limited resources to cope and recover.</w:t>
      </w:r>
    </w:p>
    <w:p w:rsidR="00BF4AA8" w:rsidRPr="00BF4AA8" w:rsidRDefault="00BF4AA8" w:rsidP="00BF4AA8">
      <w:pPr>
        <w:adjustRightInd w:val="0"/>
        <w:snapToGrid w:val="0"/>
        <w:spacing w:before="240" w:after="120"/>
        <w:rPr>
          <w:rStyle w:val="Strong"/>
          <w:rFonts w:ascii="Arial" w:hAnsi="Arial" w:cs="Arial"/>
          <w:sz w:val="22"/>
          <w:szCs w:val="22"/>
        </w:rPr>
      </w:pPr>
      <w:r w:rsidRPr="00BF4AA8">
        <w:rPr>
          <w:rStyle w:val="Strong"/>
          <w:rFonts w:ascii="Arial" w:hAnsi="Arial" w:cs="Arial"/>
          <w:sz w:val="22"/>
          <w:szCs w:val="22"/>
        </w:rPr>
        <w:t>3. Adaptive Capacity Indicators</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Adaptive capacity reflects </w:t>
      </w:r>
      <w:r w:rsidRPr="00BF4AA8">
        <w:rPr>
          <w:rStyle w:val="Strong"/>
          <w:rFonts w:ascii="Arial" w:hAnsi="Arial" w:cs="Arial"/>
          <w:sz w:val="22"/>
          <w:szCs w:val="22"/>
        </w:rPr>
        <w:t>the ability of institutions, communities and ecosystems to moderate damage or adjust to change</w:t>
      </w:r>
      <w:r w:rsidRPr="00BF4AA8">
        <w:rPr>
          <w:rFonts w:ascii="Arial" w:hAnsi="Arial" w:cs="Arial"/>
          <w:sz w:val="22"/>
          <w:szCs w:val="22"/>
        </w:rPr>
        <w:t>.</w:t>
      </w:r>
    </w:p>
    <w:p w:rsidR="00BF4AA8" w:rsidRPr="00BF4AA8" w:rsidRDefault="00BF4AA8" w:rsidP="00BF4AA8">
      <w:pPr>
        <w:rPr>
          <w:rStyle w:val="Strong"/>
          <w:rFonts w:ascii="Arial" w:hAnsi="Arial" w:cs="Arial"/>
          <w:b w:val="0"/>
          <w:bCs w:val="0"/>
          <w:i/>
          <w:iCs/>
          <w:color w:val="0070C0"/>
          <w:sz w:val="22"/>
          <w:szCs w:val="22"/>
        </w:rPr>
      </w:pPr>
      <w:r w:rsidRPr="00BF4AA8">
        <w:rPr>
          <w:rStyle w:val="Strong"/>
          <w:rFonts w:ascii="Arial" w:hAnsi="Arial" w:cs="Arial"/>
          <w:b w:val="0"/>
          <w:bCs w:val="0"/>
          <w:i/>
          <w:iCs/>
          <w:color w:val="0070C0"/>
          <w:sz w:val="22"/>
          <w:szCs w:val="22"/>
        </w:rPr>
        <w:t>Enforcement and patrol capacity</w:t>
      </w:r>
    </w:p>
    <w:p w:rsidR="00BF4AA8" w:rsidRPr="00BF4AA8" w:rsidRDefault="00BF4AA8" w:rsidP="00BF4AA8">
      <w:pPr>
        <w:pStyle w:val="NormalWeb"/>
        <w:numPr>
          <w:ilvl w:val="0"/>
          <w:numId w:val="69"/>
        </w:numPr>
        <w:jc w:val="both"/>
        <w:rPr>
          <w:rFonts w:ascii="Arial" w:hAnsi="Arial" w:cs="Arial"/>
          <w:sz w:val="22"/>
          <w:szCs w:val="22"/>
        </w:rPr>
      </w:pPr>
      <w:r w:rsidRPr="00BF4AA8">
        <w:rPr>
          <w:rFonts w:ascii="Arial" w:hAnsi="Arial" w:cs="Arial"/>
          <w:sz w:val="22"/>
          <w:szCs w:val="22"/>
        </w:rPr>
        <w:t>Number of patrol days per month</w:t>
      </w:r>
    </w:p>
    <w:p w:rsidR="00BF4AA8" w:rsidRPr="00BF4AA8" w:rsidRDefault="00BF4AA8" w:rsidP="00BF4AA8">
      <w:pPr>
        <w:pStyle w:val="NormalWeb"/>
        <w:numPr>
          <w:ilvl w:val="0"/>
          <w:numId w:val="69"/>
        </w:numPr>
        <w:jc w:val="both"/>
        <w:rPr>
          <w:rFonts w:ascii="Arial" w:hAnsi="Arial" w:cs="Arial"/>
          <w:sz w:val="22"/>
          <w:szCs w:val="22"/>
        </w:rPr>
      </w:pPr>
      <w:r w:rsidRPr="00BF4AA8">
        <w:rPr>
          <w:rFonts w:ascii="Arial" w:hAnsi="Arial" w:cs="Arial"/>
          <w:sz w:val="22"/>
          <w:szCs w:val="22"/>
        </w:rPr>
        <w:t>Functionality of MFMA/MPA enforcement teams</w:t>
      </w:r>
    </w:p>
    <w:p w:rsidR="00BF4AA8" w:rsidRPr="00BF4AA8" w:rsidRDefault="00BF4AA8" w:rsidP="00BF4AA8">
      <w:pPr>
        <w:pStyle w:val="NormalWeb"/>
        <w:numPr>
          <w:ilvl w:val="0"/>
          <w:numId w:val="69"/>
        </w:numPr>
        <w:jc w:val="both"/>
        <w:rPr>
          <w:rFonts w:ascii="Arial" w:hAnsi="Arial" w:cs="Arial"/>
          <w:sz w:val="22"/>
          <w:szCs w:val="22"/>
        </w:rPr>
      </w:pPr>
      <w:r w:rsidRPr="00BF4AA8">
        <w:rPr>
          <w:rFonts w:ascii="Arial" w:hAnsi="Arial" w:cs="Arial"/>
          <w:sz w:val="22"/>
          <w:szCs w:val="22"/>
        </w:rPr>
        <w:t>Inter-agency coordination levels</w:t>
      </w:r>
    </w:p>
    <w:p w:rsidR="00BF4AA8" w:rsidRPr="00BF4AA8" w:rsidRDefault="00BF4AA8" w:rsidP="00BF4AA8">
      <w:pPr>
        <w:keepNext/>
        <w:rPr>
          <w:rStyle w:val="Strong"/>
          <w:rFonts w:ascii="Arial" w:hAnsi="Arial" w:cs="Arial"/>
          <w:b w:val="0"/>
          <w:bCs w:val="0"/>
          <w:i/>
          <w:iCs/>
          <w:color w:val="0070C0"/>
          <w:sz w:val="22"/>
          <w:szCs w:val="22"/>
        </w:rPr>
      </w:pPr>
      <w:r w:rsidRPr="00BF4AA8">
        <w:rPr>
          <w:rStyle w:val="Strong"/>
          <w:rFonts w:ascii="Arial" w:hAnsi="Arial" w:cs="Arial"/>
          <w:b w:val="0"/>
          <w:bCs w:val="0"/>
          <w:i/>
          <w:iCs/>
          <w:color w:val="0070C0"/>
          <w:sz w:val="22"/>
          <w:szCs w:val="22"/>
        </w:rPr>
        <w:t>Existence and implementation of ICZM/MSP</w:t>
      </w:r>
    </w:p>
    <w:p w:rsidR="00BF4AA8" w:rsidRPr="00BF4AA8" w:rsidRDefault="00BF4AA8" w:rsidP="00BF4AA8">
      <w:pPr>
        <w:pStyle w:val="NormalWeb"/>
        <w:numPr>
          <w:ilvl w:val="0"/>
          <w:numId w:val="69"/>
        </w:numPr>
        <w:jc w:val="both"/>
        <w:rPr>
          <w:rFonts w:ascii="Arial" w:hAnsi="Arial" w:cs="Arial"/>
          <w:sz w:val="22"/>
          <w:szCs w:val="22"/>
        </w:rPr>
      </w:pPr>
      <w:r w:rsidRPr="00BF4AA8">
        <w:rPr>
          <w:rFonts w:ascii="Arial" w:hAnsi="Arial" w:cs="Arial"/>
          <w:sz w:val="22"/>
          <w:szCs w:val="22"/>
        </w:rPr>
        <w:t>Legal instruments enabling coastal zoning</w:t>
      </w:r>
    </w:p>
    <w:p w:rsidR="00BF4AA8" w:rsidRPr="00BF4AA8" w:rsidRDefault="00BF4AA8" w:rsidP="00BF4AA8">
      <w:pPr>
        <w:pStyle w:val="NormalWeb"/>
        <w:numPr>
          <w:ilvl w:val="0"/>
          <w:numId w:val="69"/>
        </w:numPr>
        <w:jc w:val="both"/>
        <w:rPr>
          <w:rFonts w:ascii="Arial" w:hAnsi="Arial" w:cs="Arial"/>
          <w:sz w:val="22"/>
          <w:szCs w:val="22"/>
        </w:rPr>
      </w:pPr>
      <w:r w:rsidRPr="00BF4AA8">
        <w:rPr>
          <w:rFonts w:ascii="Arial" w:hAnsi="Arial" w:cs="Arial"/>
          <w:sz w:val="22"/>
          <w:szCs w:val="22"/>
        </w:rPr>
        <w:t>Institutional mandates and clarity</w:t>
      </w:r>
    </w:p>
    <w:p w:rsidR="00BF4AA8" w:rsidRPr="00BF4AA8" w:rsidRDefault="00BF4AA8" w:rsidP="00BF4AA8">
      <w:pPr>
        <w:pStyle w:val="NormalWeb"/>
        <w:numPr>
          <w:ilvl w:val="0"/>
          <w:numId w:val="69"/>
        </w:numPr>
        <w:jc w:val="both"/>
        <w:rPr>
          <w:rFonts w:ascii="Arial" w:hAnsi="Arial" w:cs="Arial"/>
          <w:sz w:val="22"/>
          <w:szCs w:val="22"/>
        </w:rPr>
      </w:pPr>
      <w:r w:rsidRPr="00BF4AA8">
        <w:rPr>
          <w:rFonts w:ascii="Arial" w:hAnsi="Arial" w:cs="Arial"/>
          <w:sz w:val="22"/>
          <w:szCs w:val="22"/>
        </w:rPr>
        <w:t xml:space="preserve">Degree of MSP </w:t>
      </w:r>
      <w:proofErr w:type="spellStart"/>
      <w:r w:rsidRPr="00BF4AA8">
        <w:rPr>
          <w:rFonts w:ascii="Arial" w:hAnsi="Arial" w:cs="Arial"/>
          <w:sz w:val="22"/>
          <w:szCs w:val="22"/>
        </w:rPr>
        <w:t>operationalisation</w:t>
      </w:r>
      <w:proofErr w:type="spellEnd"/>
      <w:r w:rsidRPr="00BF4AA8">
        <w:rPr>
          <w:rFonts w:ascii="Arial" w:hAnsi="Arial" w:cs="Arial"/>
          <w:sz w:val="22"/>
          <w:szCs w:val="22"/>
        </w:rPr>
        <w:t xml:space="preserve"> (planning, mapping, zoning)</w:t>
      </w:r>
    </w:p>
    <w:p w:rsidR="00BF4AA8" w:rsidRPr="00BF4AA8" w:rsidRDefault="00BF4AA8" w:rsidP="00BF4AA8">
      <w:pPr>
        <w:keepNext/>
        <w:rPr>
          <w:rStyle w:val="Strong"/>
          <w:rFonts w:ascii="Arial" w:hAnsi="Arial" w:cs="Arial"/>
          <w:b w:val="0"/>
          <w:bCs w:val="0"/>
          <w:i/>
          <w:iCs/>
          <w:color w:val="0070C0"/>
          <w:sz w:val="22"/>
          <w:szCs w:val="22"/>
        </w:rPr>
      </w:pPr>
      <w:r w:rsidRPr="00BF4AA8">
        <w:rPr>
          <w:rStyle w:val="Strong"/>
          <w:rFonts w:ascii="Arial" w:hAnsi="Arial" w:cs="Arial"/>
          <w:b w:val="0"/>
          <w:bCs w:val="0"/>
          <w:i/>
          <w:iCs/>
          <w:color w:val="0070C0"/>
          <w:sz w:val="22"/>
          <w:szCs w:val="22"/>
        </w:rPr>
        <w:t>Wastewater and pollution-control infrastructure</w:t>
      </w:r>
    </w:p>
    <w:p w:rsidR="00BF4AA8" w:rsidRPr="00BF4AA8" w:rsidRDefault="00BF4AA8" w:rsidP="00BF4AA8">
      <w:pPr>
        <w:pStyle w:val="NormalWeb"/>
        <w:numPr>
          <w:ilvl w:val="0"/>
          <w:numId w:val="71"/>
        </w:numPr>
        <w:jc w:val="both"/>
        <w:rPr>
          <w:rFonts w:ascii="Arial" w:hAnsi="Arial" w:cs="Arial"/>
          <w:sz w:val="22"/>
          <w:szCs w:val="22"/>
        </w:rPr>
      </w:pPr>
      <w:r w:rsidRPr="00BF4AA8">
        <w:rPr>
          <w:rFonts w:ascii="Arial" w:hAnsi="Arial" w:cs="Arial"/>
          <w:sz w:val="22"/>
          <w:szCs w:val="22"/>
        </w:rPr>
        <w:t>WWTP capacity and coverage</w:t>
      </w:r>
    </w:p>
    <w:p w:rsidR="00BF4AA8" w:rsidRPr="00BF4AA8" w:rsidRDefault="00BF4AA8" w:rsidP="00BF4AA8">
      <w:pPr>
        <w:pStyle w:val="NormalWeb"/>
        <w:numPr>
          <w:ilvl w:val="0"/>
          <w:numId w:val="71"/>
        </w:numPr>
        <w:jc w:val="both"/>
        <w:rPr>
          <w:rFonts w:ascii="Arial" w:hAnsi="Arial" w:cs="Arial"/>
          <w:sz w:val="22"/>
          <w:szCs w:val="22"/>
        </w:rPr>
      </w:pPr>
      <w:r w:rsidRPr="00BF4AA8">
        <w:rPr>
          <w:rFonts w:ascii="Arial" w:hAnsi="Arial" w:cs="Arial"/>
          <w:sz w:val="22"/>
          <w:szCs w:val="22"/>
        </w:rPr>
        <w:t>Industrial compliance monitoring</w:t>
      </w:r>
    </w:p>
    <w:p w:rsidR="00BF4AA8" w:rsidRPr="00BF4AA8" w:rsidRDefault="00BF4AA8" w:rsidP="00BF4AA8">
      <w:pPr>
        <w:pStyle w:val="NormalWeb"/>
        <w:numPr>
          <w:ilvl w:val="0"/>
          <w:numId w:val="71"/>
        </w:numPr>
        <w:jc w:val="both"/>
        <w:rPr>
          <w:rFonts w:ascii="Arial" w:hAnsi="Arial" w:cs="Arial"/>
          <w:sz w:val="22"/>
          <w:szCs w:val="22"/>
        </w:rPr>
      </w:pPr>
      <w:r w:rsidRPr="00BF4AA8">
        <w:rPr>
          <w:rFonts w:ascii="Arial" w:hAnsi="Arial" w:cs="Arial"/>
          <w:sz w:val="22"/>
          <w:szCs w:val="22"/>
        </w:rPr>
        <w:t>Availability of landfills, transfer stations and hazardous-waste handling</w:t>
      </w:r>
    </w:p>
    <w:p w:rsidR="00BF4AA8" w:rsidRPr="00BF4AA8" w:rsidRDefault="00BF4AA8" w:rsidP="00BF4AA8">
      <w:pPr>
        <w:keepNext/>
        <w:rPr>
          <w:rStyle w:val="Strong"/>
          <w:rFonts w:ascii="Arial" w:hAnsi="Arial" w:cs="Arial"/>
          <w:b w:val="0"/>
          <w:bCs w:val="0"/>
          <w:i/>
          <w:iCs/>
          <w:color w:val="0070C0"/>
          <w:sz w:val="22"/>
          <w:szCs w:val="22"/>
        </w:rPr>
      </w:pPr>
      <w:r w:rsidRPr="00BF4AA8">
        <w:rPr>
          <w:rStyle w:val="Strong"/>
          <w:rFonts w:ascii="Arial" w:hAnsi="Arial" w:cs="Arial"/>
          <w:b w:val="0"/>
          <w:bCs w:val="0"/>
          <w:i/>
          <w:iCs/>
          <w:color w:val="0070C0"/>
          <w:sz w:val="22"/>
          <w:szCs w:val="22"/>
        </w:rPr>
        <w:t>Social protection and livelihood diversification</w:t>
      </w:r>
    </w:p>
    <w:p w:rsidR="00BF4AA8" w:rsidRPr="00BF4AA8" w:rsidRDefault="00BF4AA8" w:rsidP="00BF4AA8">
      <w:pPr>
        <w:pStyle w:val="NormalWeb"/>
        <w:numPr>
          <w:ilvl w:val="0"/>
          <w:numId w:val="72"/>
        </w:numPr>
        <w:jc w:val="both"/>
        <w:rPr>
          <w:rFonts w:ascii="Arial" w:hAnsi="Arial" w:cs="Arial"/>
          <w:sz w:val="22"/>
          <w:szCs w:val="22"/>
        </w:rPr>
      </w:pPr>
      <w:r w:rsidRPr="00BF4AA8">
        <w:rPr>
          <w:rFonts w:ascii="Arial" w:hAnsi="Arial" w:cs="Arial"/>
          <w:sz w:val="22"/>
          <w:szCs w:val="22"/>
        </w:rPr>
        <w:t xml:space="preserve">Access to </w:t>
      </w:r>
      <w:proofErr w:type="spellStart"/>
      <w:r w:rsidRPr="00BF4AA8">
        <w:rPr>
          <w:rFonts w:ascii="Arial" w:hAnsi="Arial" w:cs="Arial"/>
          <w:sz w:val="22"/>
          <w:szCs w:val="22"/>
        </w:rPr>
        <w:t>IDPoor</w:t>
      </w:r>
      <w:proofErr w:type="spellEnd"/>
      <w:r w:rsidRPr="00BF4AA8">
        <w:rPr>
          <w:rFonts w:ascii="Arial" w:hAnsi="Arial" w:cs="Arial"/>
          <w:sz w:val="22"/>
          <w:szCs w:val="22"/>
        </w:rPr>
        <w:t>, cash transfers, microfinance</w:t>
      </w:r>
    </w:p>
    <w:p w:rsidR="00BF4AA8" w:rsidRPr="00BF4AA8" w:rsidRDefault="00BF4AA8" w:rsidP="00BF4AA8">
      <w:pPr>
        <w:pStyle w:val="NormalWeb"/>
        <w:numPr>
          <w:ilvl w:val="0"/>
          <w:numId w:val="72"/>
        </w:numPr>
        <w:jc w:val="both"/>
        <w:rPr>
          <w:rFonts w:ascii="Arial" w:hAnsi="Arial" w:cs="Arial"/>
          <w:sz w:val="22"/>
          <w:szCs w:val="22"/>
        </w:rPr>
      </w:pPr>
      <w:r w:rsidRPr="00BF4AA8">
        <w:rPr>
          <w:rFonts w:ascii="Arial" w:hAnsi="Arial" w:cs="Arial"/>
          <w:sz w:val="22"/>
          <w:szCs w:val="22"/>
        </w:rPr>
        <w:t xml:space="preserve">Availability of alternative jobs in tourism, </w:t>
      </w:r>
      <w:proofErr w:type="gramStart"/>
      <w:r w:rsidRPr="00BF4AA8">
        <w:rPr>
          <w:rFonts w:ascii="Arial" w:hAnsi="Arial" w:cs="Arial"/>
          <w:sz w:val="22"/>
          <w:szCs w:val="22"/>
        </w:rPr>
        <w:t>aquaculture</w:t>
      </w:r>
      <w:proofErr w:type="gramEnd"/>
      <w:r w:rsidRPr="00BF4AA8">
        <w:rPr>
          <w:rFonts w:ascii="Arial" w:hAnsi="Arial" w:cs="Arial"/>
          <w:sz w:val="22"/>
          <w:szCs w:val="22"/>
        </w:rPr>
        <w:t xml:space="preserve"> or services</w:t>
      </w:r>
    </w:p>
    <w:p w:rsidR="00BF4AA8" w:rsidRPr="00BF4AA8" w:rsidRDefault="00BF4AA8" w:rsidP="00BF4AA8">
      <w:pPr>
        <w:pStyle w:val="NormalWeb"/>
        <w:numPr>
          <w:ilvl w:val="0"/>
          <w:numId w:val="72"/>
        </w:numPr>
        <w:jc w:val="both"/>
        <w:rPr>
          <w:rFonts w:ascii="Arial" w:hAnsi="Arial" w:cs="Arial"/>
          <w:sz w:val="22"/>
          <w:szCs w:val="22"/>
        </w:rPr>
      </w:pPr>
      <w:r w:rsidRPr="00BF4AA8">
        <w:rPr>
          <w:rFonts w:ascii="Arial" w:hAnsi="Arial" w:cs="Arial"/>
          <w:sz w:val="22"/>
          <w:szCs w:val="22"/>
        </w:rPr>
        <w:t>Communities with diversified livelihoods are less vulnerable.</w:t>
      </w:r>
    </w:p>
    <w:p w:rsidR="00BF4AA8" w:rsidRPr="00BF4AA8" w:rsidRDefault="00BF4AA8" w:rsidP="00BF4AA8">
      <w:pPr>
        <w:keepNext/>
        <w:rPr>
          <w:rStyle w:val="Strong"/>
          <w:rFonts w:ascii="Arial" w:hAnsi="Arial" w:cs="Arial"/>
          <w:b w:val="0"/>
          <w:bCs w:val="0"/>
          <w:i/>
          <w:iCs/>
          <w:color w:val="0070C0"/>
          <w:sz w:val="22"/>
          <w:szCs w:val="22"/>
        </w:rPr>
      </w:pPr>
      <w:r w:rsidRPr="00BF4AA8">
        <w:rPr>
          <w:rStyle w:val="Strong"/>
          <w:rFonts w:ascii="Arial" w:hAnsi="Arial" w:cs="Arial"/>
          <w:b w:val="0"/>
          <w:bCs w:val="0"/>
          <w:i/>
          <w:iCs/>
          <w:color w:val="0070C0"/>
          <w:sz w:val="22"/>
          <w:szCs w:val="22"/>
        </w:rPr>
        <w:t xml:space="preserve">Community </w:t>
      </w:r>
      <w:proofErr w:type="spellStart"/>
      <w:r w:rsidRPr="00BF4AA8">
        <w:rPr>
          <w:rStyle w:val="Strong"/>
          <w:rFonts w:ascii="Arial" w:hAnsi="Arial" w:cs="Arial"/>
          <w:b w:val="0"/>
          <w:bCs w:val="0"/>
          <w:i/>
          <w:iCs/>
          <w:color w:val="0070C0"/>
          <w:sz w:val="22"/>
          <w:szCs w:val="22"/>
        </w:rPr>
        <w:t>organisation</w:t>
      </w:r>
      <w:proofErr w:type="spellEnd"/>
      <w:r w:rsidRPr="00BF4AA8">
        <w:rPr>
          <w:rStyle w:val="Strong"/>
          <w:rFonts w:ascii="Arial" w:hAnsi="Arial" w:cs="Arial"/>
          <w:b w:val="0"/>
          <w:bCs w:val="0"/>
          <w:i/>
          <w:iCs/>
          <w:color w:val="0070C0"/>
          <w:sz w:val="22"/>
          <w:szCs w:val="22"/>
        </w:rPr>
        <w:t xml:space="preserve"> and co-management</w:t>
      </w:r>
    </w:p>
    <w:p w:rsidR="00BF4AA8" w:rsidRPr="00BF4AA8" w:rsidRDefault="00BF4AA8" w:rsidP="00BF4AA8">
      <w:pPr>
        <w:pStyle w:val="NormalWeb"/>
        <w:numPr>
          <w:ilvl w:val="0"/>
          <w:numId w:val="73"/>
        </w:numPr>
        <w:jc w:val="both"/>
        <w:rPr>
          <w:rFonts w:ascii="Arial" w:hAnsi="Arial" w:cs="Arial"/>
          <w:sz w:val="22"/>
          <w:szCs w:val="22"/>
        </w:rPr>
      </w:pPr>
      <w:r w:rsidRPr="00BF4AA8">
        <w:rPr>
          <w:rFonts w:ascii="Arial" w:hAnsi="Arial" w:cs="Arial"/>
          <w:sz w:val="22"/>
          <w:szCs w:val="22"/>
        </w:rPr>
        <w:t>Strength of Community Fisheries (</w:t>
      </w:r>
      <w:proofErr w:type="spellStart"/>
      <w:r w:rsidRPr="00BF4AA8">
        <w:rPr>
          <w:rFonts w:ascii="Arial" w:hAnsi="Arial" w:cs="Arial"/>
          <w:sz w:val="22"/>
          <w:szCs w:val="22"/>
        </w:rPr>
        <w:t>CFis</w:t>
      </w:r>
      <w:proofErr w:type="spellEnd"/>
      <w:r w:rsidRPr="00BF4AA8">
        <w:rPr>
          <w:rFonts w:ascii="Arial" w:hAnsi="Arial" w:cs="Arial"/>
          <w:sz w:val="22"/>
          <w:szCs w:val="22"/>
        </w:rPr>
        <w:t>) and Protected Area (CPA) committees</w:t>
      </w:r>
    </w:p>
    <w:p w:rsidR="00BF4AA8" w:rsidRPr="00BF4AA8" w:rsidRDefault="00BF4AA8" w:rsidP="00BF4AA8">
      <w:pPr>
        <w:pStyle w:val="NormalWeb"/>
        <w:numPr>
          <w:ilvl w:val="0"/>
          <w:numId w:val="73"/>
        </w:numPr>
        <w:jc w:val="both"/>
        <w:rPr>
          <w:rFonts w:ascii="Arial" w:hAnsi="Arial" w:cs="Arial"/>
          <w:sz w:val="22"/>
          <w:szCs w:val="22"/>
        </w:rPr>
      </w:pPr>
      <w:r w:rsidRPr="00BF4AA8">
        <w:rPr>
          <w:rFonts w:ascii="Arial" w:hAnsi="Arial" w:cs="Arial"/>
          <w:sz w:val="22"/>
          <w:szCs w:val="22"/>
        </w:rPr>
        <w:t>NGO partnership presence</w:t>
      </w:r>
    </w:p>
    <w:p w:rsidR="00BF4AA8" w:rsidRPr="00BF4AA8" w:rsidRDefault="00BF4AA8" w:rsidP="00BF4AA8">
      <w:pPr>
        <w:pStyle w:val="NormalWeb"/>
        <w:numPr>
          <w:ilvl w:val="0"/>
          <w:numId w:val="73"/>
        </w:numPr>
        <w:jc w:val="both"/>
        <w:rPr>
          <w:rFonts w:ascii="Arial" w:hAnsi="Arial" w:cs="Arial"/>
          <w:sz w:val="22"/>
          <w:szCs w:val="22"/>
        </w:rPr>
      </w:pPr>
      <w:r w:rsidRPr="00BF4AA8">
        <w:rPr>
          <w:rFonts w:ascii="Arial" w:hAnsi="Arial" w:cs="Arial"/>
          <w:sz w:val="22"/>
          <w:szCs w:val="22"/>
        </w:rPr>
        <w:t>Participation in monitoring or resource management</w:t>
      </w:r>
    </w:p>
    <w:p w:rsidR="00BF4AA8" w:rsidRPr="00BF4AA8" w:rsidRDefault="00BF4AA8" w:rsidP="00BF4AA8">
      <w:pPr>
        <w:pStyle w:val="NormalWeb"/>
        <w:numPr>
          <w:ilvl w:val="0"/>
          <w:numId w:val="73"/>
        </w:numPr>
        <w:jc w:val="both"/>
        <w:rPr>
          <w:rFonts w:ascii="Arial" w:hAnsi="Arial" w:cs="Arial"/>
          <w:sz w:val="22"/>
          <w:szCs w:val="22"/>
        </w:rPr>
      </w:pPr>
      <w:r w:rsidRPr="00BF4AA8">
        <w:rPr>
          <w:rFonts w:ascii="Arial" w:hAnsi="Arial" w:cs="Arial"/>
          <w:sz w:val="22"/>
          <w:szCs w:val="22"/>
        </w:rPr>
        <w:t>Stronger social capital tends to reduce risk.</w:t>
      </w:r>
    </w:p>
    <w:p w:rsidR="00BF4AA8" w:rsidRPr="00BF4AA8" w:rsidRDefault="00BF4AA8" w:rsidP="00BF4AA8">
      <w:pPr>
        <w:rPr>
          <w:rStyle w:val="Strong"/>
          <w:rFonts w:ascii="Arial" w:hAnsi="Arial" w:cs="Arial"/>
          <w:i/>
          <w:iCs/>
          <w:sz w:val="22"/>
          <w:szCs w:val="22"/>
        </w:rPr>
      </w:pPr>
      <w:r w:rsidRPr="00BF4AA8">
        <w:rPr>
          <w:rStyle w:val="Strong"/>
          <w:rFonts w:ascii="Arial" w:hAnsi="Arial" w:cs="Arial"/>
          <w:i/>
          <w:iCs/>
          <w:sz w:val="22"/>
          <w:szCs w:val="22"/>
        </w:rPr>
        <w:t>4. Scoring Approach (ESAC Model)</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A </w:t>
      </w:r>
      <w:proofErr w:type="spellStart"/>
      <w:r w:rsidRPr="00BF4AA8">
        <w:rPr>
          <w:rFonts w:ascii="Arial" w:hAnsi="Arial" w:cs="Arial"/>
          <w:sz w:val="22"/>
          <w:szCs w:val="22"/>
        </w:rPr>
        <w:t>standardised</w:t>
      </w:r>
      <w:proofErr w:type="spellEnd"/>
      <w:r w:rsidRPr="00BF4AA8">
        <w:rPr>
          <w:rFonts w:ascii="Arial" w:hAnsi="Arial" w:cs="Arial"/>
          <w:sz w:val="22"/>
          <w:szCs w:val="22"/>
        </w:rPr>
        <w:t xml:space="preserve"> scoring system </w:t>
      </w:r>
      <w:proofErr w:type="gramStart"/>
      <w:r w:rsidRPr="00BF4AA8">
        <w:rPr>
          <w:rFonts w:ascii="Arial" w:hAnsi="Arial" w:cs="Arial"/>
          <w:sz w:val="22"/>
          <w:szCs w:val="22"/>
        </w:rPr>
        <w:t>is applied</w:t>
      </w:r>
      <w:proofErr w:type="gramEnd"/>
      <w:r w:rsidRPr="00BF4AA8">
        <w:rPr>
          <w:rFonts w:ascii="Arial" w:hAnsi="Arial" w:cs="Arial"/>
          <w:sz w:val="22"/>
          <w:szCs w:val="22"/>
        </w:rPr>
        <w:t xml:space="preserve"> for comparability across provinces and seascapes.</w:t>
      </w:r>
    </w:p>
    <w:p w:rsidR="00BF4AA8" w:rsidRPr="00BF4AA8" w:rsidRDefault="00BF4AA8" w:rsidP="00BF4AA8">
      <w:pPr>
        <w:keepNext/>
        <w:rPr>
          <w:rStyle w:val="Strong"/>
          <w:rFonts w:ascii="Arial" w:hAnsi="Arial" w:cs="Arial"/>
          <w:b w:val="0"/>
          <w:bCs w:val="0"/>
          <w:i/>
          <w:iCs/>
          <w:color w:val="0070C0"/>
          <w:sz w:val="22"/>
          <w:szCs w:val="22"/>
        </w:rPr>
      </w:pPr>
      <w:r w:rsidRPr="00BF4AA8">
        <w:rPr>
          <w:rStyle w:val="Strong"/>
          <w:rFonts w:ascii="Arial" w:hAnsi="Arial" w:cs="Arial"/>
          <w:b w:val="0"/>
          <w:bCs w:val="0"/>
          <w:i/>
          <w:iCs/>
          <w:color w:val="0070C0"/>
          <w:sz w:val="22"/>
          <w:szCs w:val="22"/>
        </w:rPr>
        <w:t>Scoring scale</w:t>
      </w:r>
    </w:p>
    <w:p w:rsidR="00BF4AA8" w:rsidRPr="00BF4AA8" w:rsidRDefault="00BF4AA8" w:rsidP="00BF4AA8">
      <w:pPr>
        <w:pStyle w:val="NormalWeb"/>
        <w:numPr>
          <w:ilvl w:val="0"/>
          <w:numId w:val="74"/>
        </w:numPr>
        <w:jc w:val="both"/>
        <w:rPr>
          <w:rFonts w:ascii="Arial" w:hAnsi="Arial" w:cs="Arial"/>
          <w:sz w:val="22"/>
          <w:szCs w:val="22"/>
        </w:rPr>
      </w:pPr>
      <w:r w:rsidRPr="00BF4AA8">
        <w:rPr>
          <w:rStyle w:val="Strong"/>
          <w:rFonts w:ascii="Arial" w:hAnsi="Arial" w:cs="Arial"/>
          <w:sz w:val="22"/>
          <w:szCs w:val="22"/>
        </w:rPr>
        <w:t>Exposure:</w:t>
      </w:r>
      <w:r w:rsidRPr="00BF4AA8">
        <w:rPr>
          <w:rFonts w:ascii="Arial" w:hAnsi="Arial" w:cs="Arial"/>
          <w:sz w:val="22"/>
          <w:szCs w:val="22"/>
        </w:rPr>
        <w:t xml:space="preserve"> 1 (low) – 3 (high)</w:t>
      </w:r>
    </w:p>
    <w:p w:rsidR="00BF4AA8" w:rsidRPr="00BF4AA8" w:rsidRDefault="00BF4AA8" w:rsidP="00BF4AA8">
      <w:pPr>
        <w:pStyle w:val="NormalWeb"/>
        <w:numPr>
          <w:ilvl w:val="0"/>
          <w:numId w:val="74"/>
        </w:numPr>
        <w:jc w:val="both"/>
        <w:rPr>
          <w:rFonts w:ascii="Arial" w:hAnsi="Arial" w:cs="Arial"/>
          <w:sz w:val="22"/>
          <w:szCs w:val="22"/>
        </w:rPr>
      </w:pPr>
      <w:r w:rsidRPr="00BF4AA8">
        <w:rPr>
          <w:rStyle w:val="Strong"/>
          <w:rFonts w:ascii="Arial" w:hAnsi="Arial" w:cs="Arial"/>
          <w:sz w:val="22"/>
          <w:szCs w:val="22"/>
        </w:rPr>
        <w:t>Sensitivity:</w:t>
      </w:r>
      <w:r w:rsidRPr="00BF4AA8">
        <w:rPr>
          <w:rFonts w:ascii="Arial" w:hAnsi="Arial" w:cs="Arial"/>
          <w:sz w:val="22"/>
          <w:szCs w:val="22"/>
        </w:rPr>
        <w:t xml:space="preserve"> 1 (low) – 3 (high)</w:t>
      </w:r>
    </w:p>
    <w:p w:rsidR="00BF4AA8" w:rsidRPr="00BF4AA8" w:rsidRDefault="00BF4AA8" w:rsidP="00BF4AA8">
      <w:pPr>
        <w:pStyle w:val="NormalWeb"/>
        <w:numPr>
          <w:ilvl w:val="0"/>
          <w:numId w:val="74"/>
        </w:numPr>
        <w:jc w:val="both"/>
        <w:rPr>
          <w:rFonts w:ascii="Arial" w:hAnsi="Arial" w:cs="Arial"/>
          <w:sz w:val="22"/>
          <w:szCs w:val="22"/>
        </w:rPr>
      </w:pPr>
      <w:r w:rsidRPr="00BF4AA8">
        <w:rPr>
          <w:rStyle w:val="Strong"/>
          <w:rFonts w:ascii="Arial" w:hAnsi="Arial" w:cs="Arial"/>
          <w:sz w:val="22"/>
          <w:szCs w:val="22"/>
        </w:rPr>
        <w:t>Adaptive Capacity:</w:t>
      </w:r>
      <w:r w:rsidRPr="00BF4AA8">
        <w:rPr>
          <w:rFonts w:ascii="Arial" w:hAnsi="Arial" w:cs="Arial"/>
          <w:sz w:val="22"/>
          <w:szCs w:val="22"/>
        </w:rPr>
        <w:t xml:space="preserve"> 1 (strong) – 3 (weak)</w:t>
      </w:r>
    </w:p>
    <w:p w:rsidR="00BF4AA8" w:rsidRPr="00BF4AA8" w:rsidRDefault="00BF4AA8" w:rsidP="00BF4AA8">
      <w:pPr>
        <w:keepNext/>
        <w:rPr>
          <w:rStyle w:val="Strong"/>
          <w:rFonts w:ascii="Arial" w:hAnsi="Arial" w:cs="Arial"/>
          <w:b w:val="0"/>
          <w:bCs w:val="0"/>
          <w:i/>
          <w:iCs/>
          <w:color w:val="0070C0"/>
          <w:sz w:val="22"/>
          <w:szCs w:val="22"/>
        </w:rPr>
      </w:pPr>
      <w:r w:rsidRPr="00BF4AA8">
        <w:rPr>
          <w:rStyle w:val="Strong"/>
          <w:rFonts w:ascii="Arial" w:hAnsi="Arial" w:cs="Arial"/>
          <w:b w:val="0"/>
          <w:bCs w:val="0"/>
          <w:i/>
          <w:iCs/>
          <w:color w:val="0070C0"/>
          <w:sz w:val="22"/>
          <w:szCs w:val="22"/>
        </w:rPr>
        <w:t>Risk formula</w:t>
      </w:r>
    </w:p>
    <w:p w:rsidR="00BF4AA8" w:rsidRPr="00BF4AA8" w:rsidRDefault="00BF4AA8" w:rsidP="00BF4AA8">
      <w:pPr>
        <w:rPr>
          <w:rStyle w:val="Strong"/>
          <w:rFonts w:ascii="Arial" w:hAnsi="Arial" w:cs="Arial"/>
          <w:i/>
          <w:iCs/>
          <w:sz w:val="22"/>
          <w:szCs w:val="22"/>
        </w:rPr>
      </w:pPr>
    </w:p>
    <w:p w:rsidR="00BF4AA8" w:rsidRPr="00BF4AA8" w:rsidRDefault="00BF4AA8" w:rsidP="00BF4AA8">
      <w:pPr>
        <w:rPr>
          <w:rStyle w:val="Strong"/>
          <w:rFonts w:ascii="Arial" w:hAnsi="Arial" w:cs="Arial"/>
          <w:b w:val="0"/>
          <w:bCs w:val="0"/>
          <w:sz w:val="22"/>
          <w:szCs w:val="22"/>
        </w:rPr>
      </w:pPr>
      <m:oMathPara>
        <m:oMathParaPr>
          <m:jc m:val="left"/>
        </m:oMathParaPr>
        <m:oMath>
          <m:r>
            <m:rPr>
              <m:sty m:val="bi"/>
            </m:rPr>
            <w:rPr>
              <w:rStyle w:val="Strong"/>
              <w:rFonts w:ascii="Cambria Math" w:hAnsi="Cambria Math" w:cs="Arial"/>
              <w:sz w:val="22"/>
              <w:szCs w:val="22"/>
            </w:rPr>
            <m:t>Risk</m:t>
          </m:r>
          <m:r>
            <m:rPr>
              <m:sty m:val="p"/>
            </m:rPr>
            <w:rPr>
              <w:rStyle w:val="Strong"/>
              <w:rFonts w:ascii="Cambria Math" w:hAnsi="Cambria Math" w:cs="Arial"/>
              <w:sz w:val="22"/>
              <w:szCs w:val="22"/>
            </w:rPr>
            <m:t>=</m:t>
          </m:r>
          <m:f>
            <m:fPr>
              <m:ctrlPr>
                <w:rPr>
                  <w:rStyle w:val="Strong"/>
                  <w:rFonts w:ascii="Cambria Math" w:hAnsi="Cambria Math" w:cs="Arial"/>
                  <w:b w:val="0"/>
                  <w:bCs w:val="0"/>
                  <w:sz w:val="22"/>
                  <w:szCs w:val="22"/>
                </w:rPr>
              </m:ctrlPr>
            </m:fPr>
            <m:num>
              <m:r>
                <m:rPr>
                  <m:sty m:val="b"/>
                </m:rPr>
                <w:rPr>
                  <w:rFonts w:ascii="Cambria Math" w:hAnsi="Cambria Math" w:cs="Arial"/>
                  <w:sz w:val="22"/>
                  <w:szCs w:val="22"/>
                </w:rPr>
                <m:t>Exposure</m:t>
              </m:r>
              <m:r>
                <m:rPr>
                  <m:sty m:val="p"/>
                </m:rPr>
                <w:rPr>
                  <w:rFonts w:ascii="Cambria Math" w:hAnsi="Cambria Math" w:cs="Arial"/>
                  <w:sz w:val="22"/>
                  <w:szCs w:val="22"/>
                </w:rPr>
                <m:t xml:space="preserve"> </m:t>
              </m:r>
              <m:r>
                <m:rPr>
                  <m:sty m:val="b"/>
                </m:rPr>
                <w:rPr>
                  <w:rStyle w:val="Strong"/>
                  <w:rFonts w:ascii="Cambria Math" w:hAnsi="Cambria Math" w:cs="Arial"/>
                  <w:sz w:val="22"/>
                  <w:szCs w:val="22"/>
                </w:rPr>
                <m:t>x</m:t>
              </m:r>
              <m:r>
                <m:rPr>
                  <m:sty m:val="p"/>
                </m:rPr>
                <w:rPr>
                  <w:rStyle w:val="Strong"/>
                  <w:rFonts w:ascii="Cambria Math" w:hAnsi="Cambria Math" w:cs="Arial"/>
                  <w:sz w:val="22"/>
                  <w:szCs w:val="22"/>
                </w:rPr>
                <m:t xml:space="preserve"> </m:t>
              </m:r>
              <m:r>
                <m:rPr>
                  <m:sty m:val="b"/>
                </m:rPr>
                <w:rPr>
                  <w:rFonts w:ascii="Cambria Math" w:hAnsi="Cambria Math" w:cs="Arial"/>
                  <w:sz w:val="22"/>
                  <w:szCs w:val="22"/>
                </w:rPr>
                <m:t>Sensitivity</m:t>
              </m:r>
            </m:num>
            <m:den>
              <m:r>
                <m:rPr>
                  <m:sty m:val="b"/>
                </m:rPr>
                <w:rPr>
                  <w:rStyle w:val="Strong"/>
                  <w:rFonts w:ascii="Cambria Math" w:hAnsi="Cambria Math" w:cs="Arial"/>
                  <w:sz w:val="22"/>
                  <w:szCs w:val="22"/>
                </w:rPr>
                <m:t>Adaptive</m:t>
              </m:r>
              <m:r>
                <m:rPr>
                  <m:sty m:val="p"/>
                </m:rPr>
                <w:rPr>
                  <w:rStyle w:val="Strong"/>
                  <w:rFonts w:ascii="Cambria Math" w:hAnsi="Cambria Math" w:cs="Arial"/>
                  <w:sz w:val="22"/>
                  <w:szCs w:val="22"/>
                </w:rPr>
                <m:t xml:space="preserve"> </m:t>
              </m:r>
              <m:r>
                <m:rPr>
                  <m:sty m:val="b"/>
                </m:rPr>
                <w:rPr>
                  <w:rStyle w:val="Strong"/>
                  <w:rFonts w:ascii="Cambria Math" w:hAnsi="Cambria Math" w:cs="Arial"/>
                  <w:sz w:val="22"/>
                  <w:szCs w:val="22"/>
                </w:rPr>
                <m:t>Capacity</m:t>
              </m:r>
            </m:den>
          </m:f>
        </m:oMath>
      </m:oMathPara>
    </w:p>
    <w:p w:rsidR="00BF4AA8" w:rsidRPr="00BF4AA8" w:rsidRDefault="00BF4AA8" w:rsidP="00BF4AA8">
      <w:pPr>
        <w:rPr>
          <w:rStyle w:val="Strong"/>
          <w:rFonts w:ascii="Arial" w:hAnsi="Arial" w:cs="Arial"/>
          <w:i/>
          <w:iCs/>
          <w:sz w:val="22"/>
          <w:szCs w:val="22"/>
        </w:rPr>
      </w:pPr>
    </w:p>
    <w:p w:rsidR="00BF4AA8" w:rsidRPr="00BF4AA8" w:rsidRDefault="00BF4AA8" w:rsidP="00BF4AA8">
      <w:pPr>
        <w:keepNext/>
        <w:rPr>
          <w:rStyle w:val="Strong"/>
          <w:rFonts w:ascii="Arial" w:hAnsi="Arial" w:cs="Arial"/>
          <w:b w:val="0"/>
          <w:bCs w:val="0"/>
          <w:i/>
          <w:iCs/>
          <w:color w:val="0070C0"/>
          <w:sz w:val="22"/>
          <w:szCs w:val="22"/>
        </w:rPr>
      </w:pPr>
      <w:r w:rsidRPr="00BF4AA8">
        <w:rPr>
          <w:rStyle w:val="Strong"/>
          <w:rFonts w:ascii="Arial" w:hAnsi="Arial" w:cs="Arial"/>
          <w:b w:val="0"/>
          <w:bCs w:val="0"/>
          <w:i/>
          <w:iCs/>
          <w:color w:val="0070C0"/>
          <w:sz w:val="22"/>
          <w:szCs w:val="22"/>
        </w:rPr>
        <w:t>Interpretation of results</w:t>
      </w:r>
    </w:p>
    <w:tbl>
      <w:tblPr>
        <w:tblStyle w:val="GridTable4-Accent5"/>
        <w:tblW w:w="0" w:type="auto"/>
        <w:tblLook w:val="04A0" w:firstRow="1" w:lastRow="0" w:firstColumn="1" w:lastColumn="0" w:noHBand="0" w:noVBand="1"/>
      </w:tblPr>
      <w:tblGrid>
        <w:gridCol w:w="1362"/>
        <w:gridCol w:w="1634"/>
        <w:gridCol w:w="5492"/>
      </w:tblGrid>
      <w:tr w:rsidR="00BF4AA8"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jc w:val="both"/>
              <w:rPr>
                <w:rFonts w:ascii="Arial" w:hAnsi="Arial" w:cs="Arial"/>
                <w:sz w:val="22"/>
                <w:szCs w:val="22"/>
              </w:rPr>
            </w:pPr>
            <w:r w:rsidRPr="00BF4AA8">
              <w:rPr>
                <w:rFonts w:ascii="Arial" w:hAnsi="Arial" w:cs="Arial"/>
                <w:sz w:val="22"/>
                <w:szCs w:val="22"/>
              </w:rPr>
              <w:t>Final Risk Score</w:t>
            </w:r>
          </w:p>
        </w:tc>
        <w:tc>
          <w:tcPr>
            <w:tcW w:w="0" w:type="auto"/>
            <w:hideMark/>
          </w:tcPr>
          <w:p w:rsidR="00BF4AA8" w:rsidRPr="00BF4AA8" w:rsidRDefault="00BF4AA8"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Interpretation</w:t>
            </w:r>
          </w:p>
        </w:tc>
        <w:tc>
          <w:tcPr>
            <w:tcW w:w="0" w:type="auto"/>
            <w:hideMark/>
          </w:tcPr>
          <w:p w:rsidR="00BF4AA8" w:rsidRPr="00BF4AA8" w:rsidRDefault="00BF4AA8"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Implication</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jc w:val="both"/>
              <w:rPr>
                <w:rFonts w:ascii="Arial" w:hAnsi="Arial" w:cs="Arial"/>
                <w:b w:val="0"/>
                <w:bCs w:val="0"/>
                <w:sz w:val="22"/>
                <w:szCs w:val="22"/>
              </w:rPr>
            </w:pPr>
            <w:r w:rsidRPr="00BF4AA8">
              <w:rPr>
                <w:rStyle w:val="Strong"/>
                <w:rFonts w:ascii="Arial" w:hAnsi="Arial" w:cs="Arial"/>
                <w:b/>
                <w:bCs/>
                <w:sz w:val="22"/>
                <w:szCs w:val="22"/>
              </w:rPr>
              <w:t>&lt; 2.0</w:t>
            </w:r>
          </w:p>
        </w:tc>
        <w:tc>
          <w:tcPr>
            <w:tcW w:w="0" w:type="auto"/>
            <w:hideMark/>
          </w:tcPr>
          <w:p w:rsidR="00BF4AA8" w:rsidRPr="00BF4AA8" w:rsidRDefault="00BF4AA8"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Low</w:t>
            </w:r>
          </w:p>
        </w:tc>
        <w:tc>
          <w:tcPr>
            <w:tcW w:w="0" w:type="auto"/>
            <w:hideMark/>
          </w:tcPr>
          <w:p w:rsidR="00BF4AA8" w:rsidRPr="00BF4AA8" w:rsidRDefault="00BF4AA8"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Ecosystems/communities can cope; targeted interventions still beneficial.</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jc w:val="both"/>
              <w:rPr>
                <w:rFonts w:ascii="Arial" w:hAnsi="Arial" w:cs="Arial"/>
                <w:sz w:val="22"/>
                <w:szCs w:val="22"/>
              </w:rPr>
            </w:pPr>
            <w:r w:rsidRPr="00BF4AA8">
              <w:rPr>
                <w:rStyle w:val="Strong"/>
                <w:rFonts w:ascii="Arial" w:hAnsi="Arial" w:cs="Arial"/>
                <w:sz w:val="22"/>
                <w:szCs w:val="22"/>
              </w:rPr>
              <w:t>2.0 – 3.0</w:t>
            </w:r>
          </w:p>
        </w:tc>
        <w:tc>
          <w:tcPr>
            <w:tcW w:w="0" w:type="auto"/>
            <w:hideMark/>
          </w:tcPr>
          <w:p w:rsidR="00BF4AA8" w:rsidRPr="00BF4AA8" w:rsidRDefault="00BF4AA8"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Moderate</w:t>
            </w:r>
          </w:p>
        </w:tc>
        <w:tc>
          <w:tcPr>
            <w:tcW w:w="0" w:type="auto"/>
            <w:hideMark/>
          </w:tcPr>
          <w:p w:rsidR="00BF4AA8" w:rsidRPr="00BF4AA8" w:rsidRDefault="00BF4AA8"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Evidence of increasing pressure; requires monitoring and preventive actions.</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jc w:val="both"/>
              <w:rPr>
                <w:rFonts w:ascii="Arial" w:hAnsi="Arial" w:cs="Arial"/>
                <w:sz w:val="22"/>
                <w:szCs w:val="22"/>
              </w:rPr>
            </w:pPr>
            <w:r w:rsidRPr="00BF4AA8">
              <w:rPr>
                <w:rStyle w:val="Strong"/>
                <w:rFonts w:ascii="Arial" w:hAnsi="Arial" w:cs="Arial"/>
                <w:sz w:val="22"/>
                <w:szCs w:val="22"/>
              </w:rPr>
              <w:t>&gt; 3.0</w:t>
            </w:r>
          </w:p>
        </w:tc>
        <w:tc>
          <w:tcPr>
            <w:tcW w:w="0" w:type="auto"/>
            <w:hideMark/>
          </w:tcPr>
          <w:p w:rsidR="00BF4AA8" w:rsidRPr="00BF4AA8" w:rsidRDefault="00BF4AA8"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High</w:t>
            </w:r>
          </w:p>
        </w:tc>
        <w:tc>
          <w:tcPr>
            <w:tcW w:w="0" w:type="auto"/>
            <w:hideMark/>
          </w:tcPr>
          <w:p w:rsidR="00BF4AA8" w:rsidRPr="00BF4AA8" w:rsidRDefault="00BF4AA8"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Acute or chronic risk; urgent management, investment and regulatory action needed.</w:t>
            </w:r>
          </w:p>
        </w:tc>
      </w:tr>
    </w:tbl>
    <w:p w:rsidR="00BF4AA8" w:rsidRPr="00BF4AA8" w:rsidRDefault="00BF4AA8" w:rsidP="00BF4AA8">
      <w:pPr>
        <w:keepNext/>
        <w:spacing w:before="240"/>
        <w:rPr>
          <w:rStyle w:val="Strong"/>
          <w:rFonts w:ascii="Arial" w:hAnsi="Arial" w:cs="Arial"/>
          <w:b w:val="0"/>
          <w:bCs w:val="0"/>
          <w:i/>
          <w:iCs/>
          <w:color w:val="0070C0"/>
          <w:sz w:val="22"/>
          <w:szCs w:val="22"/>
        </w:rPr>
      </w:pPr>
      <w:r w:rsidRPr="00BF4AA8">
        <w:rPr>
          <w:rStyle w:val="Strong"/>
          <w:rFonts w:ascii="Arial" w:hAnsi="Arial" w:cs="Arial"/>
          <w:b w:val="0"/>
          <w:bCs w:val="0"/>
          <w:i/>
          <w:iCs/>
          <w:color w:val="0070C0"/>
          <w:sz w:val="22"/>
          <w:szCs w:val="22"/>
        </w:rPr>
        <w:t>Spatial comparison</w:t>
      </w:r>
    </w:p>
    <w:p w:rsidR="00BF4AA8" w:rsidRPr="00BF4AA8" w:rsidRDefault="00BF4AA8" w:rsidP="00BF4AA8">
      <w:pPr>
        <w:pStyle w:val="NormalWeb"/>
        <w:adjustRightInd w:val="0"/>
        <w:snapToGrid w:val="0"/>
        <w:spacing w:before="0" w:beforeAutospacing="0" w:after="0" w:afterAutospacing="0"/>
        <w:jc w:val="both"/>
        <w:rPr>
          <w:rFonts w:ascii="Arial" w:hAnsi="Arial" w:cs="Arial"/>
          <w:sz w:val="22"/>
          <w:szCs w:val="22"/>
        </w:rPr>
      </w:pPr>
      <w:r w:rsidRPr="00BF4AA8">
        <w:rPr>
          <w:rFonts w:ascii="Arial" w:hAnsi="Arial" w:cs="Arial"/>
          <w:sz w:val="22"/>
          <w:szCs w:val="22"/>
        </w:rPr>
        <w:t xml:space="preserve">Risk scores </w:t>
      </w:r>
      <w:proofErr w:type="gramStart"/>
      <w:r w:rsidRPr="00BF4AA8">
        <w:rPr>
          <w:rFonts w:ascii="Arial" w:hAnsi="Arial" w:cs="Arial"/>
          <w:sz w:val="22"/>
          <w:szCs w:val="22"/>
        </w:rPr>
        <w:t>are mapped</w:t>
      </w:r>
      <w:proofErr w:type="gramEnd"/>
      <w:r w:rsidRPr="00BF4AA8">
        <w:rPr>
          <w:rFonts w:ascii="Arial" w:hAnsi="Arial" w:cs="Arial"/>
          <w:sz w:val="22"/>
          <w:szCs w:val="22"/>
        </w:rPr>
        <w:t xml:space="preserve"> at:</w:t>
      </w:r>
    </w:p>
    <w:p w:rsidR="00BF4AA8" w:rsidRPr="00BF4AA8" w:rsidRDefault="00BF4AA8" w:rsidP="00BF4AA8">
      <w:pPr>
        <w:pStyle w:val="NormalWeb"/>
        <w:numPr>
          <w:ilvl w:val="0"/>
          <w:numId w:val="75"/>
        </w:numPr>
        <w:jc w:val="both"/>
        <w:rPr>
          <w:rFonts w:ascii="Arial" w:hAnsi="Arial" w:cs="Arial"/>
          <w:sz w:val="22"/>
          <w:szCs w:val="22"/>
        </w:rPr>
      </w:pPr>
      <w:r w:rsidRPr="00BF4AA8">
        <w:rPr>
          <w:rStyle w:val="Strong"/>
          <w:rFonts w:ascii="Arial" w:hAnsi="Arial" w:cs="Arial"/>
          <w:sz w:val="22"/>
          <w:szCs w:val="22"/>
        </w:rPr>
        <w:t>Provincial scale</w:t>
      </w:r>
      <w:r w:rsidRPr="00BF4AA8">
        <w:rPr>
          <w:rFonts w:ascii="Arial" w:hAnsi="Arial" w:cs="Arial"/>
          <w:sz w:val="22"/>
          <w:szCs w:val="22"/>
        </w:rPr>
        <w:t xml:space="preserve"> → governance and socioeconomic patterns</w:t>
      </w:r>
    </w:p>
    <w:p w:rsidR="00BF4AA8" w:rsidRPr="00BF4AA8" w:rsidRDefault="00BF4AA8" w:rsidP="00BF4AA8">
      <w:pPr>
        <w:pStyle w:val="NormalWeb"/>
        <w:numPr>
          <w:ilvl w:val="0"/>
          <w:numId w:val="75"/>
        </w:numPr>
        <w:jc w:val="both"/>
        <w:rPr>
          <w:rFonts w:ascii="Arial" w:hAnsi="Arial" w:cs="Arial"/>
          <w:sz w:val="22"/>
          <w:szCs w:val="22"/>
        </w:rPr>
      </w:pPr>
      <w:r w:rsidRPr="00BF4AA8">
        <w:rPr>
          <w:rStyle w:val="Strong"/>
          <w:rFonts w:ascii="Arial" w:hAnsi="Arial" w:cs="Arial"/>
          <w:sz w:val="22"/>
          <w:szCs w:val="22"/>
        </w:rPr>
        <w:t>Ecosystem scale</w:t>
      </w:r>
      <w:r w:rsidRPr="00BF4AA8">
        <w:rPr>
          <w:rFonts w:ascii="Arial" w:hAnsi="Arial" w:cs="Arial"/>
          <w:sz w:val="22"/>
          <w:szCs w:val="22"/>
        </w:rPr>
        <w:t xml:space="preserve"> → mangrove stands, seagrass beds, coral reefs</w:t>
      </w:r>
    </w:p>
    <w:p w:rsidR="00BF4AA8" w:rsidRPr="00BF4AA8" w:rsidRDefault="00BF4AA8" w:rsidP="00BF4AA8">
      <w:pPr>
        <w:pStyle w:val="NormalWeb"/>
        <w:numPr>
          <w:ilvl w:val="0"/>
          <w:numId w:val="75"/>
        </w:numPr>
        <w:jc w:val="both"/>
        <w:rPr>
          <w:rFonts w:ascii="Arial" w:hAnsi="Arial" w:cs="Arial"/>
          <w:sz w:val="22"/>
          <w:szCs w:val="22"/>
        </w:rPr>
      </w:pPr>
      <w:r w:rsidRPr="00BF4AA8">
        <w:rPr>
          <w:rStyle w:val="Strong"/>
          <w:rFonts w:ascii="Arial" w:hAnsi="Arial" w:cs="Arial"/>
          <w:sz w:val="22"/>
          <w:szCs w:val="22"/>
        </w:rPr>
        <w:t>Marine subregion scale</w:t>
      </w:r>
      <w:r w:rsidRPr="00BF4AA8">
        <w:rPr>
          <w:rFonts w:ascii="Arial" w:hAnsi="Arial" w:cs="Arial"/>
          <w:sz w:val="22"/>
          <w:szCs w:val="22"/>
        </w:rPr>
        <w:t xml:space="preserve"> → Sihanoukville, </w:t>
      </w:r>
      <w:proofErr w:type="spellStart"/>
      <w:r w:rsidRPr="00BF4AA8">
        <w:rPr>
          <w:rFonts w:ascii="Arial" w:hAnsi="Arial" w:cs="Arial"/>
          <w:sz w:val="22"/>
          <w:szCs w:val="22"/>
        </w:rPr>
        <w:t>Kampot</w:t>
      </w:r>
      <w:proofErr w:type="spellEnd"/>
      <w:r w:rsidRPr="00BF4AA8">
        <w:rPr>
          <w:rFonts w:ascii="Arial" w:hAnsi="Arial" w:cs="Arial"/>
          <w:sz w:val="22"/>
          <w:szCs w:val="22"/>
        </w:rPr>
        <w:t>–</w:t>
      </w:r>
      <w:proofErr w:type="spellStart"/>
      <w:r w:rsidRPr="00BF4AA8">
        <w:rPr>
          <w:rFonts w:ascii="Arial" w:hAnsi="Arial" w:cs="Arial"/>
          <w:sz w:val="22"/>
          <w:szCs w:val="22"/>
        </w:rPr>
        <w:t>Kep</w:t>
      </w:r>
      <w:proofErr w:type="spellEnd"/>
      <w:r w:rsidRPr="00BF4AA8">
        <w:rPr>
          <w:rFonts w:ascii="Arial" w:hAnsi="Arial" w:cs="Arial"/>
          <w:sz w:val="22"/>
          <w:szCs w:val="22"/>
        </w:rPr>
        <w:t>, Koh Kong, Koh Rong</w:t>
      </w:r>
    </w:p>
    <w:p w:rsidR="00BF4AA8" w:rsidRPr="00BF4AA8" w:rsidRDefault="00BF4AA8" w:rsidP="00BF4AA8">
      <w:pPr>
        <w:pStyle w:val="NormalWeb"/>
        <w:adjustRightInd w:val="0"/>
        <w:snapToGrid w:val="0"/>
        <w:spacing w:before="0" w:beforeAutospacing="0" w:after="0" w:afterAutospacing="0"/>
        <w:jc w:val="both"/>
        <w:rPr>
          <w:rFonts w:ascii="Arial" w:hAnsi="Arial" w:cs="Arial"/>
          <w:sz w:val="22"/>
          <w:szCs w:val="22"/>
        </w:rPr>
      </w:pPr>
      <w:r w:rsidRPr="00BF4AA8">
        <w:rPr>
          <w:rFonts w:ascii="Arial" w:hAnsi="Arial" w:cs="Arial"/>
          <w:sz w:val="22"/>
          <w:szCs w:val="22"/>
        </w:rPr>
        <w:t>This allows identification of persistent hotspots such as:</w:t>
      </w:r>
    </w:p>
    <w:p w:rsidR="00BF4AA8" w:rsidRPr="00BF4AA8" w:rsidRDefault="00BF4AA8" w:rsidP="00BF4AA8">
      <w:pPr>
        <w:pStyle w:val="NormalWeb"/>
        <w:numPr>
          <w:ilvl w:val="0"/>
          <w:numId w:val="76"/>
        </w:numPr>
        <w:adjustRightInd w:val="0"/>
        <w:snapToGrid w:val="0"/>
        <w:spacing w:before="0" w:beforeAutospacing="0" w:after="0" w:afterAutospacing="0"/>
        <w:jc w:val="both"/>
        <w:rPr>
          <w:rFonts w:ascii="Arial" w:hAnsi="Arial" w:cs="Arial"/>
          <w:sz w:val="22"/>
          <w:szCs w:val="22"/>
        </w:rPr>
      </w:pPr>
      <w:proofErr w:type="spellStart"/>
      <w:r w:rsidRPr="00BF4AA8">
        <w:rPr>
          <w:rFonts w:ascii="Arial" w:hAnsi="Arial" w:cs="Arial"/>
          <w:sz w:val="22"/>
          <w:szCs w:val="22"/>
        </w:rPr>
        <w:t>Peam</w:t>
      </w:r>
      <w:proofErr w:type="spellEnd"/>
      <w:r w:rsidRPr="00BF4AA8">
        <w:rPr>
          <w:rFonts w:ascii="Arial" w:hAnsi="Arial" w:cs="Arial"/>
          <w:sz w:val="22"/>
          <w:szCs w:val="22"/>
        </w:rPr>
        <w:t xml:space="preserve"> </w:t>
      </w:r>
      <w:proofErr w:type="spellStart"/>
      <w:r w:rsidRPr="00BF4AA8">
        <w:rPr>
          <w:rFonts w:ascii="Arial" w:hAnsi="Arial" w:cs="Arial"/>
          <w:sz w:val="22"/>
          <w:szCs w:val="22"/>
        </w:rPr>
        <w:t>Krasop</w:t>
      </w:r>
      <w:proofErr w:type="spellEnd"/>
      <w:r w:rsidRPr="00BF4AA8">
        <w:rPr>
          <w:rFonts w:ascii="Arial" w:hAnsi="Arial" w:cs="Arial"/>
          <w:sz w:val="22"/>
          <w:szCs w:val="22"/>
        </w:rPr>
        <w:t xml:space="preserve">–Koh </w:t>
      </w:r>
      <w:proofErr w:type="spellStart"/>
      <w:r w:rsidRPr="00BF4AA8">
        <w:rPr>
          <w:rFonts w:ascii="Arial" w:hAnsi="Arial" w:cs="Arial"/>
          <w:sz w:val="22"/>
          <w:szCs w:val="22"/>
        </w:rPr>
        <w:t>Kapik</w:t>
      </w:r>
      <w:proofErr w:type="spellEnd"/>
    </w:p>
    <w:p w:rsidR="00BF4AA8" w:rsidRPr="00BF4AA8" w:rsidRDefault="00BF4AA8" w:rsidP="00BF4AA8">
      <w:pPr>
        <w:pStyle w:val="NormalWeb"/>
        <w:numPr>
          <w:ilvl w:val="0"/>
          <w:numId w:val="76"/>
        </w:numPr>
        <w:adjustRightInd w:val="0"/>
        <w:snapToGrid w:val="0"/>
        <w:spacing w:before="0" w:beforeAutospacing="0" w:after="0" w:afterAutospacing="0"/>
        <w:jc w:val="both"/>
        <w:rPr>
          <w:rFonts w:ascii="Arial" w:hAnsi="Arial" w:cs="Arial"/>
          <w:sz w:val="22"/>
          <w:szCs w:val="22"/>
        </w:rPr>
      </w:pPr>
      <w:r w:rsidRPr="00BF4AA8">
        <w:rPr>
          <w:rFonts w:ascii="Arial" w:hAnsi="Arial" w:cs="Arial"/>
          <w:sz w:val="22"/>
          <w:szCs w:val="22"/>
        </w:rPr>
        <w:t>Sihanoukville urban–industrial coastline</w:t>
      </w:r>
    </w:p>
    <w:p w:rsidR="00BF4AA8" w:rsidRPr="00BF4AA8" w:rsidRDefault="00BF4AA8" w:rsidP="00BF4AA8">
      <w:pPr>
        <w:pStyle w:val="NormalWeb"/>
        <w:numPr>
          <w:ilvl w:val="0"/>
          <w:numId w:val="76"/>
        </w:numPr>
        <w:adjustRightInd w:val="0"/>
        <w:snapToGrid w:val="0"/>
        <w:spacing w:before="0" w:beforeAutospacing="0" w:after="0" w:afterAutospacing="0"/>
        <w:jc w:val="both"/>
        <w:rPr>
          <w:rFonts w:ascii="Arial" w:hAnsi="Arial" w:cs="Arial"/>
          <w:sz w:val="22"/>
          <w:szCs w:val="22"/>
        </w:rPr>
      </w:pPr>
      <w:proofErr w:type="spellStart"/>
      <w:r w:rsidRPr="00BF4AA8">
        <w:rPr>
          <w:rFonts w:ascii="Arial" w:hAnsi="Arial" w:cs="Arial"/>
          <w:sz w:val="22"/>
          <w:szCs w:val="22"/>
        </w:rPr>
        <w:t>Kampot</w:t>
      </w:r>
      <w:proofErr w:type="spellEnd"/>
      <w:r w:rsidRPr="00BF4AA8">
        <w:rPr>
          <w:rFonts w:ascii="Arial" w:hAnsi="Arial" w:cs="Arial"/>
          <w:sz w:val="22"/>
          <w:szCs w:val="22"/>
        </w:rPr>
        <w:t>–</w:t>
      </w:r>
      <w:proofErr w:type="spellStart"/>
      <w:r w:rsidRPr="00BF4AA8">
        <w:rPr>
          <w:rFonts w:ascii="Arial" w:hAnsi="Arial" w:cs="Arial"/>
          <w:sz w:val="22"/>
          <w:szCs w:val="22"/>
        </w:rPr>
        <w:t>Kep</w:t>
      </w:r>
      <w:proofErr w:type="spellEnd"/>
      <w:r w:rsidRPr="00BF4AA8">
        <w:rPr>
          <w:rFonts w:ascii="Arial" w:hAnsi="Arial" w:cs="Arial"/>
          <w:sz w:val="22"/>
          <w:szCs w:val="22"/>
        </w:rPr>
        <w:t xml:space="preserve"> seagrass corridor</w:t>
      </w:r>
    </w:p>
    <w:p w:rsidR="00BF4AA8" w:rsidRPr="00BF4AA8" w:rsidRDefault="00BF4AA8" w:rsidP="00BF4AA8">
      <w:pPr>
        <w:pStyle w:val="NormalWeb"/>
        <w:numPr>
          <w:ilvl w:val="0"/>
          <w:numId w:val="76"/>
        </w:numPr>
        <w:adjustRightInd w:val="0"/>
        <w:snapToGrid w:val="0"/>
        <w:spacing w:before="0" w:beforeAutospacing="0" w:after="0" w:afterAutospacing="0"/>
        <w:jc w:val="both"/>
        <w:rPr>
          <w:rFonts w:ascii="Arial" w:hAnsi="Arial" w:cs="Arial"/>
          <w:sz w:val="22"/>
          <w:szCs w:val="22"/>
        </w:rPr>
      </w:pPr>
      <w:r w:rsidRPr="00BF4AA8">
        <w:rPr>
          <w:rFonts w:ascii="Arial" w:hAnsi="Arial" w:cs="Arial"/>
          <w:sz w:val="22"/>
          <w:szCs w:val="22"/>
        </w:rPr>
        <w:t>Phnom Penh river–sea discharge interface</w:t>
      </w:r>
    </w:p>
    <w:p w:rsidR="00BF4AA8" w:rsidRPr="00BF4AA8" w:rsidRDefault="00BF4AA8" w:rsidP="00BF4AA8">
      <w:pPr>
        <w:pStyle w:val="Heading2"/>
        <w:keepNext/>
        <w:adjustRightInd w:val="0"/>
        <w:snapToGrid w:val="0"/>
        <w:spacing w:before="240" w:beforeAutospacing="0" w:after="120" w:afterAutospacing="0"/>
        <w:rPr>
          <w:rFonts w:ascii="Arial" w:hAnsi="Arial" w:cs="Arial"/>
          <w:color w:val="0070C0"/>
          <w:sz w:val="22"/>
          <w:szCs w:val="22"/>
        </w:rPr>
      </w:pPr>
      <w:bookmarkStart w:id="9" w:name="_Toc216681448"/>
      <w:r w:rsidRPr="00BF4AA8">
        <w:rPr>
          <w:rFonts w:ascii="Arial" w:hAnsi="Arial" w:cs="Arial"/>
          <w:color w:val="0070C0"/>
          <w:sz w:val="22"/>
          <w:szCs w:val="22"/>
        </w:rPr>
        <w:t>Annex 1-</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Annex_1-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6</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Supplementary Notes (Supporting Materials)</w:t>
      </w:r>
      <w:bookmarkEnd w:id="9"/>
    </w:p>
    <w:p w:rsidR="00BF4AA8" w:rsidRPr="00BF4AA8" w:rsidRDefault="00BF4AA8" w:rsidP="00BF4AA8">
      <w:pPr>
        <w:rPr>
          <w:rFonts w:ascii="Arial" w:hAnsi="Arial" w:cs="Arial"/>
          <w:sz w:val="22"/>
          <w:szCs w:val="22"/>
        </w:rPr>
      </w:pPr>
      <w:r w:rsidRPr="00BF4AA8">
        <w:rPr>
          <w:rStyle w:val="Strong"/>
          <w:rFonts w:ascii="Arial" w:hAnsi="Arial" w:cs="Arial"/>
          <w:sz w:val="22"/>
          <w:szCs w:val="22"/>
        </w:rPr>
        <w:t>1. Definitions and Terminology</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This section provides standardized definitions used throughout Chapter 1 and subsequent chapters to ensure consistency with UNEP/GEF TDA–SAP methodology and regional SCS–GOT practice.</w:t>
      </w:r>
    </w:p>
    <w:p w:rsidR="00BF4AA8" w:rsidRPr="00BF4AA8" w:rsidRDefault="00BF4AA8" w:rsidP="00BF4AA8">
      <w:pPr>
        <w:adjustRightInd w:val="0"/>
        <w:snapToGrid w:val="0"/>
        <w:spacing w:before="240"/>
        <w:rPr>
          <w:rFonts w:ascii="Arial" w:hAnsi="Arial" w:cs="Arial"/>
          <w:b/>
          <w:bCs/>
          <w:color w:val="0070C0"/>
          <w:sz w:val="22"/>
          <w:szCs w:val="22"/>
        </w:rPr>
      </w:pPr>
      <w:r w:rsidRPr="00BF4AA8">
        <w:rPr>
          <w:rStyle w:val="Strong"/>
          <w:rFonts w:ascii="Arial" w:hAnsi="Arial" w:cs="Arial"/>
          <w:b w:val="0"/>
          <w:bCs w:val="0"/>
          <w:color w:val="0070C0"/>
          <w:sz w:val="22"/>
          <w:szCs w:val="22"/>
        </w:rPr>
        <w:t>Coastal zone</w:t>
      </w:r>
    </w:p>
    <w:p w:rsidR="00BF4AA8" w:rsidRPr="00BF4AA8" w:rsidRDefault="00BF4AA8" w:rsidP="00BF4AA8">
      <w:pPr>
        <w:pStyle w:val="NormalWeb"/>
        <w:adjustRightInd w:val="0"/>
        <w:snapToGrid w:val="0"/>
        <w:spacing w:before="0" w:beforeAutospacing="0" w:after="240" w:afterAutospacing="0"/>
        <w:jc w:val="both"/>
        <w:rPr>
          <w:rFonts w:ascii="Arial" w:hAnsi="Arial" w:cs="Arial"/>
          <w:sz w:val="22"/>
          <w:szCs w:val="22"/>
        </w:rPr>
      </w:pPr>
      <w:r w:rsidRPr="00BF4AA8">
        <w:rPr>
          <w:rFonts w:ascii="Arial" w:hAnsi="Arial" w:cs="Arial"/>
          <w:sz w:val="22"/>
          <w:szCs w:val="22"/>
        </w:rPr>
        <w:t xml:space="preserve">Defined as Cambodia’s four first-level administrative coastal provinces—Koh Kong, Preah Sihanouk,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and </w:t>
      </w:r>
      <w:proofErr w:type="spellStart"/>
      <w:r w:rsidRPr="00BF4AA8">
        <w:rPr>
          <w:rFonts w:ascii="Arial" w:hAnsi="Arial" w:cs="Arial"/>
          <w:sz w:val="22"/>
          <w:szCs w:val="22"/>
        </w:rPr>
        <w:t>Kep</w:t>
      </w:r>
      <w:proofErr w:type="spellEnd"/>
      <w:r w:rsidRPr="00BF4AA8">
        <w:rPr>
          <w:rFonts w:ascii="Arial" w:hAnsi="Arial" w:cs="Arial"/>
          <w:sz w:val="22"/>
          <w:szCs w:val="22"/>
        </w:rPr>
        <w:t xml:space="preserve">—together with associated </w:t>
      </w:r>
      <w:r w:rsidRPr="00BF4AA8">
        <w:rPr>
          <w:rStyle w:val="Strong"/>
          <w:rFonts w:ascii="Arial" w:hAnsi="Arial" w:cs="Arial"/>
          <w:sz w:val="22"/>
          <w:szCs w:val="22"/>
        </w:rPr>
        <w:t xml:space="preserve">river mouths, estuaries, tidal-influence </w:t>
      </w:r>
      <w:proofErr w:type="gramStart"/>
      <w:r w:rsidRPr="00BF4AA8">
        <w:rPr>
          <w:rStyle w:val="Strong"/>
          <w:rFonts w:ascii="Arial" w:hAnsi="Arial" w:cs="Arial"/>
          <w:sz w:val="22"/>
          <w:szCs w:val="22"/>
        </w:rPr>
        <w:t>zones</w:t>
      </w:r>
      <w:proofErr w:type="gramEnd"/>
      <w:r w:rsidRPr="00BF4AA8">
        <w:rPr>
          <w:rStyle w:val="Strong"/>
          <w:rFonts w:ascii="Arial" w:hAnsi="Arial" w:cs="Arial"/>
          <w:sz w:val="22"/>
          <w:szCs w:val="22"/>
        </w:rPr>
        <w:t xml:space="preserve"> and nearshore islands</w:t>
      </w:r>
      <w:r w:rsidRPr="00BF4AA8">
        <w:rPr>
          <w:rFonts w:ascii="Arial" w:hAnsi="Arial" w:cs="Arial"/>
          <w:sz w:val="22"/>
          <w:szCs w:val="22"/>
        </w:rPr>
        <w:t>. This aligns with regional coastal delineation under PEMSEA and the SCS–SAP.</w:t>
      </w:r>
    </w:p>
    <w:p w:rsidR="00BF4AA8" w:rsidRPr="00BF4AA8" w:rsidRDefault="00BF4AA8" w:rsidP="00BF4AA8">
      <w:pPr>
        <w:adjustRightInd w:val="0"/>
        <w:snapToGrid w:val="0"/>
        <w:spacing w:before="240"/>
        <w:rPr>
          <w:rStyle w:val="Strong"/>
          <w:rFonts w:ascii="Arial" w:hAnsi="Arial" w:cs="Arial"/>
          <w:color w:val="0070C0"/>
          <w:sz w:val="22"/>
          <w:szCs w:val="22"/>
        </w:rPr>
      </w:pPr>
      <w:r w:rsidRPr="00BF4AA8">
        <w:rPr>
          <w:rStyle w:val="Strong"/>
          <w:rFonts w:ascii="Arial" w:hAnsi="Arial" w:cs="Arial"/>
          <w:b w:val="0"/>
          <w:bCs w:val="0"/>
          <w:color w:val="0070C0"/>
          <w:sz w:val="22"/>
          <w:szCs w:val="22"/>
        </w:rPr>
        <w:t>Estuarine–marine interface</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Areas within which </w:t>
      </w:r>
      <w:r w:rsidRPr="00BF4AA8">
        <w:rPr>
          <w:rStyle w:val="Strong"/>
          <w:rFonts w:ascii="Arial" w:hAnsi="Arial" w:cs="Arial"/>
          <w:sz w:val="22"/>
          <w:szCs w:val="22"/>
        </w:rPr>
        <w:t xml:space="preserve">freshwater discharge strongly influences salinity, nutrient dynamics, sedimentation patterns, </w:t>
      </w:r>
      <w:proofErr w:type="gramStart"/>
      <w:r w:rsidRPr="00BF4AA8">
        <w:rPr>
          <w:rStyle w:val="Strong"/>
          <w:rFonts w:ascii="Arial" w:hAnsi="Arial" w:cs="Arial"/>
          <w:sz w:val="22"/>
          <w:szCs w:val="22"/>
        </w:rPr>
        <w:t>turbidity</w:t>
      </w:r>
      <w:proofErr w:type="gramEnd"/>
      <w:r w:rsidRPr="00BF4AA8">
        <w:rPr>
          <w:rStyle w:val="Strong"/>
          <w:rFonts w:ascii="Arial" w:hAnsi="Arial" w:cs="Arial"/>
          <w:sz w:val="22"/>
          <w:szCs w:val="22"/>
        </w:rPr>
        <w:t xml:space="preserve"> and ecological structure</w:t>
      </w:r>
      <w:r w:rsidRPr="00BF4AA8">
        <w:rPr>
          <w:rFonts w:ascii="Arial" w:hAnsi="Arial" w:cs="Arial"/>
          <w:sz w:val="22"/>
          <w:szCs w:val="22"/>
        </w:rPr>
        <w:t xml:space="preserve">. These interfaces are critical for nurseries, fisheries </w:t>
      </w:r>
      <w:proofErr w:type="gramStart"/>
      <w:r w:rsidRPr="00BF4AA8">
        <w:rPr>
          <w:rFonts w:ascii="Arial" w:hAnsi="Arial" w:cs="Arial"/>
          <w:sz w:val="22"/>
          <w:szCs w:val="22"/>
        </w:rPr>
        <w:t>recruitment</w:t>
      </w:r>
      <w:proofErr w:type="gramEnd"/>
      <w:r w:rsidRPr="00BF4AA8">
        <w:rPr>
          <w:rFonts w:ascii="Arial" w:hAnsi="Arial" w:cs="Arial"/>
          <w:sz w:val="22"/>
          <w:szCs w:val="22"/>
        </w:rPr>
        <w:t xml:space="preserve"> and pollutant delivery from land to sea.</w:t>
      </w:r>
    </w:p>
    <w:p w:rsidR="00BF4AA8" w:rsidRPr="00BF4AA8" w:rsidRDefault="00BF4AA8" w:rsidP="00BF4AA8">
      <w:pPr>
        <w:adjustRightInd w:val="0"/>
        <w:snapToGrid w:val="0"/>
        <w:spacing w:before="240"/>
        <w:rPr>
          <w:rStyle w:val="Strong"/>
          <w:rFonts w:ascii="Arial" w:hAnsi="Arial" w:cs="Arial"/>
          <w:color w:val="0070C0"/>
          <w:sz w:val="22"/>
          <w:szCs w:val="22"/>
        </w:rPr>
      </w:pPr>
      <w:r w:rsidRPr="00BF4AA8">
        <w:rPr>
          <w:rStyle w:val="Strong"/>
          <w:rFonts w:ascii="Arial" w:hAnsi="Arial" w:cs="Arial"/>
          <w:b w:val="0"/>
          <w:bCs w:val="0"/>
          <w:color w:val="0070C0"/>
          <w:sz w:val="22"/>
          <w:szCs w:val="22"/>
        </w:rPr>
        <w:t>Pressures vs. drivers</w:t>
      </w:r>
    </w:p>
    <w:p w:rsidR="00BF4AA8" w:rsidRPr="00BF4AA8" w:rsidRDefault="00BF4AA8" w:rsidP="00BF4AA8">
      <w:pPr>
        <w:pStyle w:val="NormalWeb"/>
        <w:numPr>
          <w:ilvl w:val="0"/>
          <w:numId w:val="45"/>
        </w:numPr>
        <w:jc w:val="both"/>
        <w:rPr>
          <w:rFonts w:ascii="Arial" w:hAnsi="Arial" w:cs="Arial"/>
          <w:sz w:val="22"/>
          <w:szCs w:val="22"/>
        </w:rPr>
      </w:pPr>
      <w:r w:rsidRPr="00BF4AA8">
        <w:rPr>
          <w:rStyle w:val="Strong"/>
          <w:rFonts w:ascii="Arial" w:hAnsi="Arial" w:cs="Arial"/>
          <w:sz w:val="22"/>
          <w:szCs w:val="22"/>
        </w:rPr>
        <w:t>Pressures</w:t>
      </w:r>
      <w:r w:rsidRPr="00BF4AA8">
        <w:rPr>
          <w:rFonts w:ascii="Arial" w:hAnsi="Arial" w:cs="Arial"/>
          <w:sz w:val="22"/>
          <w:szCs w:val="22"/>
        </w:rPr>
        <w:t xml:space="preserve"> refer to </w:t>
      </w:r>
      <w:r w:rsidRPr="00BF4AA8">
        <w:rPr>
          <w:rStyle w:val="Emphasis"/>
          <w:rFonts w:ascii="Arial" w:hAnsi="Arial" w:cs="Arial"/>
          <w:sz w:val="22"/>
          <w:szCs w:val="22"/>
        </w:rPr>
        <w:t>direct, measurable human activities</w:t>
      </w:r>
      <w:r w:rsidRPr="00BF4AA8">
        <w:rPr>
          <w:rFonts w:ascii="Arial" w:hAnsi="Arial" w:cs="Arial"/>
          <w:sz w:val="22"/>
          <w:szCs w:val="22"/>
        </w:rPr>
        <w:t xml:space="preserve"> that affect environmental conditions (</w:t>
      </w:r>
      <w:proofErr w:type="gramStart"/>
      <w:r w:rsidRPr="00BF4AA8">
        <w:rPr>
          <w:rFonts w:ascii="Arial" w:hAnsi="Arial" w:cs="Arial"/>
          <w:sz w:val="22"/>
          <w:szCs w:val="22"/>
        </w:rPr>
        <w:t>e.g.</w:t>
      </w:r>
      <w:proofErr w:type="gramEnd"/>
      <w:r w:rsidRPr="00BF4AA8">
        <w:rPr>
          <w:rFonts w:ascii="Arial" w:hAnsi="Arial" w:cs="Arial"/>
          <w:sz w:val="22"/>
          <w:szCs w:val="22"/>
        </w:rPr>
        <w:t xml:space="preserve"> industrial effluent, trawling, dredging, land reclamation, aquaculture effluent).</w:t>
      </w:r>
    </w:p>
    <w:p w:rsidR="00BF4AA8" w:rsidRPr="00BF4AA8" w:rsidRDefault="00BF4AA8" w:rsidP="00BF4AA8">
      <w:pPr>
        <w:pStyle w:val="NormalWeb"/>
        <w:numPr>
          <w:ilvl w:val="0"/>
          <w:numId w:val="45"/>
        </w:numPr>
        <w:jc w:val="both"/>
        <w:rPr>
          <w:rFonts w:ascii="Arial" w:hAnsi="Arial" w:cs="Arial"/>
          <w:sz w:val="22"/>
          <w:szCs w:val="22"/>
        </w:rPr>
      </w:pPr>
      <w:r w:rsidRPr="00BF4AA8">
        <w:rPr>
          <w:rStyle w:val="Strong"/>
          <w:rFonts w:ascii="Arial" w:hAnsi="Arial" w:cs="Arial"/>
          <w:sz w:val="22"/>
          <w:szCs w:val="22"/>
        </w:rPr>
        <w:t>Drivers</w:t>
      </w:r>
      <w:r w:rsidRPr="00BF4AA8">
        <w:rPr>
          <w:rFonts w:ascii="Arial" w:hAnsi="Arial" w:cs="Arial"/>
          <w:sz w:val="22"/>
          <w:szCs w:val="22"/>
        </w:rPr>
        <w:t xml:space="preserve"> are </w:t>
      </w:r>
      <w:r w:rsidRPr="00BF4AA8">
        <w:rPr>
          <w:rStyle w:val="Emphasis"/>
          <w:rFonts w:ascii="Arial" w:hAnsi="Arial" w:cs="Arial"/>
          <w:sz w:val="22"/>
          <w:szCs w:val="22"/>
        </w:rPr>
        <w:t>underlying socioeconomic forces</w:t>
      </w:r>
      <w:r w:rsidRPr="00BF4AA8">
        <w:rPr>
          <w:rFonts w:ascii="Arial" w:hAnsi="Arial" w:cs="Arial"/>
          <w:sz w:val="22"/>
          <w:szCs w:val="22"/>
        </w:rPr>
        <w:t>—</w:t>
      </w:r>
      <w:proofErr w:type="spellStart"/>
      <w:r w:rsidRPr="00BF4AA8">
        <w:rPr>
          <w:rFonts w:ascii="Arial" w:hAnsi="Arial" w:cs="Arial"/>
          <w:sz w:val="22"/>
          <w:szCs w:val="22"/>
        </w:rPr>
        <w:t>urbanisation</w:t>
      </w:r>
      <w:proofErr w:type="spellEnd"/>
      <w:r w:rsidRPr="00BF4AA8">
        <w:rPr>
          <w:rFonts w:ascii="Arial" w:hAnsi="Arial" w:cs="Arial"/>
          <w:sz w:val="22"/>
          <w:szCs w:val="22"/>
        </w:rPr>
        <w:t>, demographic growth, market demand, port/tourism development, agricultural expansion—that shape the magnitude and direction of pressures.</w:t>
      </w:r>
    </w:p>
    <w:p w:rsidR="00BF4AA8" w:rsidRPr="00BF4AA8" w:rsidRDefault="00BF4AA8" w:rsidP="00BF4AA8">
      <w:pPr>
        <w:adjustRightInd w:val="0"/>
        <w:snapToGrid w:val="0"/>
        <w:spacing w:before="240"/>
        <w:rPr>
          <w:rStyle w:val="Strong"/>
          <w:rFonts w:ascii="Arial" w:hAnsi="Arial" w:cs="Arial"/>
          <w:color w:val="0070C0"/>
          <w:sz w:val="22"/>
          <w:szCs w:val="22"/>
        </w:rPr>
      </w:pPr>
      <w:r w:rsidRPr="00BF4AA8">
        <w:rPr>
          <w:rStyle w:val="Strong"/>
          <w:rFonts w:ascii="Arial" w:hAnsi="Arial" w:cs="Arial"/>
          <w:b w:val="0"/>
          <w:bCs w:val="0"/>
          <w:color w:val="0070C0"/>
          <w:sz w:val="22"/>
          <w:szCs w:val="22"/>
        </w:rPr>
        <w:t>Risk terminology</w:t>
      </w:r>
    </w:p>
    <w:p w:rsidR="00BF4AA8" w:rsidRPr="00BF4AA8" w:rsidRDefault="00BF4AA8" w:rsidP="00BF4AA8">
      <w:pPr>
        <w:pStyle w:val="NormalWeb"/>
        <w:numPr>
          <w:ilvl w:val="0"/>
          <w:numId w:val="46"/>
        </w:numPr>
        <w:jc w:val="both"/>
        <w:rPr>
          <w:rFonts w:ascii="Arial" w:hAnsi="Arial" w:cs="Arial"/>
          <w:sz w:val="22"/>
          <w:szCs w:val="22"/>
        </w:rPr>
      </w:pPr>
      <w:r w:rsidRPr="00BF4AA8">
        <w:rPr>
          <w:rStyle w:val="Strong"/>
          <w:rFonts w:ascii="Arial" w:hAnsi="Arial" w:cs="Arial"/>
          <w:sz w:val="22"/>
          <w:szCs w:val="22"/>
        </w:rPr>
        <w:t>Exposure</w:t>
      </w:r>
      <w:r w:rsidRPr="00BF4AA8">
        <w:rPr>
          <w:rFonts w:ascii="Arial" w:hAnsi="Arial" w:cs="Arial"/>
          <w:sz w:val="22"/>
          <w:szCs w:val="22"/>
        </w:rPr>
        <w:t xml:space="preserve"> = presence/intensity of hazards.</w:t>
      </w:r>
    </w:p>
    <w:p w:rsidR="00BF4AA8" w:rsidRPr="00BF4AA8" w:rsidRDefault="00BF4AA8" w:rsidP="00BF4AA8">
      <w:pPr>
        <w:pStyle w:val="NormalWeb"/>
        <w:numPr>
          <w:ilvl w:val="0"/>
          <w:numId w:val="46"/>
        </w:numPr>
        <w:jc w:val="both"/>
        <w:rPr>
          <w:rFonts w:ascii="Arial" w:hAnsi="Arial" w:cs="Arial"/>
          <w:sz w:val="22"/>
          <w:szCs w:val="22"/>
        </w:rPr>
      </w:pPr>
      <w:r w:rsidRPr="00BF4AA8">
        <w:rPr>
          <w:rStyle w:val="Strong"/>
          <w:rFonts w:ascii="Arial" w:hAnsi="Arial" w:cs="Arial"/>
          <w:sz w:val="22"/>
          <w:szCs w:val="22"/>
        </w:rPr>
        <w:t>Sensitivity</w:t>
      </w:r>
      <w:r w:rsidRPr="00BF4AA8">
        <w:rPr>
          <w:rFonts w:ascii="Arial" w:hAnsi="Arial" w:cs="Arial"/>
          <w:sz w:val="22"/>
          <w:szCs w:val="22"/>
        </w:rPr>
        <w:t xml:space="preserve"> = susceptibility of ecosystems/communities to harm.</w:t>
      </w:r>
    </w:p>
    <w:p w:rsidR="00BF4AA8" w:rsidRPr="00BF4AA8" w:rsidRDefault="00BF4AA8" w:rsidP="00BF4AA8">
      <w:pPr>
        <w:pStyle w:val="NormalWeb"/>
        <w:numPr>
          <w:ilvl w:val="0"/>
          <w:numId w:val="46"/>
        </w:numPr>
        <w:jc w:val="both"/>
        <w:rPr>
          <w:rFonts w:ascii="Arial" w:hAnsi="Arial" w:cs="Arial"/>
          <w:sz w:val="22"/>
          <w:szCs w:val="22"/>
        </w:rPr>
      </w:pPr>
      <w:r w:rsidRPr="00BF4AA8">
        <w:rPr>
          <w:rStyle w:val="Strong"/>
          <w:rFonts w:ascii="Arial" w:hAnsi="Arial" w:cs="Arial"/>
          <w:sz w:val="22"/>
          <w:szCs w:val="22"/>
        </w:rPr>
        <w:t>Adaptive Capacity</w:t>
      </w:r>
      <w:r w:rsidRPr="00BF4AA8">
        <w:rPr>
          <w:rFonts w:ascii="Arial" w:hAnsi="Arial" w:cs="Arial"/>
          <w:sz w:val="22"/>
          <w:szCs w:val="22"/>
        </w:rPr>
        <w:t xml:space="preserve"> = ability to respond, cope or recover from impacts.</w:t>
      </w:r>
      <w:r w:rsidRPr="00BF4AA8">
        <w:rPr>
          <w:rFonts w:ascii="Arial" w:hAnsi="Arial" w:cs="Arial"/>
          <w:sz w:val="22"/>
          <w:szCs w:val="22"/>
        </w:rPr>
        <w:br/>
        <w:t>These follow IPCC and UNEP/GEF formulations.</w:t>
      </w:r>
    </w:p>
    <w:p w:rsidR="00BF4AA8" w:rsidRPr="00BF4AA8" w:rsidRDefault="00BF4AA8" w:rsidP="00BF4AA8">
      <w:pPr>
        <w:keepNext/>
        <w:adjustRightInd w:val="0"/>
        <w:snapToGrid w:val="0"/>
        <w:spacing w:before="240" w:after="120"/>
        <w:rPr>
          <w:rStyle w:val="Strong"/>
          <w:rFonts w:ascii="Arial" w:hAnsi="Arial" w:cs="Arial"/>
          <w:sz w:val="22"/>
          <w:szCs w:val="22"/>
        </w:rPr>
      </w:pPr>
      <w:r w:rsidRPr="00BF4AA8">
        <w:rPr>
          <w:rStyle w:val="Strong"/>
          <w:rFonts w:ascii="Arial" w:hAnsi="Arial" w:cs="Arial"/>
          <w:sz w:val="22"/>
          <w:szCs w:val="22"/>
        </w:rPr>
        <w:t>2. Data Treatment Notes</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These notes document how data were cleaned, </w:t>
      </w:r>
      <w:proofErr w:type="spellStart"/>
      <w:proofErr w:type="gramStart"/>
      <w:r w:rsidRPr="00BF4AA8">
        <w:rPr>
          <w:rFonts w:ascii="Arial" w:hAnsi="Arial" w:cs="Arial"/>
          <w:sz w:val="22"/>
          <w:szCs w:val="22"/>
        </w:rPr>
        <w:t>normalised</w:t>
      </w:r>
      <w:proofErr w:type="spellEnd"/>
      <w:proofErr w:type="gramEnd"/>
      <w:r w:rsidRPr="00BF4AA8">
        <w:rPr>
          <w:rFonts w:ascii="Arial" w:hAnsi="Arial" w:cs="Arial"/>
          <w:sz w:val="22"/>
          <w:szCs w:val="22"/>
        </w:rPr>
        <w:t xml:space="preserve"> and interpreted for the risk assessment and comparative analysis in Chapter 1.</w:t>
      </w:r>
    </w:p>
    <w:p w:rsidR="00BF4AA8" w:rsidRPr="00BF4AA8" w:rsidRDefault="00BF4AA8" w:rsidP="00BF4AA8">
      <w:pPr>
        <w:adjustRightInd w:val="0"/>
        <w:snapToGrid w:val="0"/>
        <w:spacing w:before="240"/>
        <w:rPr>
          <w:rStyle w:val="Strong"/>
          <w:rFonts w:ascii="Arial" w:hAnsi="Arial" w:cs="Arial"/>
          <w:color w:val="0070C0"/>
          <w:sz w:val="22"/>
          <w:szCs w:val="22"/>
        </w:rPr>
      </w:pPr>
      <w:r w:rsidRPr="00BF4AA8">
        <w:rPr>
          <w:rStyle w:val="Strong"/>
          <w:rFonts w:ascii="Arial" w:hAnsi="Arial" w:cs="Arial"/>
          <w:b w:val="0"/>
          <w:bCs w:val="0"/>
          <w:color w:val="0070C0"/>
          <w:sz w:val="22"/>
          <w:szCs w:val="22"/>
        </w:rPr>
        <w:t>Pollution datasets</w:t>
      </w:r>
    </w:p>
    <w:p w:rsidR="00BF4AA8" w:rsidRPr="00BF4AA8" w:rsidRDefault="00BF4AA8" w:rsidP="00BF4AA8">
      <w:pPr>
        <w:pStyle w:val="NormalWeb"/>
        <w:numPr>
          <w:ilvl w:val="0"/>
          <w:numId w:val="47"/>
        </w:numPr>
        <w:jc w:val="both"/>
        <w:rPr>
          <w:rFonts w:ascii="Arial" w:hAnsi="Arial" w:cs="Arial"/>
          <w:sz w:val="22"/>
          <w:szCs w:val="22"/>
        </w:rPr>
      </w:pPr>
      <w:r w:rsidRPr="00BF4AA8">
        <w:rPr>
          <w:rFonts w:ascii="Arial" w:hAnsi="Arial" w:cs="Arial"/>
          <w:sz w:val="22"/>
          <w:szCs w:val="22"/>
        </w:rPr>
        <w:t xml:space="preserve">When multiple readings are available, the </w:t>
      </w:r>
      <w:r w:rsidRPr="00BF4AA8">
        <w:rPr>
          <w:rStyle w:val="Strong"/>
          <w:rFonts w:ascii="Arial" w:hAnsi="Arial" w:cs="Arial"/>
          <w:sz w:val="22"/>
          <w:szCs w:val="22"/>
        </w:rPr>
        <w:t>90th percentile</w:t>
      </w:r>
      <w:r w:rsidRPr="00BF4AA8">
        <w:rPr>
          <w:rFonts w:ascii="Arial" w:hAnsi="Arial" w:cs="Arial"/>
          <w:sz w:val="22"/>
          <w:szCs w:val="22"/>
        </w:rPr>
        <w:t xml:space="preserve"> </w:t>
      </w:r>
      <w:proofErr w:type="gramStart"/>
      <w:r w:rsidRPr="00BF4AA8">
        <w:rPr>
          <w:rFonts w:ascii="Arial" w:hAnsi="Arial" w:cs="Arial"/>
          <w:sz w:val="22"/>
          <w:szCs w:val="22"/>
        </w:rPr>
        <w:t>is used</w:t>
      </w:r>
      <w:proofErr w:type="gramEnd"/>
      <w:r w:rsidRPr="00BF4AA8">
        <w:rPr>
          <w:rFonts w:ascii="Arial" w:hAnsi="Arial" w:cs="Arial"/>
          <w:sz w:val="22"/>
          <w:szCs w:val="22"/>
        </w:rPr>
        <w:t xml:space="preserve"> to represent “worst-case” values—consistent with health protection thresholds.</w:t>
      </w:r>
    </w:p>
    <w:p w:rsidR="00BF4AA8" w:rsidRPr="00BF4AA8" w:rsidRDefault="00BF4AA8" w:rsidP="00BF4AA8">
      <w:pPr>
        <w:pStyle w:val="NormalWeb"/>
        <w:numPr>
          <w:ilvl w:val="0"/>
          <w:numId w:val="47"/>
        </w:numPr>
        <w:jc w:val="both"/>
        <w:rPr>
          <w:rFonts w:ascii="Arial" w:hAnsi="Arial" w:cs="Arial"/>
          <w:sz w:val="22"/>
          <w:szCs w:val="22"/>
        </w:rPr>
      </w:pPr>
      <w:r w:rsidRPr="00BF4AA8">
        <w:rPr>
          <w:rFonts w:ascii="Arial" w:hAnsi="Arial" w:cs="Arial"/>
          <w:sz w:val="22"/>
          <w:szCs w:val="22"/>
        </w:rPr>
        <w:t xml:space="preserve">For provinces with limited sampling frequency, </w:t>
      </w:r>
      <w:r w:rsidRPr="00BF4AA8">
        <w:rPr>
          <w:rStyle w:val="Strong"/>
          <w:rFonts w:ascii="Arial" w:hAnsi="Arial" w:cs="Arial"/>
          <w:sz w:val="22"/>
          <w:szCs w:val="22"/>
        </w:rPr>
        <w:t>monsoon-season maxima</w:t>
      </w:r>
      <w:r w:rsidRPr="00BF4AA8">
        <w:rPr>
          <w:rFonts w:ascii="Arial" w:hAnsi="Arial" w:cs="Arial"/>
          <w:sz w:val="22"/>
          <w:szCs w:val="22"/>
        </w:rPr>
        <w:t xml:space="preserve"> </w:t>
      </w:r>
      <w:proofErr w:type="gramStart"/>
      <w:r w:rsidRPr="00BF4AA8">
        <w:rPr>
          <w:rFonts w:ascii="Arial" w:hAnsi="Arial" w:cs="Arial"/>
          <w:sz w:val="22"/>
          <w:szCs w:val="22"/>
        </w:rPr>
        <w:t>were used</w:t>
      </w:r>
      <w:proofErr w:type="gramEnd"/>
      <w:r w:rsidRPr="00BF4AA8">
        <w:rPr>
          <w:rFonts w:ascii="Arial" w:hAnsi="Arial" w:cs="Arial"/>
          <w:sz w:val="22"/>
          <w:szCs w:val="22"/>
        </w:rPr>
        <w:t xml:space="preserve"> to ensure conservative estimation of risk.</w:t>
      </w:r>
    </w:p>
    <w:p w:rsidR="00BF4AA8" w:rsidRPr="00BF4AA8" w:rsidRDefault="00BF4AA8" w:rsidP="00BF4AA8">
      <w:pPr>
        <w:pStyle w:val="NormalWeb"/>
        <w:numPr>
          <w:ilvl w:val="0"/>
          <w:numId w:val="47"/>
        </w:numPr>
        <w:jc w:val="both"/>
        <w:rPr>
          <w:rFonts w:ascii="Arial" w:hAnsi="Arial" w:cs="Arial"/>
          <w:sz w:val="22"/>
          <w:szCs w:val="22"/>
        </w:rPr>
      </w:pPr>
      <w:r w:rsidRPr="00BF4AA8">
        <w:rPr>
          <w:rFonts w:ascii="Arial" w:hAnsi="Arial" w:cs="Arial"/>
          <w:sz w:val="22"/>
          <w:szCs w:val="22"/>
        </w:rPr>
        <w:t xml:space="preserve">Industrial effluent data </w:t>
      </w:r>
      <w:proofErr w:type="gramStart"/>
      <w:r w:rsidRPr="00BF4AA8">
        <w:rPr>
          <w:rFonts w:ascii="Arial" w:hAnsi="Arial" w:cs="Arial"/>
          <w:sz w:val="22"/>
          <w:szCs w:val="22"/>
        </w:rPr>
        <w:t>were included</w:t>
      </w:r>
      <w:proofErr w:type="gramEnd"/>
      <w:r w:rsidRPr="00BF4AA8">
        <w:rPr>
          <w:rFonts w:ascii="Arial" w:hAnsi="Arial" w:cs="Arial"/>
          <w:sz w:val="22"/>
          <w:szCs w:val="22"/>
        </w:rPr>
        <w:t xml:space="preserve"> only if directly cited in </w:t>
      </w:r>
      <w:proofErr w:type="spellStart"/>
      <w:r w:rsidRPr="00BF4AA8">
        <w:rPr>
          <w:rFonts w:ascii="Arial" w:hAnsi="Arial" w:cs="Arial"/>
          <w:sz w:val="22"/>
          <w:szCs w:val="22"/>
        </w:rPr>
        <w:t>MoE</w:t>
      </w:r>
      <w:proofErr w:type="spellEnd"/>
      <w:r w:rsidRPr="00BF4AA8">
        <w:rPr>
          <w:rFonts w:ascii="Arial" w:hAnsi="Arial" w:cs="Arial"/>
          <w:sz w:val="22"/>
          <w:szCs w:val="22"/>
        </w:rPr>
        <w:t xml:space="preserve"> inspections or ADB environmental monitoring reports.</w:t>
      </w:r>
    </w:p>
    <w:p w:rsidR="00BF4AA8" w:rsidRPr="00BF4AA8" w:rsidRDefault="00BF4AA8" w:rsidP="00BF4AA8">
      <w:pPr>
        <w:adjustRightInd w:val="0"/>
        <w:snapToGrid w:val="0"/>
        <w:spacing w:before="240"/>
        <w:rPr>
          <w:rStyle w:val="Strong"/>
          <w:rFonts w:ascii="Arial" w:hAnsi="Arial" w:cs="Arial"/>
          <w:color w:val="0070C0"/>
          <w:sz w:val="22"/>
          <w:szCs w:val="22"/>
        </w:rPr>
      </w:pPr>
      <w:r w:rsidRPr="00BF4AA8">
        <w:rPr>
          <w:rStyle w:val="Strong"/>
          <w:rFonts w:ascii="Arial" w:hAnsi="Arial" w:cs="Arial"/>
          <w:b w:val="0"/>
          <w:bCs w:val="0"/>
          <w:color w:val="0070C0"/>
          <w:sz w:val="22"/>
          <w:szCs w:val="22"/>
        </w:rPr>
        <w:t>Ecosystem condition datasets</w:t>
      </w:r>
    </w:p>
    <w:p w:rsidR="00BF4AA8" w:rsidRPr="00BF4AA8" w:rsidRDefault="00BF4AA8" w:rsidP="00BF4AA8">
      <w:pPr>
        <w:pStyle w:val="NormalWeb"/>
        <w:numPr>
          <w:ilvl w:val="0"/>
          <w:numId w:val="48"/>
        </w:numPr>
        <w:jc w:val="both"/>
        <w:rPr>
          <w:rFonts w:ascii="Arial" w:hAnsi="Arial" w:cs="Arial"/>
          <w:sz w:val="22"/>
          <w:szCs w:val="22"/>
        </w:rPr>
      </w:pPr>
      <w:r w:rsidRPr="00BF4AA8">
        <w:rPr>
          <w:rStyle w:val="Strong"/>
          <w:rFonts w:ascii="Arial" w:hAnsi="Arial" w:cs="Arial"/>
          <w:sz w:val="22"/>
          <w:szCs w:val="22"/>
        </w:rPr>
        <w:t>Coral cover categories</w:t>
      </w:r>
      <w:r w:rsidRPr="00BF4AA8">
        <w:rPr>
          <w:rFonts w:ascii="Arial" w:hAnsi="Arial" w:cs="Arial"/>
          <w:sz w:val="22"/>
          <w:szCs w:val="22"/>
        </w:rPr>
        <w:t xml:space="preserve"> follow international thresholds:</w:t>
      </w:r>
    </w:p>
    <w:p w:rsidR="00BF4AA8" w:rsidRPr="00BF4AA8" w:rsidRDefault="00BF4AA8" w:rsidP="00BF4AA8">
      <w:pPr>
        <w:pStyle w:val="NormalWeb"/>
        <w:numPr>
          <w:ilvl w:val="1"/>
          <w:numId w:val="48"/>
        </w:numPr>
        <w:jc w:val="both"/>
        <w:rPr>
          <w:rFonts w:ascii="Arial" w:hAnsi="Arial" w:cs="Arial"/>
          <w:sz w:val="22"/>
          <w:szCs w:val="22"/>
        </w:rPr>
      </w:pPr>
      <w:r w:rsidRPr="00BF4AA8">
        <w:rPr>
          <w:rStyle w:val="Emphasis"/>
          <w:rFonts w:ascii="Arial" w:hAnsi="Arial" w:cs="Arial"/>
          <w:sz w:val="22"/>
          <w:szCs w:val="22"/>
        </w:rPr>
        <w:t>Poor:</w:t>
      </w:r>
      <w:r w:rsidRPr="00BF4AA8">
        <w:rPr>
          <w:rFonts w:ascii="Arial" w:hAnsi="Arial" w:cs="Arial"/>
          <w:sz w:val="22"/>
          <w:szCs w:val="22"/>
        </w:rPr>
        <w:t xml:space="preserve"> 0–10%</w:t>
      </w:r>
    </w:p>
    <w:p w:rsidR="00BF4AA8" w:rsidRPr="00BF4AA8" w:rsidRDefault="00BF4AA8" w:rsidP="00BF4AA8">
      <w:pPr>
        <w:pStyle w:val="NormalWeb"/>
        <w:numPr>
          <w:ilvl w:val="1"/>
          <w:numId w:val="48"/>
        </w:numPr>
        <w:jc w:val="both"/>
        <w:rPr>
          <w:rFonts w:ascii="Arial" w:hAnsi="Arial" w:cs="Arial"/>
          <w:sz w:val="22"/>
          <w:szCs w:val="22"/>
        </w:rPr>
      </w:pPr>
      <w:r w:rsidRPr="00BF4AA8">
        <w:rPr>
          <w:rStyle w:val="Emphasis"/>
          <w:rFonts w:ascii="Arial" w:hAnsi="Arial" w:cs="Arial"/>
          <w:sz w:val="22"/>
          <w:szCs w:val="22"/>
        </w:rPr>
        <w:t>Fair:</w:t>
      </w:r>
      <w:r w:rsidRPr="00BF4AA8">
        <w:rPr>
          <w:rFonts w:ascii="Arial" w:hAnsi="Arial" w:cs="Arial"/>
          <w:sz w:val="22"/>
          <w:szCs w:val="22"/>
        </w:rPr>
        <w:t xml:space="preserve"> 10–30%</w:t>
      </w:r>
    </w:p>
    <w:p w:rsidR="00BF4AA8" w:rsidRPr="00BF4AA8" w:rsidRDefault="00BF4AA8" w:rsidP="00BF4AA8">
      <w:pPr>
        <w:pStyle w:val="NormalWeb"/>
        <w:numPr>
          <w:ilvl w:val="1"/>
          <w:numId w:val="48"/>
        </w:numPr>
        <w:jc w:val="both"/>
        <w:rPr>
          <w:rFonts w:ascii="Arial" w:hAnsi="Arial" w:cs="Arial"/>
          <w:sz w:val="22"/>
          <w:szCs w:val="22"/>
        </w:rPr>
      </w:pPr>
      <w:r w:rsidRPr="00BF4AA8">
        <w:rPr>
          <w:rStyle w:val="Emphasis"/>
          <w:rFonts w:ascii="Arial" w:hAnsi="Arial" w:cs="Arial"/>
          <w:sz w:val="22"/>
          <w:szCs w:val="22"/>
        </w:rPr>
        <w:t>Good:</w:t>
      </w:r>
      <w:r w:rsidRPr="00BF4AA8">
        <w:rPr>
          <w:rFonts w:ascii="Arial" w:hAnsi="Arial" w:cs="Arial"/>
          <w:sz w:val="22"/>
          <w:szCs w:val="22"/>
        </w:rPr>
        <w:t xml:space="preserve"> 30–50%</w:t>
      </w:r>
    </w:p>
    <w:p w:rsidR="00BF4AA8" w:rsidRPr="00BF4AA8" w:rsidRDefault="00BF4AA8" w:rsidP="00BF4AA8">
      <w:pPr>
        <w:pStyle w:val="NormalWeb"/>
        <w:numPr>
          <w:ilvl w:val="1"/>
          <w:numId w:val="48"/>
        </w:numPr>
        <w:jc w:val="both"/>
        <w:rPr>
          <w:rFonts w:ascii="Arial" w:hAnsi="Arial" w:cs="Arial"/>
          <w:sz w:val="22"/>
          <w:szCs w:val="22"/>
        </w:rPr>
      </w:pPr>
      <w:r w:rsidRPr="00BF4AA8">
        <w:rPr>
          <w:rStyle w:val="Emphasis"/>
          <w:rFonts w:ascii="Arial" w:hAnsi="Arial" w:cs="Arial"/>
          <w:sz w:val="22"/>
          <w:szCs w:val="22"/>
        </w:rPr>
        <w:t>Very good:</w:t>
      </w:r>
      <w:r w:rsidRPr="00BF4AA8">
        <w:rPr>
          <w:rFonts w:ascii="Arial" w:hAnsi="Arial" w:cs="Arial"/>
          <w:sz w:val="22"/>
          <w:szCs w:val="22"/>
        </w:rPr>
        <w:t xml:space="preserve"> &gt;50%</w:t>
      </w:r>
    </w:p>
    <w:p w:rsidR="00BF4AA8" w:rsidRPr="00BF4AA8" w:rsidRDefault="00BF4AA8" w:rsidP="00BF4AA8">
      <w:pPr>
        <w:pStyle w:val="NormalWeb"/>
        <w:numPr>
          <w:ilvl w:val="0"/>
          <w:numId w:val="48"/>
        </w:numPr>
        <w:jc w:val="both"/>
        <w:rPr>
          <w:rFonts w:ascii="Arial" w:hAnsi="Arial" w:cs="Arial"/>
          <w:sz w:val="22"/>
          <w:szCs w:val="22"/>
        </w:rPr>
      </w:pPr>
      <w:r w:rsidRPr="00BF4AA8">
        <w:rPr>
          <w:rFonts w:ascii="Arial" w:hAnsi="Arial" w:cs="Arial"/>
          <w:sz w:val="22"/>
          <w:szCs w:val="22"/>
        </w:rPr>
        <w:t xml:space="preserve">Seagrass diversity benchmarks </w:t>
      </w:r>
      <w:proofErr w:type="gramStart"/>
      <w:r w:rsidRPr="00BF4AA8">
        <w:rPr>
          <w:rFonts w:ascii="Arial" w:hAnsi="Arial" w:cs="Arial"/>
          <w:sz w:val="22"/>
          <w:szCs w:val="22"/>
        </w:rPr>
        <w:t>are anchored</w:t>
      </w:r>
      <w:proofErr w:type="gramEnd"/>
      <w:r w:rsidRPr="00BF4AA8">
        <w:rPr>
          <w:rFonts w:ascii="Arial" w:hAnsi="Arial" w:cs="Arial"/>
          <w:sz w:val="22"/>
          <w:szCs w:val="22"/>
        </w:rPr>
        <w:t xml:space="preserve"> to the </w:t>
      </w:r>
      <w:r w:rsidRPr="00BF4AA8">
        <w:rPr>
          <w:rStyle w:val="Strong"/>
          <w:rFonts w:ascii="Arial" w:hAnsi="Arial" w:cs="Arial"/>
          <w:sz w:val="22"/>
          <w:szCs w:val="22"/>
        </w:rPr>
        <w:t>regional maximum of 11 species</w:t>
      </w:r>
      <w:r w:rsidRPr="00BF4AA8">
        <w:rPr>
          <w:rFonts w:ascii="Arial" w:hAnsi="Arial" w:cs="Arial"/>
          <w:sz w:val="22"/>
          <w:szCs w:val="22"/>
        </w:rPr>
        <w:t xml:space="preserve"> across mainland Southeast Asia.</w:t>
      </w:r>
    </w:p>
    <w:p w:rsidR="00BF4AA8" w:rsidRPr="00BF4AA8" w:rsidRDefault="00BF4AA8" w:rsidP="00BF4AA8">
      <w:pPr>
        <w:pStyle w:val="NormalWeb"/>
        <w:numPr>
          <w:ilvl w:val="0"/>
          <w:numId w:val="48"/>
        </w:numPr>
        <w:jc w:val="both"/>
        <w:rPr>
          <w:rFonts w:ascii="Arial" w:hAnsi="Arial" w:cs="Arial"/>
          <w:sz w:val="22"/>
          <w:szCs w:val="22"/>
        </w:rPr>
      </w:pPr>
      <w:r w:rsidRPr="00BF4AA8">
        <w:rPr>
          <w:rFonts w:ascii="Arial" w:hAnsi="Arial" w:cs="Arial"/>
          <w:sz w:val="22"/>
          <w:szCs w:val="22"/>
        </w:rPr>
        <w:t xml:space="preserve">Mangrove data follow </w:t>
      </w:r>
      <w:proofErr w:type="spellStart"/>
      <w:r w:rsidRPr="00BF4AA8">
        <w:rPr>
          <w:rFonts w:ascii="Arial" w:hAnsi="Arial" w:cs="Arial"/>
          <w:sz w:val="22"/>
          <w:szCs w:val="22"/>
        </w:rPr>
        <w:t>MoE</w:t>
      </w:r>
      <w:proofErr w:type="spellEnd"/>
      <w:r w:rsidRPr="00BF4AA8">
        <w:rPr>
          <w:rFonts w:ascii="Arial" w:hAnsi="Arial" w:cs="Arial"/>
          <w:sz w:val="22"/>
          <w:szCs w:val="22"/>
        </w:rPr>
        <w:t xml:space="preserve">/PEMSEA classifications (Landsat-based, 30 m resolution), with 2014 as the </w:t>
      </w:r>
      <w:proofErr w:type="spellStart"/>
      <w:r w:rsidRPr="00BF4AA8">
        <w:rPr>
          <w:rFonts w:ascii="Arial" w:hAnsi="Arial" w:cs="Arial"/>
          <w:sz w:val="22"/>
          <w:szCs w:val="22"/>
        </w:rPr>
        <w:t>harmonised</w:t>
      </w:r>
      <w:proofErr w:type="spellEnd"/>
      <w:r w:rsidRPr="00BF4AA8">
        <w:rPr>
          <w:rFonts w:ascii="Arial" w:hAnsi="Arial" w:cs="Arial"/>
          <w:sz w:val="22"/>
          <w:szCs w:val="22"/>
        </w:rPr>
        <w:t xml:space="preserve"> baseline.</w:t>
      </w:r>
    </w:p>
    <w:p w:rsidR="00BF4AA8" w:rsidRPr="00BF4AA8" w:rsidRDefault="00BF4AA8" w:rsidP="00BF4AA8">
      <w:pPr>
        <w:adjustRightInd w:val="0"/>
        <w:snapToGrid w:val="0"/>
        <w:spacing w:before="240"/>
        <w:rPr>
          <w:rStyle w:val="Strong"/>
          <w:rFonts w:ascii="Arial" w:hAnsi="Arial" w:cs="Arial"/>
          <w:color w:val="0070C0"/>
          <w:sz w:val="22"/>
          <w:szCs w:val="22"/>
        </w:rPr>
      </w:pPr>
      <w:r w:rsidRPr="00BF4AA8">
        <w:rPr>
          <w:rStyle w:val="Strong"/>
          <w:rFonts w:ascii="Arial" w:hAnsi="Arial" w:cs="Arial"/>
          <w:b w:val="0"/>
          <w:bCs w:val="0"/>
          <w:color w:val="0070C0"/>
          <w:sz w:val="22"/>
          <w:szCs w:val="22"/>
        </w:rPr>
        <w:t>Socioeconomic and fisheries datasets</w:t>
      </w:r>
    </w:p>
    <w:p w:rsidR="00BF4AA8" w:rsidRPr="00BF4AA8" w:rsidRDefault="00BF4AA8" w:rsidP="00BF4AA8">
      <w:pPr>
        <w:pStyle w:val="NormalWeb"/>
        <w:numPr>
          <w:ilvl w:val="0"/>
          <w:numId w:val="49"/>
        </w:numPr>
        <w:jc w:val="both"/>
        <w:rPr>
          <w:rFonts w:ascii="Arial" w:hAnsi="Arial" w:cs="Arial"/>
          <w:sz w:val="22"/>
          <w:szCs w:val="22"/>
        </w:rPr>
      </w:pPr>
      <w:proofErr w:type="spellStart"/>
      <w:r w:rsidRPr="00BF4AA8">
        <w:rPr>
          <w:rFonts w:ascii="Arial" w:hAnsi="Arial" w:cs="Arial"/>
          <w:sz w:val="22"/>
          <w:szCs w:val="22"/>
        </w:rPr>
        <w:t>FiA</w:t>
      </w:r>
      <w:proofErr w:type="spellEnd"/>
      <w:r w:rsidRPr="00BF4AA8">
        <w:rPr>
          <w:rFonts w:ascii="Arial" w:hAnsi="Arial" w:cs="Arial"/>
          <w:sz w:val="22"/>
          <w:szCs w:val="22"/>
        </w:rPr>
        <w:t xml:space="preserve"> datasets were cross-checked with reconstructed catch series from </w:t>
      </w:r>
      <w:r w:rsidRPr="00BF4AA8">
        <w:rPr>
          <w:rStyle w:val="Strong"/>
          <w:rFonts w:ascii="Arial" w:hAnsi="Arial" w:cs="Arial"/>
          <w:sz w:val="22"/>
          <w:szCs w:val="22"/>
        </w:rPr>
        <w:t>Sea Around Us (SAU)</w:t>
      </w:r>
      <w:r w:rsidRPr="00BF4AA8">
        <w:rPr>
          <w:rFonts w:ascii="Arial" w:hAnsi="Arial" w:cs="Arial"/>
          <w:sz w:val="22"/>
          <w:szCs w:val="22"/>
        </w:rPr>
        <w:t xml:space="preserve"> for consistency.</w:t>
      </w:r>
    </w:p>
    <w:p w:rsidR="00BF4AA8" w:rsidRPr="00BF4AA8" w:rsidRDefault="00BF4AA8" w:rsidP="00BF4AA8">
      <w:pPr>
        <w:pStyle w:val="NormalWeb"/>
        <w:numPr>
          <w:ilvl w:val="0"/>
          <w:numId w:val="49"/>
        </w:numPr>
        <w:jc w:val="both"/>
        <w:rPr>
          <w:rFonts w:ascii="Arial" w:hAnsi="Arial" w:cs="Arial"/>
          <w:sz w:val="22"/>
          <w:szCs w:val="22"/>
        </w:rPr>
      </w:pPr>
      <w:r w:rsidRPr="00BF4AA8">
        <w:rPr>
          <w:rFonts w:ascii="Arial" w:hAnsi="Arial" w:cs="Arial"/>
          <w:sz w:val="22"/>
          <w:szCs w:val="22"/>
        </w:rPr>
        <w:t xml:space="preserve">Poverty data use </w:t>
      </w:r>
      <w:proofErr w:type="spellStart"/>
      <w:r w:rsidRPr="00BF4AA8">
        <w:rPr>
          <w:rStyle w:val="Strong"/>
          <w:rFonts w:ascii="Arial" w:hAnsi="Arial" w:cs="Arial"/>
          <w:sz w:val="22"/>
          <w:szCs w:val="22"/>
        </w:rPr>
        <w:t>IDPoor</w:t>
      </w:r>
      <w:proofErr w:type="spellEnd"/>
      <w:r w:rsidRPr="00BF4AA8">
        <w:rPr>
          <w:rStyle w:val="Strong"/>
          <w:rFonts w:ascii="Arial" w:hAnsi="Arial" w:cs="Arial"/>
          <w:sz w:val="22"/>
          <w:szCs w:val="22"/>
        </w:rPr>
        <w:t xml:space="preserve"> (</w:t>
      </w:r>
      <w:proofErr w:type="spellStart"/>
      <w:r w:rsidRPr="00BF4AA8">
        <w:rPr>
          <w:rStyle w:val="Strong"/>
          <w:rFonts w:ascii="Arial" w:hAnsi="Arial" w:cs="Arial"/>
          <w:sz w:val="22"/>
          <w:szCs w:val="22"/>
        </w:rPr>
        <w:t>MoP</w:t>
      </w:r>
      <w:proofErr w:type="spellEnd"/>
      <w:r w:rsidRPr="00BF4AA8">
        <w:rPr>
          <w:rStyle w:val="Strong"/>
          <w:rFonts w:ascii="Arial" w:hAnsi="Arial" w:cs="Arial"/>
          <w:sz w:val="22"/>
          <w:szCs w:val="22"/>
        </w:rPr>
        <w:t>)</w:t>
      </w:r>
      <w:r w:rsidRPr="00BF4AA8">
        <w:rPr>
          <w:rFonts w:ascii="Arial" w:hAnsi="Arial" w:cs="Arial"/>
          <w:sz w:val="22"/>
          <w:szCs w:val="22"/>
        </w:rPr>
        <w:t xml:space="preserve"> and </w:t>
      </w:r>
      <w:r w:rsidRPr="00BF4AA8">
        <w:rPr>
          <w:rStyle w:val="Strong"/>
          <w:rFonts w:ascii="Arial" w:hAnsi="Arial" w:cs="Arial"/>
          <w:sz w:val="22"/>
          <w:szCs w:val="22"/>
        </w:rPr>
        <w:t>UNDP SHDI/IHDI</w:t>
      </w:r>
      <w:r w:rsidRPr="00BF4AA8">
        <w:rPr>
          <w:rFonts w:ascii="Arial" w:hAnsi="Arial" w:cs="Arial"/>
          <w:sz w:val="22"/>
          <w:szCs w:val="22"/>
        </w:rPr>
        <w:t xml:space="preserve"> for comparative vulnerability scoring.</w:t>
      </w:r>
    </w:p>
    <w:p w:rsidR="00BF4AA8" w:rsidRPr="00BF4AA8" w:rsidRDefault="00BF4AA8" w:rsidP="00BF4AA8">
      <w:pPr>
        <w:pStyle w:val="NormalWeb"/>
        <w:numPr>
          <w:ilvl w:val="0"/>
          <w:numId w:val="49"/>
        </w:numPr>
        <w:jc w:val="both"/>
        <w:rPr>
          <w:rFonts w:ascii="Arial" w:hAnsi="Arial" w:cs="Arial"/>
          <w:sz w:val="22"/>
          <w:szCs w:val="22"/>
        </w:rPr>
      </w:pPr>
      <w:r w:rsidRPr="00BF4AA8">
        <w:rPr>
          <w:rFonts w:ascii="Arial" w:hAnsi="Arial" w:cs="Arial"/>
          <w:sz w:val="22"/>
          <w:szCs w:val="22"/>
        </w:rPr>
        <w:t xml:space="preserve">CPUE was </w:t>
      </w:r>
      <w:proofErr w:type="spellStart"/>
      <w:r w:rsidRPr="00BF4AA8">
        <w:rPr>
          <w:rFonts w:ascii="Arial" w:hAnsi="Arial" w:cs="Arial"/>
          <w:sz w:val="22"/>
          <w:szCs w:val="22"/>
        </w:rPr>
        <w:t>normalised</w:t>
      </w:r>
      <w:proofErr w:type="spellEnd"/>
      <w:r w:rsidRPr="00BF4AA8">
        <w:rPr>
          <w:rFonts w:ascii="Arial" w:hAnsi="Arial" w:cs="Arial"/>
          <w:sz w:val="22"/>
          <w:szCs w:val="22"/>
        </w:rPr>
        <w:t xml:space="preserve"> where gear-effort reporting changed over time.</w:t>
      </w:r>
    </w:p>
    <w:p w:rsidR="00BF4AA8" w:rsidRPr="00BF4AA8" w:rsidRDefault="00BF4AA8" w:rsidP="00BF4AA8">
      <w:pPr>
        <w:keepNext/>
        <w:adjustRightInd w:val="0"/>
        <w:snapToGrid w:val="0"/>
        <w:spacing w:before="240" w:after="120"/>
        <w:rPr>
          <w:rStyle w:val="Strong"/>
          <w:rFonts w:ascii="Arial" w:hAnsi="Arial" w:cs="Arial"/>
          <w:sz w:val="22"/>
          <w:szCs w:val="22"/>
        </w:rPr>
      </w:pPr>
      <w:r w:rsidRPr="00BF4AA8">
        <w:rPr>
          <w:rStyle w:val="Strong"/>
          <w:rFonts w:ascii="Arial" w:hAnsi="Arial" w:cs="Arial"/>
          <w:sz w:val="22"/>
          <w:szCs w:val="22"/>
        </w:rPr>
        <w:t>3. Notes on Alignment with Regional TDA–SAP Process</w:t>
      </w:r>
    </w:p>
    <w:p w:rsidR="00BF4AA8" w:rsidRPr="00BF4AA8" w:rsidRDefault="00BF4AA8" w:rsidP="00BF4AA8">
      <w:pPr>
        <w:adjustRightInd w:val="0"/>
        <w:snapToGrid w:val="0"/>
        <w:spacing w:before="240"/>
        <w:rPr>
          <w:rStyle w:val="Strong"/>
          <w:rFonts w:ascii="Arial" w:hAnsi="Arial" w:cs="Arial"/>
          <w:color w:val="0070C0"/>
          <w:sz w:val="22"/>
          <w:szCs w:val="22"/>
        </w:rPr>
      </w:pPr>
      <w:r w:rsidRPr="00BF4AA8">
        <w:rPr>
          <w:rStyle w:val="Strong"/>
          <w:rFonts w:ascii="Arial" w:hAnsi="Arial" w:cs="Arial"/>
          <w:b w:val="0"/>
          <w:bCs w:val="0"/>
          <w:color w:val="0070C0"/>
          <w:sz w:val="22"/>
          <w:szCs w:val="22"/>
        </w:rPr>
        <w:t>Alignment of indicator sets</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All indicators used in Chapter 1 correspond to the </w:t>
      </w:r>
      <w:r w:rsidRPr="00BF4AA8">
        <w:rPr>
          <w:rStyle w:val="Strong"/>
          <w:rFonts w:ascii="Arial" w:hAnsi="Arial" w:cs="Arial"/>
          <w:sz w:val="22"/>
          <w:szCs w:val="22"/>
        </w:rPr>
        <w:t>four regional SCS–SAP component groups</w:t>
      </w:r>
      <w:r w:rsidRPr="00BF4AA8">
        <w:rPr>
          <w:rFonts w:ascii="Arial" w:hAnsi="Arial" w:cs="Arial"/>
          <w:sz w:val="22"/>
          <w:szCs w:val="22"/>
        </w:rPr>
        <w:t>:</w:t>
      </w:r>
    </w:p>
    <w:p w:rsidR="00BF4AA8" w:rsidRPr="00BF4AA8" w:rsidRDefault="00BF4AA8" w:rsidP="00BF4AA8">
      <w:pPr>
        <w:pStyle w:val="NormalWeb"/>
        <w:numPr>
          <w:ilvl w:val="0"/>
          <w:numId w:val="50"/>
        </w:numPr>
        <w:jc w:val="both"/>
        <w:rPr>
          <w:rFonts w:ascii="Arial" w:hAnsi="Arial" w:cs="Arial"/>
          <w:sz w:val="22"/>
          <w:szCs w:val="22"/>
        </w:rPr>
      </w:pPr>
      <w:r w:rsidRPr="00BF4AA8">
        <w:rPr>
          <w:rFonts w:ascii="Arial" w:hAnsi="Arial" w:cs="Arial"/>
          <w:sz w:val="22"/>
          <w:szCs w:val="22"/>
        </w:rPr>
        <w:t>Pollution</w:t>
      </w:r>
    </w:p>
    <w:p w:rsidR="00BF4AA8" w:rsidRPr="00BF4AA8" w:rsidRDefault="00BF4AA8" w:rsidP="00BF4AA8">
      <w:pPr>
        <w:pStyle w:val="NormalWeb"/>
        <w:numPr>
          <w:ilvl w:val="0"/>
          <w:numId w:val="50"/>
        </w:numPr>
        <w:jc w:val="both"/>
        <w:rPr>
          <w:rFonts w:ascii="Arial" w:hAnsi="Arial" w:cs="Arial"/>
          <w:sz w:val="22"/>
          <w:szCs w:val="22"/>
        </w:rPr>
      </w:pPr>
      <w:r w:rsidRPr="00BF4AA8">
        <w:rPr>
          <w:rFonts w:ascii="Arial" w:hAnsi="Arial" w:cs="Arial"/>
          <w:sz w:val="22"/>
          <w:szCs w:val="22"/>
        </w:rPr>
        <w:t>Habitats &amp; Biodiversity</w:t>
      </w:r>
    </w:p>
    <w:p w:rsidR="00BF4AA8" w:rsidRPr="00BF4AA8" w:rsidRDefault="00BF4AA8" w:rsidP="00BF4AA8">
      <w:pPr>
        <w:pStyle w:val="NormalWeb"/>
        <w:numPr>
          <w:ilvl w:val="0"/>
          <w:numId w:val="50"/>
        </w:numPr>
        <w:jc w:val="both"/>
        <w:rPr>
          <w:rFonts w:ascii="Arial" w:hAnsi="Arial" w:cs="Arial"/>
          <w:sz w:val="22"/>
          <w:szCs w:val="22"/>
        </w:rPr>
      </w:pPr>
      <w:r w:rsidRPr="00BF4AA8">
        <w:rPr>
          <w:rFonts w:ascii="Arial" w:hAnsi="Arial" w:cs="Arial"/>
          <w:sz w:val="22"/>
          <w:szCs w:val="22"/>
        </w:rPr>
        <w:t>Fisheries</w:t>
      </w:r>
    </w:p>
    <w:p w:rsidR="00BF4AA8" w:rsidRPr="00BF4AA8" w:rsidRDefault="00BF4AA8" w:rsidP="00BF4AA8">
      <w:pPr>
        <w:pStyle w:val="NormalWeb"/>
        <w:numPr>
          <w:ilvl w:val="0"/>
          <w:numId w:val="50"/>
        </w:numPr>
        <w:jc w:val="both"/>
        <w:rPr>
          <w:rFonts w:ascii="Arial" w:hAnsi="Arial" w:cs="Arial"/>
          <w:sz w:val="22"/>
          <w:szCs w:val="22"/>
        </w:rPr>
      </w:pPr>
      <w:r w:rsidRPr="00BF4AA8">
        <w:rPr>
          <w:rFonts w:ascii="Arial" w:hAnsi="Arial" w:cs="Arial"/>
          <w:sz w:val="22"/>
          <w:szCs w:val="22"/>
        </w:rPr>
        <w:t>Governance</w:t>
      </w:r>
    </w:p>
    <w:p w:rsidR="00BF4AA8" w:rsidRPr="00BF4AA8" w:rsidRDefault="00BF4AA8" w:rsidP="00BF4AA8">
      <w:pPr>
        <w:adjustRightInd w:val="0"/>
        <w:snapToGrid w:val="0"/>
        <w:spacing w:before="240"/>
        <w:rPr>
          <w:rStyle w:val="Strong"/>
          <w:rFonts w:ascii="Arial" w:hAnsi="Arial" w:cs="Arial"/>
          <w:color w:val="0070C0"/>
          <w:sz w:val="22"/>
          <w:szCs w:val="22"/>
        </w:rPr>
      </w:pPr>
      <w:r w:rsidRPr="00BF4AA8">
        <w:rPr>
          <w:rStyle w:val="Strong"/>
          <w:rFonts w:ascii="Arial" w:hAnsi="Arial" w:cs="Arial"/>
          <w:b w:val="0"/>
          <w:bCs w:val="0"/>
          <w:color w:val="0070C0"/>
          <w:sz w:val="22"/>
          <w:szCs w:val="22"/>
        </w:rPr>
        <w:t>Consistency with regional transboundary hotspots</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Cambodia’s national-level risk hotspots correspond directly with </w:t>
      </w:r>
      <w:r w:rsidRPr="00BF4AA8">
        <w:rPr>
          <w:rStyle w:val="Strong"/>
          <w:rFonts w:ascii="Arial" w:hAnsi="Arial" w:cs="Arial"/>
          <w:sz w:val="22"/>
          <w:szCs w:val="22"/>
        </w:rPr>
        <w:t>priority transboundary areas identified in the original SCS–SAP and its 2020 update</w:t>
      </w:r>
      <w:r w:rsidRPr="00BF4AA8">
        <w:rPr>
          <w:rFonts w:ascii="Arial" w:hAnsi="Arial" w:cs="Arial"/>
          <w:sz w:val="22"/>
          <w:szCs w:val="22"/>
        </w:rPr>
        <w:t>:</w:t>
      </w:r>
    </w:p>
    <w:p w:rsidR="00BF4AA8" w:rsidRPr="00BF4AA8" w:rsidRDefault="00BF4AA8" w:rsidP="00BF4AA8">
      <w:pPr>
        <w:pStyle w:val="NormalWeb"/>
        <w:numPr>
          <w:ilvl w:val="0"/>
          <w:numId w:val="51"/>
        </w:numPr>
        <w:jc w:val="both"/>
        <w:rPr>
          <w:rFonts w:ascii="Arial" w:hAnsi="Arial" w:cs="Arial"/>
          <w:sz w:val="22"/>
          <w:szCs w:val="22"/>
        </w:rPr>
      </w:pPr>
      <w:r w:rsidRPr="00BF4AA8">
        <w:rPr>
          <w:rStyle w:val="Strong"/>
          <w:rFonts w:ascii="Arial" w:hAnsi="Arial" w:cs="Arial"/>
          <w:sz w:val="22"/>
          <w:szCs w:val="22"/>
        </w:rPr>
        <w:t>Koh Kong–Trat mangrove complex</w:t>
      </w:r>
      <w:r w:rsidRPr="00BF4AA8">
        <w:rPr>
          <w:rFonts w:ascii="Arial" w:hAnsi="Arial" w:cs="Arial"/>
          <w:sz w:val="22"/>
          <w:szCs w:val="22"/>
        </w:rPr>
        <w:t xml:space="preserve"> (Cambodia–Thailand)</w:t>
      </w:r>
    </w:p>
    <w:p w:rsidR="00BF4AA8" w:rsidRPr="00BF4AA8" w:rsidRDefault="00BF4AA8" w:rsidP="00BF4AA8">
      <w:pPr>
        <w:pStyle w:val="NormalWeb"/>
        <w:numPr>
          <w:ilvl w:val="0"/>
          <w:numId w:val="51"/>
        </w:numPr>
        <w:jc w:val="both"/>
        <w:rPr>
          <w:rFonts w:ascii="Arial" w:hAnsi="Arial" w:cs="Arial"/>
          <w:sz w:val="22"/>
          <w:szCs w:val="22"/>
        </w:rPr>
      </w:pPr>
      <w:proofErr w:type="spellStart"/>
      <w:r w:rsidRPr="00BF4AA8">
        <w:rPr>
          <w:rStyle w:val="Strong"/>
          <w:rFonts w:ascii="Arial" w:hAnsi="Arial" w:cs="Arial"/>
          <w:sz w:val="22"/>
          <w:szCs w:val="22"/>
        </w:rPr>
        <w:t>Kampot</w:t>
      </w:r>
      <w:proofErr w:type="spellEnd"/>
      <w:r w:rsidRPr="00BF4AA8">
        <w:rPr>
          <w:rStyle w:val="Strong"/>
          <w:rFonts w:ascii="Arial" w:hAnsi="Arial" w:cs="Arial"/>
          <w:sz w:val="22"/>
          <w:szCs w:val="22"/>
        </w:rPr>
        <w:t>–</w:t>
      </w:r>
      <w:proofErr w:type="spellStart"/>
      <w:r w:rsidRPr="00BF4AA8">
        <w:rPr>
          <w:rStyle w:val="Strong"/>
          <w:rFonts w:ascii="Arial" w:hAnsi="Arial" w:cs="Arial"/>
          <w:sz w:val="22"/>
          <w:szCs w:val="22"/>
        </w:rPr>
        <w:t>Kep</w:t>
      </w:r>
      <w:proofErr w:type="spellEnd"/>
      <w:r w:rsidRPr="00BF4AA8">
        <w:rPr>
          <w:rStyle w:val="Strong"/>
          <w:rFonts w:ascii="Arial" w:hAnsi="Arial" w:cs="Arial"/>
          <w:sz w:val="22"/>
          <w:szCs w:val="22"/>
        </w:rPr>
        <w:t>–Ha Tien seagrass corridor</w:t>
      </w:r>
      <w:r w:rsidRPr="00BF4AA8">
        <w:rPr>
          <w:rFonts w:ascii="Arial" w:hAnsi="Arial" w:cs="Arial"/>
          <w:sz w:val="22"/>
          <w:szCs w:val="22"/>
        </w:rPr>
        <w:t xml:space="preserve"> (Cambodia–Viet Nam)</w:t>
      </w:r>
    </w:p>
    <w:p w:rsidR="00BF4AA8" w:rsidRPr="00BF4AA8" w:rsidRDefault="00BF4AA8" w:rsidP="00BF4AA8">
      <w:pPr>
        <w:pStyle w:val="NormalWeb"/>
        <w:numPr>
          <w:ilvl w:val="0"/>
          <w:numId w:val="51"/>
        </w:numPr>
        <w:jc w:val="both"/>
        <w:rPr>
          <w:rFonts w:ascii="Arial" w:hAnsi="Arial" w:cs="Arial"/>
          <w:sz w:val="22"/>
          <w:szCs w:val="22"/>
        </w:rPr>
      </w:pPr>
      <w:r w:rsidRPr="00BF4AA8">
        <w:rPr>
          <w:rStyle w:val="Strong"/>
          <w:rFonts w:ascii="Arial" w:hAnsi="Arial" w:cs="Arial"/>
          <w:sz w:val="22"/>
          <w:szCs w:val="22"/>
        </w:rPr>
        <w:t>Sihanoukville–</w:t>
      </w:r>
      <w:proofErr w:type="spellStart"/>
      <w:r w:rsidRPr="00BF4AA8">
        <w:rPr>
          <w:rStyle w:val="Strong"/>
          <w:rFonts w:ascii="Arial" w:hAnsi="Arial" w:cs="Arial"/>
          <w:sz w:val="22"/>
          <w:szCs w:val="22"/>
        </w:rPr>
        <w:t>Phu</w:t>
      </w:r>
      <w:proofErr w:type="spellEnd"/>
      <w:r w:rsidRPr="00BF4AA8">
        <w:rPr>
          <w:rStyle w:val="Strong"/>
          <w:rFonts w:ascii="Arial" w:hAnsi="Arial" w:cs="Arial"/>
          <w:sz w:val="22"/>
          <w:szCs w:val="22"/>
        </w:rPr>
        <w:t xml:space="preserve"> Quoc development corridor</w:t>
      </w:r>
      <w:r w:rsidRPr="00BF4AA8">
        <w:rPr>
          <w:rFonts w:ascii="Arial" w:hAnsi="Arial" w:cs="Arial"/>
          <w:sz w:val="22"/>
          <w:szCs w:val="22"/>
        </w:rPr>
        <w:t xml:space="preserve"> (Cambodia–Viet Nam)</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These areas show strong ecological connectivity, shared fisheries stocks, and cross-border pollution/marine debris movement.</w:t>
      </w:r>
    </w:p>
    <w:p w:rsidR="00BF4AA8" w:rsidRPr="00BF4AA8" w:rsidRDefault="00BF4AA8" w:rsidP="00BF4AA8">
      <w:pPr>
        <w:adjustRightInd w:val="0"/>
        <w:snapToGrid w:val="0"/>
        <w:spacing w:before="240"/>
        <w:rPr>
          <w:rStyle w:val="Strong"/>
          <w:rFonts w:ascii="Arial" w:hAnsi="Arial" w:cs="Arial"/>
          <w:color w:val="0070C0"/>
          <w:sz w:val="22"/>
          <w:szCs w:val="22"/>
        </w:rPr>
      </w:pPr>
      <w:r w:rsidRPr="00BF4AA8">
        <w:rPr>
          <w:rStyle w:val="Strong"/>
          <w:rFonts w:ascii="Arial" w:hAnsi="Arial" w:cs="Arial"/>
          <w:b w:val="0"/>
          <w:bCs w:val="0"/>
          <w:color w:val="0070C0"/>
          <w:sz w:val="22"/>
          <w:szCs w:val="22"/>
        </w:rPr>
        <w:t>Governance criteria alignment</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The governance assessment applies the </w:t>
      </w:r>
      <w:r w:rsidRPr="00BF4AA8">
        <w:rPr>
          <w:rStyle w:val="Strong"/>
          <w:rFonts w:ascii="Arial" w:hAnsi="Arial" w:cs="Arial"/>
          <w:sz w:val="22"/>
          <w:szCs w:val="22"/>
        </w:rPr>
        <w:t>SAP governance criteria</w:t>
      </w:r>
      <w:r w:rsidRPr="00BF4AA8">
        <w:rPr>
          <w:rFonts w:ascii="Arial" w:hAnsi="Arial" w:cs="Arial"/>
          <w:sz w:val="22"/>
          <w:szCs w:val="22"/>
        </w:rPr>
        <w:t>:</w:t>
      </w:r>
    </w:p>
    <w:p w:rsidR="00BF4AA8" w:rsidRPr="00BF4AA8" w:rsidRDefault="00BF4AA8" w:rsidP="00BF4AA8">
      <w:pPr>
        <w:pStyle w:val="NormalWeb"/>
        <w:numPr>
          <w:ilvl w:val="0"/>
          <w:numId w:val="52"/>
        </w:numPr>
        <w:jc w:val="both"/>
        <w:rPr>
          <w:rFonts w:ascii="Arial" w:hAnsi="Arial" w:cs="Arial"/>
          <w:sz w:val="22"/>
          <w:szCs w:val="22"/>
        </w:rPr>
      </w:pPr>
      <w:r w:rsidRPr="00BF4AA8">
        <w:rPr>
          <w:rStyle w:val="Emphasis"/>
          <w:rFonts w:ascii="Arial" w:hAnsi="Arial" w:cs="Arial"/>
          <w:sz w:val="22"/>
          <w:szCs w:val="22"/>
        </w:rPr>
        <w:t>Clarity</w:t>
      </w:r>
      <w:r w:rsidRPr="00BF4AA8">
        <w:rPr>
          <w:rFonts w:ascii="Arial" w:hAnsi="Arial" w:cs="Arial"/>
          <w:sz w:val="22"/>
          <w:szCs w:val="22"/>
        </w:rPr>
        <w:t xml:space="preserve"> of mandates</w:t>
      </w:r>
    </w:p>
    <w:p w:rsidR="00BF4AA8" w:rsidRPr="00BF4AA8" w:rsidRDefault="00BF4AA8" w:rsidP="00BF4AA8">
      <w:pPr>
        <w:pStyle w:val="NormalWeb"/>
        <w:numPr>
          <w:ilvl w:val="0"/>
          <w:numId w:val="52"/>
        </w:numPr>
        <w:jc w:val="both"/>
        <w:rPr>
          <w:rFonts w:ascii="Arial" w:hAnsi="Arial" w:cs="Arial"/>
          <w:sz w:val="22"/>
          <w:szCs w:val="22"/>
        </w:rPr>
      </w:pPr>
      <w:r w:rsidRPr="00BF4AA8">
        <w:rPr>
          <w:rStyle w:val="Emphasis"/>
          <w:rFonts w:ascii="Arial" w:hAnsi="Arial" w:cs="Arial"/>
          <w:sz w:val="22"/>
          <w:szCs w:val="22"/>
        </w:rPr>
        <w:t>Coherence</w:t>
      </w:r>
      <w:r w:rsidRPr="00BF4AA8">
        <w:rPr>
          <w:rFonts w:ascii="Arial" w:hAnsi="Arial" w:cs="Arial"/>
          <w:sz w:val="22"/>
          <w:szCs w:val="22"/>
        </w:rPr>
        <w:t xml:space="preserve"> across institutions</w:t>
      </w:r>
    </w:p>
    <w:p w:rsidR="00BF4AA8" w:rsidRPr="00BF4AA8" w:rsidRDefault="00BF4AA8" w:rsidP="00BF4AA8">
      <w:pPr>
        <w:pStyle w:val="NormalWeb"/>
        <w:numPr>
          <w:ilvl w:val="0"/>
          <w:numId w:val="52"/>
        </w:numPr>
        <w:jc w:val="both"/>
        <w:rPr>
          <w:rFonts w:ascii="Arial" w:hAnsi="Arial" w:cs="Arial"/>
          <w:sz w:val="22"/>
          <w:szCs w:val="22"/>
        </w:rPr>
      </w:pPr>
      <w:r w:rsidRPr="00BF4AA8">
        <w:rPr>
          <w:rStyle w:val="Emphasis"/>
          <w:rFonts w:ascii="Arial" w:hAnsi="Arial" w:cs="Arial"/>
          <w:sz w:val="22"/>
          <w:szCs w:val="22"/>
        </w:rPr>
        <w:t>Capacity</w:t>
      </w:r>
      <w:r w:rsidRPr="00BF4AA8">
        <w:rPr>
          <w:rFonts w:ascii="Arial" w:hAnsi="Arial" w:cs="Arial"/>
          <w:sz w:val="22"/>
          <w:szCs w:val="22"/>
        </w:rPr>
        <w:t xml:space="preserve"> for implementation</w:t>
      </w:r>
    </w:p>
    <w:p w:rsidR="00BF4AA8" w:rsidRPr="00BF4AA8" w:rsidRDefault="00BF4AA8" w:rsidP="00BF4AA8">
      <w:pPr>
        <w:pStyle w:val="NormalWeb"/>
        <w:numPr>
          <w:ilvl w:val="0"/>
          <w:numId w:val="52"/>
        </w:numPr>
        <w:jc w:val="both"/>
        <w:rPr>
          <w:rFonts w:ascii="Arial" w:hAnsi="Arial" w:cs="Arial"/>
          <w:sz w:val="22"/>
          <w:szCs w:val="22"/>
        </w:rPr>
      </w:pPr>
      <w:r w:rsidRPr="00BF4AA8">
        <w:rPr>
          <w:rStyle w:val="Emphasis"/>
          <w:rFonts w:ascii="Arial" w:hAnsi="Arial" w:cs="Arial"/>
          <w:sz w:val="22"/>
          <w:szCs w:val="22"/>
        </w:rPr>
        <w:t>Compliance</w:t>
      </w:r>
      <w:r w:rsidRPr="00BF4AA8">
        <w:rPr>
          <w:rFonts w:ascii="Arial" w:hAnsi="Arial" w:cs="Arial"/>
          <w:sz w:val="22"/>
          <w:szCs w:val="22"/>
        </w:rPr>
        <w:t xml:space="preserve"> and enforcement</w:t>
      </w:r>
    </w:p>
    <w:p w:rsidR="00BF4AA8" w:rsidRPr="00BF4AA8" w:rsidRDefault="00BF4AA8" w:rsidP="00BF4AA8">
      <w:pPr>
        <w:pStyle w:val="NormalWeb"/>
        <w:numPr>
          <w:ilvl w:val="0"/>
          <w:numId w:val="52"/>
        </w:numPr>
        <w:jc w:val="both"/>
        <w:rPr>
          <w:rFonts w:ascii="Arial" w:hAnsi="Arial" w:cs="Arial"/>
          <w:sz w:val="22"/>
          <w:szCs w:val="22"/>
        </w:rPr>
      </w:pPr>
      <w:r w:rsidRPr="00BF4AA8">
        <w:rPr>
          <w:rStyle w:val="Emphasis"/>
          <w:rFonts w:ascii="Arial" w:hAnsi="Arial" w:cs="Arial"/>
          <w:sz w:val="22"/>
          <w:szCs w:val="22"/>
        </w:rPr>
        <w:t>Coordination</w:t>
      </w:r>
      <w:r w:rsidRPr="00BF4AA8">
        <w:rPr>
          <w:rFonts w:ascii="Arial" w:hAnsi="Arial" w:cs="Arial"/>
          <w:sz w:val="22"/>
          <w:szCs w:val="22"/>
        </w:rPr>
        <w:t xml:space="preserve"> between agencies and local authorities</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These criteria guide the identification of governance gaps and priority reforms.</w:t>
      </w:r>
    </w:p>
    <w:p w:rsidR="00BF4AA8" w:rsidRPr="00BF4AA8" w:rsidRDefault="00BF4AA8" w:rsidP="00BF4AA8">
      <w:pPr>
        <w:keepNext/>
        <w:adjustRightInd w:val="0"/>
        <w:snapToGrid w:val="0"/>
        <w:spacing w:before="240" w:after="120"/>
        <w:rPr>
          <w:rStyle w:val="Strong"/>
          <w:rFonts w:ascii="Arial" w:hAnsi="Arial" w:cs="Arial"/>
          <w:sz w:val="22"/>
          <w:szCs w:val="22"/>
        </w:rPr>
      </w:pPr>
      <w:r w:rsidRPr="00BF4AA8">
        <w:rPr>
          <w:rStyle w:val="Strong"/>
          <w:rFonts w:ascii="Arial" w:hAnsi="Arial" w:cs="Arial"/>
          <w:sz w:val="22"/>
          <w:szCs w:val="22"/>
        </w:rPr>
        <w:t>4. Notes on Causal Chain Analysis (CCA)</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CCA in Chapter 1 follows standard UNEP/GEF TDA guidance: establishing relationships from </w:t>
      </w:r>
      <w:r w:rsidRPr="00BF4AA8">
        <w:rPr>
          <w:rStyle w:val="Emphasis"/>
          <w:rFonts w:ascii="Arial" w:hAnsi="Arial" w:cs="Arial"/>
          <w:sz w:val="22"/>
          <w:szCs w:val="22"/>
        </w:rPr>
        <w:t>root causes → drivers → pressures → state change → impacts → governance responses</w:t>
      </w:r>
      <w:r w:rsidRPr="00BF4AA8">
        <w:rPr>
          <w:rFonts w:ascii="Arial" w:hAnsi="Arial" w:cs="Arial"/>
          <w:sz w:val="22"/>
          <w:szCs w:val="22"/>
        </w:rPr>
        <w:t>.</w:t>
      </w:r>
    </w:p>
    <w:p w:rsidR="00BF4AA8" w:rsidRPr="00BF4AA8" w:rsidRDefault="00BF4AA8" w:rsidP="00BF4AA8">
      <w:pPr>
        <w:adjustRightInd w:val="0"/>
        <w:snapToGrid w:val="0"/>
        <w:spacing w:before="240"/>
        <w:rPr>
          <w:rStyle w:val="Strong"/>
          <w:rFonts w:ascii="Arial" w:hAnsi="Arial" w:cs="Arial"/>
          <w:i/>
          <w:iCs/>
          <w:color w:val="0070C0"/>
          <w:sz w:val="22"/>
          <w:szCs w:val="22"/>
        </w:rPr>
      </w:pPr>
      <w:r w:rsidRPr="00BF4AA8">
        <w:rPr>
          <w:rStyle w:val="Strong"/>
          <w:rFonts w:ascii="Arial" w:hAnsi="Arial" w:cs="Arial"/>
          <w:b w:val="0"/>
          <w:bCs w:val="0"/>
          <w:i/>
          <w:iCs/>
          <w:color w:val="0070C0"/>
          <w:sz w:val="22"/>
          <w:szCs w:val="22"/>
        </w:rPr>
        <w:t>Pollution CCA</w:t>
      </w:r>
    </w:p>
    <w:p w:rsidR="00BF4AA8" w:rsidRPr="00BF4AA8" w:rsidRDefault="00BF4AA8" w:rsidP="00BF4AA8">
      <w:pPr>
        <w:pStyle w:val="NormalWeb"/>
        <w:numPr>
          <w:ilvl w:val="0"/>
          <w:numId w:val="53"/>
        </w:numPr>
        <w:jc w:val="both"/>
        <w:rPr>
          <w:rFonts w:ascii="Arial" w:hAnsi="Arial" w:cs="Arial"/>
          <w:sz w:val="22"/>
          <w:szCs w:val="22"/>
        </w:rPr>
      </w:pPr>
      <w:r w:rsidRPr="00BF4AA8">
        <w:rPr>
          <w:rStyle w:val="Strong"/>
          <w:rFonts w:ascii="Arial" w:hAnsi="Arial" w:cs="Arial"/>
          <w:sz w:val="22"/>
          <w:szCs w:val="22"/>
        </w:rPr>
        <w:t>Root causes:</w:t>
      </w:r>
      <w:r w:rsidRPr="00BF4AA8">
        <w:rPr>
          <w:rFonts w:ascii="Arial" w:hAnsi="Arial" w:cs="Arial"/>
          <w:sz w:val="22"/>
          <w:szCs w:val="22"/>
        </w:rPr>
        <w:t xml:space="preserve"> weak wastewater and industrial oversight; rapid </w:t>
      </w:r>
      <w:proofErr w:type="spellStart"/>
      <w:r w:rsidRPr="00BF4AA8">
        <w:rPr>
          <w:rFonts w:ascii="Arial" w:hAnsi="Arial" w:cs="Arial"/>
          <w:sz w:val="22"/>
          <w:szCs w:val="22"/>
        </w:rPr>
        <w:t>urbanisation</w:t>
      </w:r>
      <w:proofErr w:type="spellEnd"/>
      <w:r w:rsidRPr="00BF4AA8">
        <w:rPr>
          <w:rFonts w:ascii="Arial" w:hAnsi="Arial" w:cs="Arial"/>
          <w:sz w:val="22"/>
          <w:szCs w:val="22"/>
        </w:rPr>
        <w:t>; insufficient financing; lack of monitoring.</w:t>
      </w:r>
    </w:p>
    <w:p w:rsidR="00BF4AA8" w:rsidRPr="00BF4AA8" w:rsidRDefault="00BF4AA8" w:rsidP="00BF4AA8">
      <w:pPr>
        <w:pStyle w:val="NormalWeb"/>
        <w:numPr>
          <w:ilvl w:val="0"/>
          <w:numId w:val="53"/>
        </w:numPr>
        <w:jc w:val="both"/>
        <w:rPr>
          <w:rFonts w:ascii="Arial" w:hAnsi="Arial" w:cs="Arial"/>
          <w:sz w:val="22"/>
          <w:szCs w:val="22"/>
        </w:rPr>
      </w:pPr>
      <w:r w:rsidRPr="00BF4AA8">
        <w:rPr>
          <w:rStyle w:val="Strong"/>
          <w:rFonts w:ascii="Arial" w:hAnsi="Arial" w:cs="Arial"/>
          <w:sz w:val="22"/>
          <w:szCs w:val="22"/>
        </w:rPr>
        <w:t>Drivers:</w:t>
      </w:r>
      <w:r w:rsidRPr="00BF4AA8">
        <w:rPr>
          <w:rFonts w:ascii="Arial" w:hAnsi="Arial" w:cs="Arial"/>
          <w:sz w:val="22"/>
          <w:szCs w:val="22"/>
        </w:rPr>
        <w:t xml:space="preserve"> SEZ expansion, tourism, population growth, urban development.</w:t>
      </w:r>
    </w:p>
    <w:p w:rsidR="00BF4AA8" w:rsidRPr="00BF4AA8" w:rsidRDefault="00BF4AA8" w:rsidP="00BF4AA8">
      <w:pPr>
        <w:pStyle w:val="NormalWeb"/>
        <w:numPr>
          <w:ilvl w:val="0"/>
          <w:numId w:val="53"/>
        </w:numPr>
        <w:jc w:val="both"/>
        <w:rPr>
          <w:rFonts w:ascii="Arial" w:hAnsi="Arial" w:cs="Arial"/>
          <w:sz w:val="22"/>
          <w:szCs w:val="22"/>
        </w:rPr>
      </w:pPr>
      <w:r w:rsidRPr="00BF4AA8">
        <w:rPr>
          <w:rStyle w:val="Strong"/>
          <w:rFonts w:ascii="Arial" w:hAnsi="Arial" w:cs="Arial"/>
          <w:sz w:val="22"/>
          <w:szCs w:val="22"/>
        </w:rPr>
        <w:t>Pressures:</w:t>
      </w:r>
      <w:r w:rsidRPr="00BF4AA8">
        <w:rPr>
          <w:rFonts w:ascii="Arial" w:hAnsi="Arial" w:cs="Arial"/>
          <w:sz w:val="22"/>
          <w:szCs w:val="22"/>
        </w:rPr>
        <w:t xml:space="preserve"> untreated sewage, industrial effluent, solid waste leakage, agricultural runoff.</w:t>
      </w:r>
    </w:p>
    <w:p w:rsidR="00BF4AA8" w:rsidRPr="00BF4AA8" w:rsidRDefault="00BF4AA8" w:rsidP="00BF4AA8">
      <w:pPr>
        <w:pStyle w:val="NormalWeb"/>
        <w:numPr>
          <w:ilvl w:val="0"/>
          <w:numId w:val="53"/>
        </w:numPr>
        <w:jc w:val="both"/>
        <w:rPr>
          <w:rFonts w:ascii="Arial" w:hAnsi="Arial" w:cs="Arial"/>
          <w:sz w:val="22"/>
          <w:szCs w:val="22"/>
        </w:rPr>
      </w:pPr>
      <w:r w:rsidRPr="00BF4AA8">
        <w:rPr>
          <w:rStyle w:val="Strong"/>
          <w:rFonts w:ascii="Arial" w:hAnsi="Arial" w:cs="Arial"/>
          <w:sz w:val="22"/>
          <w:szCs w:val="22"/>
        </w:rPr>
        <w:t>State changes:</w:t>
      </w:r>
      <w:r w:rsidRPr="00BF4AA8">
        <w:rPr>
          <w:rFonts w:ascii="Arial" w:hAnsi="Arial" w:cs="Arial"/>
          <w:sz w:val="22"/>
          <w:szCs w:val="22"/>
        </w:rPr>
        <w:t xml:space="preserve"> elevated FC, TN/TP, metals, TSS; algal blooms; habitat stress.</w:t>
      </w:r>
    </w:p>
    <w:p w:rsidR="00BF4AA8" w:rsidRPr="00BF4AA8" w:rsidRDefault="00BF4AA8" w:rsidP="00BF4AA8">
      <w:pPr>
        <w:pStyle w:val="NormalWeb"/>
        <w:numPr>
          <w:ilvl w:val="0"/>
          <w:numId w:val="53"/>
        </w:numPr>
        <w:jc w:val="both"/>
        <w:rPr>
          <w:rFonts w:ascii="Arial" w:hAnsi="Arial" w:cs="Arial"/>
          <w:sz w:val="22"/>
          <w:szCs w:val="22"/>
        </w:rPr>
      </w:pPr>
      <w:r w:rsidRPr="00BF4AA8">
        <w:rPr>
          <w:rStyle w:val="Strong"/>
          <w:rFonts w:ascii="Arial" w:hAnsi="Arial" w:cs="Arial"/>
          <w:sz w:val="22"/>
          <w:szCs w:val="22"/>
        </w:rPr>
        <w:t>Impacts:</w:t>
      </w:r>
      <w:r w:rsidRPr="00BF4AA8">
        <w:rPr>
          <w:rFonts w:ascii="Arial" w:hAnsi="Arial" w:cs="Arial"/>
          <w:sz w:val="22"/>
          <w:szCs w:val="22"/>
        </w:rPr>
        <w:t xml:space="preserve"> reduced fisheries productivity, ecosystem degradation, public-health risks.</w:t>
      </w:r>
    </w:p>
    <w:p w:rsidR="00BF4AA8" w:rsidRPr="00BF4AA8" w:rsidRDefault="00BF4AA8" w:rsidP="00BF4AA8">
      <w:pPr>
        <w:pStyle w:val="NormalWeb"/>
        <w:numPr>
          <w:ilvl w:val="0"/>
          <w:numId w:val="53"/>
        </w:numPr>
        <w:jc w:val="both"/>
        <w:rPr>
          <w:rFonts w:ascii="Arial" w:hAnsi="Arial" w:cs="Arial"/>
          <w:sz w:val="22"/>
          <w:szCs w:val="22"/>
        </w:rPr>
      </w:pPr>
      <w:r w:rsidRPr="00BF4AA8">
        <w:rPr>
          <w:rStyle w:val="Strong"/>
          <w:rFonts w:ascii="Arial" w:hAnsi="Arial" w:cs="Arial"/>
          <w:sz w:val="22"/>
          <w:szCs w:val="22"/>
        </w:rPr>
        <w:t>Responses:</w:t>
      </w:r>
      <w:r w:rsidRPr="00BF4AA8">
        <w:rPr>
          <w:rFonts w:ascii="Arial" w:hAnsi="Arial" w:cs="Arial"/>
          <w:sz w:val="22"/>
          <w:szCs w:val="22"/>
        </w:rPr>
        <w:t xml:space="preserve"> wastewater investment, standards enforcement, coastal zoning.</w:t>
      </w:r>
    </w:p>
    <w:p w:rsidR="00BF4AA8" w:rsidRPr="00BF4AA8" w:rsidRDefault="00BF4AA8" w:rsidP="00BF4AA8">
      <w:pPr>
        <w:adjustRightInd w:val="0"/>
        <w:snapToGrid w:val="0"/>
        <w:spacing w:before="240"/>
        <w:rPr>
          <w:rStyle w:val="Strong"/>
          <w:rFonts w:ascii="Arial" w:hAnsi="Arial" w:cs="Arial"/>
          <w:i/>
          <w:iCs/>
          <w:color w:val="0070C0"/>
          <w:sz w:val="22"/>
          <w:szCs w:val="22"/>
        </w:rPr>
      </w:pPr>
      <w:r w:rsidRPr="00BF4AA8">
        <w:rPr>
          <w:rStyle w:val="Strong"/>
          <w:rFonts w:ascii="Arial" w:hAnsi="Arial" w:cs="Arial"/>
          <w:b w:val="0"/>
          <w:bCs w:val="0"/>
          <w:i/>
          <w:iCs/>
          <w:color w:val="0070C0"/>
          <w:sz w:val="22"/>
          <w:szCs w:val="22"/>
        </w:rPr>
        <w:t>Fisheries CCA</w:t>
      </w:r>
    </w:p>
    <w:p w:rsidR="00BF4AA8" w:rsidRPr="00BF4AA8" w:rsidRDefault="00BF4AA8" w:rsidP="00BF4AA8">
      <w:pPr>
        <w:pStyle w:val="NormalWeb"/>
        <w:numPr>
          <w:ilvl w:val="0"/>
          <w:numId w:val="54"/>
        </w:numPr>
        <w:jc w:val="both"/>
        <w:rPr>
          <w:rFonts w:ascii="Arial" w:hAnsi="Arial" w:cs="Arial"/>
          <w:sz w:val="22"/>
          <w:szCs w:val="22"/>
        </w:rPr>
      </w:pPr>
      <w:r w:rsidRPr="00BF4AA8">
        <w:rPr>
          <w:rStyle w:val="Strong"/>
          <w:rFonts w:ascii="Arial" w:hAnsi="Arial" w:cs="Arial"/>
          <w:sz w:val="22"/>
          <w:szCs w:val="22"/>
        </w:rPr>
        <w:t>Root causes:</w:t>
      </w:r>
      <w:r w:rsidRPr="00BF4AA8">
        <w:rPr>
          <w:rFonts w:ascii="Arial" w:hAnsi="Arial" w:cs="Arial"/>
          <w:sz w:val="22"/>
          <w:szCs w:val="22"/>
        </w:rPr>
        <w:t xml:space="preserve"> open access; limited patrol budgets; inadequate licensing/effort control.</w:t>
      </w:r>
    </w:p>
    <w:p w:rsidR="00BF4AA8" w:rsidRPr="00BF4AA8" w:rsidRDefault="00BF4AA8" w:rsidP="00BF4AA8">
      <w:pPr>
        <w:pStyle w:val="NormalWeb"/>
        <w:numPr>
          <w:ilvl w:val="0"/>
          <w:numId w:val="54"/>
        </w:numPr>
        <w:jc w:val="both"/>
        <w:rPr>
          <w:rFonts w:ascii="Arial" w:hAnsi="Arial" w:cs="Arial"/>
          <w:sz w:val="22"/>
          <w:szCs w:val="22"/>
        </w:rPr>
      </w:pPr>
      <w:r w:rsidRPr="00BF4AA8">
        <w:rPr>
          <w:rStyle w:val="Strong"/>
          <w:rFonts w:ascii="Arial" w:hAnsi="Arial" w:cs="Arial"/>
          <w:sz w:val="22"/>
          <w:szCs w:val="22"/>
        </w:rPr>
        <w:t>Drivers:</w:t>
      </w:r>
      <w:r w:rsidRPr="00BF4AA8">
        <w:rPr>
          <w:rFonts w:ascii="Arial" w:hAnsi="Arial" w:cs="Arial"/>
          <w:sz w:val="22"/>
          <w:szCs w:val="22"/>
        </w:rPr>
        <w:t xml:space="preserve"> market demand, poverty, urban fish consumption, export.</w:t>
      </w:r>
    </w:p>
    <w:p w:rsidR="00BF4AA8" w:rsidRPr="00BF4AA8" w:rsidRDefault="00BF4AA8" w:rsidP="00BF4AA8">
      <w:pPr>
        <w:pStyle w:val="NormalWeb"/>
        <w:numPr>
          <w:ilvl w:val="0"/>
          <w:numId w:val="54"/>
        </w:numPr>
        <w:jc w:val="both"/>
        <w:rPr>
          <w:rFonts w:ascii="Arial" w:hAnsi="Arial" w:cs="Arial"/>
          <w:sz w:val="22"/>
          <w:szCs w:val="22"/>
        </w:rPr>
      </w:pPr>
      <w:r w:rsidRPr="00BF4AA8">
        <w:rPr>
          <w:rStyle w:val="Strong"/>
          <w:rFonts w:ascii="Arial" w:hAnsi="Arial" w:cs="Arial"/>
          <w:sz w:val="22"/>
          <w:szCs w:val="22"/>
        </w:rPr>
        <w:t>Pressures:</w:t>
      </w:r>
      <w:r w:rsidRPr="00BF4AA8">
        <w:rPr>
          <w:rFonts w:ascii="Arial" w:hAnsi="Arial" w:cs="Arial"/>
          <w:sz w:val="22"/>
          <w:szCs w:val="22"/>
        </w:rPr>
        <w:t xml:space="preserve"> destructive gears, excessive trawling, illegal fishing.</w:t>
      </w:r>
    </w:p>
    <w:p w:rsidR="00BF4AA8" w:rsidRPr="00BF4AA8" w:rsidRDefault="00BF4AA8" w:rsidP="00BF4AA8">
      <w:pPr>
        <w:pStyle w:val="NormalWeb"/>
        <w:numPr>
          <w:ilvl w:val="0"/>
          <w:numId w:val="54"/>
        </w:numPr>
        <w:jc w:val="both"/>
        <w:rPr>
          <w:rFonts w:ascii="Arial" w:hAnsi="Arial" w:cs="Arial"/>
          <w:sz w:val="22"/>
          <w:szCs w:val="22"/>
        </w:rPr>
      </w:pPr>
      <w:r w:rsidRPr="00BF4AA8">
        <w:rPr>
          <w:rStyle w:val="Strong"/>
          <w:rFonts w:ascii="Arial" w:hAnsi="Arial" w:cs="Arial"/>
          <w:sz w:val="22"/>
          <w:szCs w:val="22"/>
        </w:rPr>
        <w:t>State changes:</w:t>
      </w:r>
      <w:r w:rsidRPr="00BF4AA8">
        <w:rPr>
          <w:rFonts w:ascii="Arial" w:hAnsi="Arial" w:cs="Arial"/>
          <w:sz w:val="22"/>
          <w:szCs w:val="22"/>
        </w:rPr>
        <w:t xml:space="preserve"> declining CPUE, trophic shift, habitat damage.</w:t>
      </w:r>
    </w:p>
    <w:p w:rsidR="00BF4AA8" w:rsidRPr="00BF4AA8" w:rsidRDefault="00BF4AA8" w:rsidP="00BF4AA8">
      <w:pPr>
        <w:pStyle w:val="NormalWeb"/>
        <w:numPr>
          <w:ilvl w:val="0"/>
          <w:numId w:val="54"/>
        </w:numPr>
        <w:jc w:val="both"/>
        <w:rPr>
          <w:rFonts w:ascii="Arial" w:hAnsi="Arial" w:cs="Arial"/>
          <w:sz w:val="22"/>
          <w:szCs w:val="22"/>
        </w:rPr>
      </w:pPr>
      <w:r w:rsidRPr="00BF4AA8">
        <w:rPr>
          <w:rStyle w:val="Strong"/>
          <w:rFonts w:ascii="Arial" w:hAnsi="Arial" w:cs="Arial"/>
          <w:sz w:val="22"/>
          <w:szCs w:val="22"/>
        </w:rPr>
        <w:t>Impacts:</w:t>
      </w:r>
      <w:r w:rsidRPr="00BF4AA8">
        <w:rPr>
          <w:rFonts w:ascii="Arial" w:hAnsi="Arial" w:cs="Arial"/>
          <w:sz w:val="22"/>
          <w:szCs w:val="22"/>
        </w:rPr>
        <w:t xml:space="preserve"> reduced livelihoods, food security risks.</w:t>
      </w:r>
    </w:p>
    <w:p w:rsidR="00BF4AA8" w:rsidRPr="00BF4AA8" w:rsidRDefault="00BF4AA8" w:rsidP="00BF4AA8">
      <w:pPr>
        <w:pStyle w:val="NormalWeb"/>
        <w:numPr>
          <w:ilvl w:val="0"/>
          <w:numId w:val="54"/>
        </w:numPr>
        <w:jc w:val="both"/>
        <w:rPr>
          <w:rFonts w:ascii="Arial" w:hAnsi="Arial" w:cs="Arial"/>
          <w:sz w:val="22"/>
          <w:szCs w:val="22"/>
        </w:rPr>
      </w:pPr>
      <w:r w:rsidRPr="00BF4AA8">
        <w:rPr>
          <w:rStyle w:val="Strong"/>
          <w:rFonts w:ascii="Arial" w:hAnsi="Arial" w:cs="Arial"/>
          <w:sz w:val="22"/>
          <w:szCs w:val="22"/>
        </w:rPr>
        <w:t>Responses:</w:t>
      </w:r>
      <w:r w:rsidRPr="00BF4AA8">
        <w:rPr>
          <w:rFonts w:ascii="Arial" w:hAnsi="Arial" w:cs="Arial"/>
          <w:sz w:val="22"/>
          <w:szCs w:val="22"/>
        </w:rPr>
        <w:t xml:space="preserve"> MFMA, MPA expansion, patrol strengthening, value-chain reforms.</w:t>
      </w:r>
    </w:p>
    <w:p w:rsidR="00BF4AA8" w:rsidRPr="00BF4AA8" w:rsidRDefault="00BF4AA8" w:rsidP="00BF4AA8">
      <w:pPr>
        <w:adjustRightInd w:val="0"/>
        <w:snapToGrid w:val="0"/>
        <w:spacing w:before="240"/>
        <w:rPr>
          <w:rStyle w:val="Strong"/>
          <w:rFonts w:ascii="Arial" w:hAnsi="Arial" w:cs="Arial"/>
          <w:i/>
          <w:iCs/>
          <w:color w:val="0070C0"/>
          <w:sz w:val="22"/>
          <w:szCs w:val="22"/>
        </w:rPr>
      </w:pPr>
      <w:r w:rsidRPr="00BF4AA8">
        <w:rPr>
          <w:rStyle w:val="Strong"/>
          <w:rFonts w:ascii="Arial" w:hAnsi="Arial" w:cs="Arial"/>
          <w:b w:val="0"/>
          <w:bCs w:val="0"/>
          <w:i/>
          <w:iCs/>
          <w:color w:val="0070C0"/>
          <w:sz w:val="22"/>
          <w:szCs w:val="22"/>
        </w:rPr>
        <w:t>Climate CCA</w:t>
      </w:r>
    </w:p>
    <w:p w:rsidR="00BF4AA8" w:rsidRPr="00BF4AA8" w:rsidRDefault="00BF4AA8" w:rsidP="00BF4AA8">
      <w:pPr>
        <w:pStyle w:val="NormalWeb"/>
        <w:numPr>
          <w:ilvl w:val="0"/>
          <w:numId w:val="55"/>
        </w:numPr>
        <w:jc w:val="both"/>
        <w:rPr>
          <w:rFonts w:ascii="Arial" w:hAnsi="Arial" w:cs="Arial"/>
          <w:sz w:val="22"/>
          <w:szCs w:val="22"/>
        </w:rPr>
      </w:pPr>
      <w:r w:rsidRPr="00BF4AA8">
        <w:rPr>
          <w:rStyle w:val="Strong"/>
          <w:rFonts w:ascii="Arial" w:hAnsi="Arial" w:cs="Arial"/>
          <w:sz w:val="22"/>
          <w:szCs w:val="22"/>
        </w:rPr>
        <w:t>Root causes:</w:t>
      </w:r>
      <w:r w:rsidRPr="00BF4AA8">
        <w:rPr>
          <w:rFonts w:ascii="Arial" w:hAnsi="Arial" w:cs="Arial"/>
          <w:sz w:val="22"/>
          <w:szCs w:val="22"/>
        </w:rPr>
        <w:t xml:space="preserve"> global greenhouse-gas emissions; ENSO amplification.</w:t>
      </w:r>
    </w:p>
    <w:p w:rsidR="00BF4AA8" w:rsidRPr="00BF4AA8" w:rsidRDefault="00BF4AA8" w:rsidP="00BF4AA8">
      <w:pPr>
        <w:pStyle w:val="NormalWeb"/>
        <w:numPr>
          <w:ilvl w:val="0"/>
          <w:numId w:val="55"/>
        </w:numPr>
        <w:jc w:val="both"/>
        <w:rPr>
          <w:rFonts w:ascii="Arial" w:hAnsi="Arial" w:cs="Arial"/>
          <w:sz w:val="22"/>
          <w:szCs w:val="22"/>
        </w:rPr>
      </w:pPr>
      <w:r w:rsidRPr="00BF4AA8">
        <w:rPr>
          <w:rStyle w:val="Strong"/>
          <w:rFonts w:ascii="Arial" w:hAnsi="Arial" w:cs="Arial"/>
          <w:sz w:val="22"/>
          <w:szCs w:val="22"/>
        </w:rPr>
        <w:t>Drivers:</w:t>
      </w:r>
      <w:r w:rsidRPr="00BF4AA8">
        <w:rPr>
          <w:rFonts w:ascii="Arial" w:hAnsi="Arial" w:cs="Arial"/>
          <w:sz w:val="22"/>
          <w:szCs w:val="22"/>
        </w:rPr>
        <w:t xml:space="preserve"> coastal land-use changes, urbanization, loss of buffers.</w:t>
      </w:r>
    </w:p>
    <w:p w:rsidR="00BF4AA8" w:rsidRPr="00BF4AA8" w:rsidRDefault="00BF4AA8" w:rsidP="00BF4AA8">
      <w:pPr>
        <w:pStyle w:val="NormalWeb"/>
        <w:numPr>
          <w:ilvl w:val="0"/>
          <w:numId w:val="55"/>
        </w:numPr>
        <w:jc w:val="both"/>
        <w:rPr>
          <w:rFonts w:ascii="Arial" w:hAnsi="Arial" w:cs="Arial"/>
          <w:sz w:val="22"/>
          <w:szCs w:val="22"/>
        </w:rPr>
      </w:pPr>
      <w:r w:rsidRPr="00BF4AA8">
        <w:rPr>
          <w:rStyle w:val="Strong"/>
          <w:rFonts w:ascii="Arial" w:hAnsi="Arial" w:cs="Arial"/>
          <w:sz w:val="22"/>
          <w:szCs w:val="22"/>
        </w:rPr>
        <w:t>Pressures:</w:t>
      </w:r>
      <w:r w:rsidRPr="00BF4AA8">
        <w:rPr>
          <w:rFonts w:ascii="Arial" w:hAnsi="Arial" w:cs="Arial"/>
          <w:sz w:val="22"/>
          <w:szCs w:val="22"/>
        </w:rPr>
        <w:t xml:space="preserve"> SLR, storm surges, extreme temperatures, hydrological extremes.</w:t>
      </w:r>
    </w:p>
    <w:p w:rsidR="00BF4AA8" w:rsidRPr="00BF4AA8" w:rsidRDefault="00BF4AA8" w:rsidP="00BF4AA8">
      <w:pPr>
        <w:pStyle w:val="NormalWeb"/>
        <w:numPr>
          <w:ilvl w:val="0"/>
          <w:numId w:val="55"/>
        </w:numPr>
        <w:jc w:val="both"/>
        <w:rPr>
          <w:rFonts w:ascii="Arial" w:hAnsi="Arial" w:cs="Arial"/>
          <w:sz w:val="22"/>
          <w:szCs w:val="22"/>
        </w:rPr>
      </w:pPr>
      <w:r w:rsidRPr="00BF4AA8">
        <w:rPr>
          <w:rStyle w:val="Strong"/>
          <w:rFonts w:ascii="Arial" w:hAnsi="Arial" w:cs="Arial"/>
          <w:sz w:val="22"/>
          <w:szCs w:val="22"/>
        </w:rPr>
        <w:t>State changes:</w:t>
      </w:r>
      <w:r w:rsidRPr="00BF4AA8">
        <w:rPr>
          <w:rFonts w:ascii="Arial" w:hAnsi="Arial" w:cs="Arial"/>
          <w:sz w:val="22"/>
          <w:szCs w:val="22"/>
        </w:rPr>
        <w:t xml:space="preserve"> salinity intrusion, coral bleaching, drought, extreme flooding.</w:t>
      </w:r>
    </w:p>
    <w:p w:rsidR="00BF4AA8" w:rsidRPr="00BF4AA8" w:rsidRDefault="00BF4AA8" w:rsidP="00BF4AA8">
      <w:pPr>
        <w:pStyle w:val="NormalWeb"/>
        <w:numPr>
          <w:ilvl w:val="0"/>
          <w:numId w:val="55"/>
        </w:numPr>
        <w:jc w:val="both"/>
        <w:rPr>
          <w:rFonts w:ascii="Arial" w:hAnsi="Arial" w:cs="Arial"/>
          <w:sz w:val="22"/>
          <w:szCs w:val="22"/>
        </w:rPr>
      </w:pPr>
      <w:r w:rsidRPr="00BF4AA8">
        <w:rPr>
          <w:rStyle w:val="Strong"/>
          <w:rFonts w:ascii="Arial" w:hAnsi="Arial" w:cs="Arial"/>
          <w:sz w:val="22"/>
          <w:szCs w:val="22"/>
        </w:rPr>
        <w:t>Impacts:</w:t>
      </w:r>
      <w:r w:rsidRPr="00BF4AA8">
        <w:rPr>
          <w:rFonts w:ascii="Arial" w:hAnsi="Arial" w:cs="Arial"/>
          <w:sz w:val="22"/>
          <w:szCs w:val="22"/>
        </w:rPr>
        <w:t xml:space="preserve"> infrastructure damage, loss of agricultural productivity, ecosystem stress.</w:t>
      </w:r>
    </w:p>
    <w:p w:rsidR="00BF4AA8" w:rsidRPr="00BF4AA8" w:rsidRDefault="00BF4AA8" w:rsidP="00BF4AA8">
      <w:pPr>
        <w:pStyle w:val="NormalWeb"/>
        <w:numPr>
          <w:ilvl w:val="0"/>
          <w:numId w:val="55"/>
        </w:numPr>
        <w:jc w:val="both"/>
        <w:rPr>
          <w:rFonts w:ascii="Arial" w:hAnsi="Arial" w:cs="Arial"/>
          <w:sz w:val="22"/>
          <w:szCs w:val="22"/>
        </w:rPr>
      </w:pPr>
      <w:r w:rsidRPr="00BF4AA8">
        <w:rPr>
          <w:rStyle w:val="Strong"/>
          <w:rFonts w:ascii="Arial" w:hAnsi="Arial" w:cs="Arial"/>
          <w:sz w:val="22"/>
          <w:szCs w:val="22"/>
        </w:rPr>
        <w:t>Responses:</w:t>
      </w:r>
      <w:r w:rsidRPr="00BF4AA8">
        <w:rPr>
          <w:rFonts w:ascii="Arial" w:hAnsi="Arial" w:cs="Arial"/>
          <w:sz w:val="22"/>
          <w:szCs w:val="22"/>
        </w:rPr>
        <w:t xml:space="preserve"> adaptation planning, climate-resilient infrastructure, EWS, buffer restoration.</w:t>
      </w:r>
    </w:p>
    <w:p w:rsidR="00BF4AA8" w:rsidRPr="00BF4AA8" w:rsidRDefault="00BF4AA8" w:rsidP="00BF4AA8">
      <w:pPr>
        <w:keepNext/>
        <w:adjustRightInd w:val="0"/>
        <w:snapToGrid w:val="0"/>
        <w:spacing w:before="240" w:after="120"/>
        <w:rPr>
          <w:rStyle w:val="Strong"/>
          <w:rFonts w:ascii="Arial" w:hAnsi="Arial" w:cs="Arial"/>
          <w:sz w:val="22"/>
          <w:szCs w:val="22"/>
        </w:rPr>
      </w:pPr>
      <w:r w:rsidRPr="00BF4AA8">
        <w:rPr>
          <w:rStyle w:val="Strong"/>
          <w:rFonts w:ascii="Arial" w:hAnsi="Arial" w:cs="Arial"/>
          <w:sz w:val="22"/>
          <w:szCs w:val="22"/>
        </w:rPr>
        <w:t>5. Cross-Cutting Themes</w:t>
      </w:r>
    </w:p>
    <w:p w:rsidR="00BF4AA8" w:rsidRPr="00BF4AA8" w:rsidRDefault="00BF4AA8" w:rsidP="00BF4AA8">
      <w:pPr>
        <w:adjustRightInd w:val="0"/>
        <w:snapToGrid w:val="0"/>
        <w:spacing w:before="240"/>
        <w:rPr>
          <w:rStyle w:val="Strong"/>
          <w:rFonts w:ascii="Arial" w:hAnsi="Arial" w:cs="Arial"/>
          <w:i/>
          <w:iCs/>
          <w:color w:val="0070C0"/>
          <w:sz w:val="22"/>
          <w:szCs w:val="22"/>
        </w:rPr>
      </w:pPr>
      <w:r w:rsidRPr="00BF4AA8">
        <w:rPr>
          <w:rStyle w:val="Strong"/>
          <w:rFonts w:ascii="Arial" w:hAnsi="Arial" w:cs="Arial"/>
          <w:b w:val="0"/>
          <w:bCs w:val="0"/>
          <w:i/>
          <w:iCs/>
          <w:color w:val="0070C0"/>
          <w:sz w:val="22"/>
          <w:szCs w:val="22"/>
        </w:rPr>
        <w:t>5.1 Blue Carbon</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Mangroves and seagrass systems play a critical role in </w:t>
      </w:r>
      <w:r w:rsidRPr="00BF4AA8">
        <w:rPr>
          <w:rStyle w:val="Strong"/>
          <w:rFonts w:ascii="Arial" w:hAnsi="Arial" w:cs="Arial"/>
          <w:sz w:val="22"/>
          <w:szCs w:val="22"/>
        </w:rPr>
        <w:t>carbon sequestration</w:t>
      </w:r>
      <w:r w:rsidRPr="00BF4AA8">
        <w:rPr>
          <w:rFonts w:ascii="Arial" w:hAnsi="Arial" w:cs="Arial"/>
          <w:sz w:val="22"/>
          <w:szCs w:val="22"/>
        </w:rPr>
        <w:t xml:space="preserve">, coastal </w:t>
      </w:r>
      <w:proofErr w:type="gramStart"/>
      <w:r w:rsidRPr="00BF4AA8">
        <w:rPr>
          <w:rFonts w:ascii="Arial" w:hAnsi="Arial" w:cs="Arial"/>
          <w:sz w:val="22"/>
          <w:szCs w:val="22"/>
        </w:rPr>
        <w:t>protection</w:t>
      </w:r>
      <w:proofErr w:type="gramEnd"/>
      <w:r w:rsidRPr="00BF4AA8">
        <w:rPr>
          <w:rFonts w:ascii="Arial" w:hAnsi="Arial" w:cs="Arial"/>
          <w:sz w:val="22"/>
          <w:szCs w:val="22"/>
        </w:rPr>
        <w:t xml:space="preserve"> and climate adaptation.</w:t>
      </w:r>
    </w:p>
    <w:p w:rsidR="00BF4AA8" w:rsidRPr="00BF4AA8" w:rsidRDefault="00BF4AA8" w:rsidP="00BF4AA8">
      <w:pPr>
        <w:pStyle w:val="NormalWeb"/>
        <w:numPr>
          <w:ilvl w:val="0"/>
          <w:numId w:val="56"/>
        </w:numPr>
        <w:jc w:val="both"/>
        <w:rPr>
          <w:rFonts w:ascii="Arial" w:hAnsi="Arial" w:cs="Arial"/>
          <w:sz w:val="22"/>
          <w:szCs w:val="22"/>
        </w:rPr>
      </w:pPr>
      <w:r w:rsidRPr="00BF4AA8">
        <w:rPr>
          <w:rFonts w:ascii="Arial" w:hAnsi="Arial" w:cs="Arial"/>
          <w:sz w:val="22"/>
          <w:szCs w:val="22"/>
        </w:rPr>
        <w:t xml:space="preserve">Mangroves store </w:t>
      </w:r>
      <w:r w:rsidRPr="00BF4AA8">
        <w:rPr>
          <w:rStyle w:val="Strong"/>
          <w:rFonts w:ascii="Arial" w:hAnsi="Arial" w:cs="Arial"/>
          <w:sz w:val="22"/>
          <w:szCs w:val="22"/>
        </w:rPr>
        <w:t>4–10 times more carbon</w:t>
      </w:r>
      <w:r w:rsidRPr="00BF4AA8">
        <w:rPr>
          <w:rFonts w:ascii="Arial" w:hAnsi="Arial" w:cs="Arial"/>
          <w:sz w:val="22"/>
          <w:szCs w:val="22"/>
        </w:rPr>
        <w:t xml:space="preserve"> per hectare than upland forests.</w:t>
      </w:r>
    </w:p>
    <w:p w:rsidR="00BF4AA8" w:rsidRPr="00BF4AA8" w:rsidRDefault="00BF4AA8" w:rsidP="00BF4AA8">
      <w:pPr>
        <w:pStyle w:val="NormalWeb"/>
        <w:numPr>
          <w:ilvl w:val="0"/>
          <w:numId w:val="56"/>
        </w:numPr>
        <w:jc w:val="both"/>
        <w:rPr>
          <w:rFonts w:ascii="Arial" w:hAnsi="Arial" w:cs="Arial"/>
          <w:sz w:val="22"/>
          <w:szCs w:val="22"/>
        </w:rPr>
      </w:pPr>
      <w:r w:rsidRPr="00BF4AA8">
        <w:rPr>
          <w:rFonts w:ascii="Arial" w:hAnsi="Arial" w:cs="Arial"/>
          <w:sz w:val="22"/>
          <w:szCs w:val="22"/>
        </w:rPr>
        <w:t xml:space="preserve">Seagrass meadows </w:t>
      </w:r>
      <w:proofErr w:type="spellStart"/>
      <w:r w:rsidRPr="00BF4AA8">
        <w:rPr>
          <w:rFonts w:ascii="Arial" w:hAnsi="Arial" w:cs="Arial"/>
          <w:sz w:val="22"/>
          <w:szCs w:val="22"/>
        </w:rPr>
        <w:t>stabilise</w:t>
      </w:r>
      <w:proofErr w:type="spellEnd"/>
      <w:r w:rsidRPr="00BF4AA8">
        <w:rPr>
          <w:rFonts w:ascii="Arial" w:hAnsi="Arial" w:cs="Arial"/>
          <w:sz w:val="22"/>
          <w:szCs w:val="22"/>
        </w:rPr>
        <w:t xml:space="preserve"> sediments, absorb nutrients and support marine megafauna (dugongs, turtles).</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These systems are </w:t>
      </w:r>
      <w:proofErr w:type="spellStart"/>
      <w:r w:rsidRPr="00BF4AA8">
        <w:rPr>
          <w:rFonts w:ascii="Arial" w:hAnsi="Arial" w:cs="Arial"/>
          <w:sz w:val="22"/>
          <w:szCs w:val="22"/>
        </w:rPr>
        <w:t>emphasised</w:t>
      </w:r>
      <w:proofErr w:type="spellEnd"/>
      <w:r w:rsidRPr="00BF4AA8">
        <w:rPr>
          <w:rFonts w:ascii="Arial" w:hAnsi="Arial" w:cs="Arial"/>
          <w:sz w:val="22"/>
          <w:szCs w:val="22"/>
        </w:rPr>
        <w:t xml:space="preserve"> in national climate strategies and the Kunming–Montreal Global Biodiversity Framework (30x30).</w:t>
      </w:r>
    </w:p>
    <w:p w:rsidR="00BF4AA8" w:rsidRPr="00BF4AA8" w:rsidRDefault="00BF4AA8" w:rsidP="00BF4AA8">
      <w:pPr>
        <w:adjustRightInd w:val="0"/>
        <w:snapToGrid w:val="0"/>
        <w:spacing w:before="240"/>
        <w:rPr>
          <w:rStyle w:val="Strong"/>
          <w:rFonts w:ascii="Arial" w:hAnsi="Arial" w:cs="Arial"/>
          <w:i/>
          <w:iCs/>
          <w:color w:val="0070C0"/>
          <w:sz w:val="22"/>
          <w:szCs w:val="22"/>
        </w:rPr>
      </w:pPr>
      <w:r w:rsidRPr="00BF4AA8">
        <w:rPr>
          <w:rStyle w:val="Strong"/>
          <w:rFonts w:ascii="Arial" w:hAnsi="Arial" w:cs="Arial"/>
          <w:b w:val="0"/>
          <w:bCs w:val="0"/>
          <w:i/>
          <w:iCs/>
          <w:color w:val="0070C0"/>
          <w:sz w:val="22"/>
          <w:szCs w:val="22"/>
        </w:rPr>
        <w:t>5.2 Gender and Livelihoods</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Gender analysis highlights:</w:t>
      </w:r>
    </w:p>
    <w:p w:rsidR="00BF4AA8" w:rsidRPr="00BF4AA8" w:rsidRDefault="00BF4AA8" w:rsidP="00BF4AA8">
      <w:pPr>
        <w:pStyle w:val="NormalWeb"/>
        <w:numPr>
          <w:ilvl w:val="0"/>
          <w:numId w:val="57"/>
        </w:numPr>
        <w:jc w:val="both"/>
        <w:rPr>
          <w:rFonts w:ascii="Arial" w:hAnsi="Arial" w:cs="Arial"/>
          <w:sz w:val="22"/>
          <w:szCs w:val="22"/>
        </w:rPr>
      </w:pPr>
      <w:r w:rsidRPr="00BF4AA8">
        <w:rPr>
          <w:rFonts w:ascii="Arial" w:hAnsi="Arial" w:cs="Arial"/>
          <w:sz w:val="22"/>
          <w:szCs w:val="22"/>
        </w:rPr>
        <w:t>Women’s roles in post-harvest processing, gleaning and small-scale aquaculture.</w:t>
      </w:r>
    </w:p>
    <w:p w:rsidR="00BF4AA8" w:rsidRPr="00BF4AA8" w:rsidRDefault="00BF4AA8" w:rsidP="00BF4AA8">
      <w:pPr>
        <w:pStyle w:val="NormalWeb"/>
        <w:numPr>
          <w:ilvl w:val="0"/>
          <w:numId w:val="57"/>
        </w:numPr>
        <w:jc w:val="both"/>
        <w:rPr>
          <w:rFonts w:ascii="Arial" w:hAnsi="Arial" w:cs="Arial"/>
          <w:sz w:val="22"/>
          <w:szCs w:val="22"/>
        </w:rPr>
      </w:pPr>
      <w:r w:rsidRPr="00BF4AA8">
        <w:rPr>
          <w:rFonts w:ascii="Arial" w:hAnsi="Arial" w:cs="Arial"/>
          <w:sz w:val="22"/>
          <w:szCs w:val="22"/>
        </w:rPr>
        <w:t>Women’s vulnerability to climate shocks and ecosystem degradation due to livelihood dependence and lower asset ownership.</w:t>
      </w:r>
    </w:p>
    <w:p w:rsidR="00BF4AA8" w:rsidRPr="00BF4AA8" w:rsidRDefault="00BF4AA8" w:rsidP="00BF4AA8">
      <w:pPr>
        <w:pStyle w:val="NormalWeb"/>
        <w:numPr>
          <w:ilvl w:val="0"/>
          <w:numId w:val="57"/>
        </w:numPr>
        <w:jc w:val="both"/>
        <w:rPr>
          <w:rFonts w:ascii="Arial" w:hAnsi="Arial" w:cs="Arial"/>
          <w:sz w:val="22"/>
          <w:szCs w:val="22"/>
        </w:rPr>
      </w:pPr>
      <w:r w:rsidRPr="00BF4AA8">
        <w:rPr>
          <w:rFonts w:ascii="Arial" w:hAnsi="Arial" w:cs="Arial"/>
          <w:sz w:val="22"/>
          <w:szCs w:val="22"/>
        </w:rPr>
        <w:t xml:space="preserve">Where data permit, gender dimensions </w:t>
      </w:r>
      <w:proofErr w:type="gramStart"/>
      <w:r w:rsidRPr="00BF4AA8">
        <w:rPr>
          <w:rFonts w:ascii="Arial" w:hAnsi="Arial" w:cs="Arial"/>
          <w:sz w:val="22"/>
          <w:szCs w:val="22"/>
        </w:rPr>
        <w:t>are incorporated</w:t>
      </w:r>
      <w:proofErr w:type="gramEnd"/>
      <w:r w:rsidRPr="00BF4AA8">
        <w:rPr>
          <w:rFonts w:ascii="Arial" w:hAnsi="Arial" w:cs="Arial"/>
          <w:sz w:val="22"/>
          <w:szCs w:val="22"/>
        </w:rPr>
        <w:t xml:space="preserve"> into vulnerability scoring.</w:t>
      </w:r>
    </w:p>
    <w:p w:rsidR="00BF4AA8" w:rsidRPr="00BF4AA8" w:rsidRDefault="00BF4AA8" w:rsidP="00BF4AA8">
      <w:pPr>
        <w:adjustRightInd w:val="0"/>
        <w:snapToGrid w:val="0"/>
        <w:spacing w:before="240"/>
        <w:rPr>
          <w:rStyle w:val="Strong"/>
          <w:rFonts w:ascii="Arial" w:hAnsi="Arial" w:cs="Arial"/>
          <w:color w:val="0070C0"/>
          <w:sz w:val="22"/>
          <w:szCs w:val="22"/>
        </w:rPr>
      </w:pPr>
      <w:r w:rsidRPr="00BF4AA8">
        <w:rPr>
          <w:rStyle w:val="Strong"/>
          <w:rFonts w:ascii="Arial" w:hAnsi="Arial" w:cs="Arial"/>
          <w:b w:val="0"/>
          <w:bCs w:val="0"/>
          <w:color w:val="0070C0"/>
          <w:sz w:val="22"/>
          <w:szCs w:val="22"/>
        </w:rPr>
        <w:t>5.3 Transboundary Linkages</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Cambodia’s coastal systems </w:t>
      </w:r>
      <w:proofErr w:type="gramStart"/>
      <w:r w:rsidRPr="00BF4AA8">
        <w:rPr>
          <w:rFonts w:ascii="Arial" w:hAnsi="Arial" w:cs="Arial"/>
          <w:sz w:val="22"/>
          <w:szCs w:val="22"/>
        </w:rPr>
        <w:t>are hydrologically and ecologically connected</w:t>
      </w:r>
      <w:proofErr w:type="gramEnd"/>
      <w:r w:rsidRPr="00BF4AA8">
        <w:rPr>
          <w:rFonts w:ascii="Arial" w:hAnsi="Arial" w:cs="Arial"/>
          <w:sz w:val="22"/>
          <w:szCs w:val="22"/>
        </w:rPr>
        <w:t xml:space="preserve"> to the wider </w:t>
      </w:r>
      <w:r w:rsidRPr="00BF4AA8">
        <w:rPr>
          <w:rStyle w:val="Strong"/>
          <w:rFonts w:ascii="Arial" w:hAnsi="Arial" w:cs="Arial"/>
          <w:sz w:val="22"/>
          <w:szCs w:val="22"/>
        </w:rPr>
        <w:t>Gulf of Thailand and Mekong Basin</w:t>
      </w:r>
      <w:r w:rsidRPr="00BF4AA8">
        <w:rPr>
          <w:rFonts w:ascii="Arial" w:hAnsi="Arial" w:cs="Arial"/>
          <w:sz w:val="22"/>
          <w:szCs w:val="22"/>
        </w:rPr>
        <w:t>:</w:t>
      </w:r>
    </w:p>
    <w:p w:rsidR="00BF4AA8" w:rsidRPr="00BF4AA8" w:rsidRDefault="00BF4AA8" w:rsidP="00BF4AA8">
      <w:pPr>
        <w:pStyle w:val="NormalWeb"/>
        <w:numPr>
          <w:ilvl w:val="0"/>
          <w:numId w:val="58"/>
        </w:numPr>
        <w:jc w:val="both"/>
        <w:rPr>
          <w:rFonts w:ascii="Arial" w:hAnsi="Arial" w:cs="Arial"/>
          <w:sz w:val="22"/>
          <w:szCs w:val="22"/>
        </w:rPr>
      </w:pPr>
      <w:r w:rsidRPr="00BF4AA8">
        <w:rPr>
          <w:rFonts w:ascii="Arial" w:hAnsi="Arial" w:cs="Arial"/>
          <w:sz w:val="22"/>
          <w:szCs w:val="22"/>
        </w:rPr>
        <w:t xml:space="preserve">Riverine discharge from the </w:t>
      </w:r>
      <w:r w:rsidRPr="00BF4AA8">
        <w:rPr>
          <w:rStyle w:val="Strong"/>
          <w:rFonts w:ascii="Arial" w:hAnsi="Arial" w:cs="Arial"/>
          <w:sz w:val="22"/>
          <w:szCs w:val="22"/>
        </w:rPr>
        <w:t>Tonle Sap–</w:t>
      </w:r>
      <w:proofErr w:type="spellStart"/>
      <w:r w:rsidRPr="00BF4AA8">
        <w:rPr>
          <w:rStyle w:val="Strong"/>
          <w:rFonts w:ascii="Arial" w:hAnsi="Arial" w:cs="Arial"/>
          <w:sz w:val="22"/>
          <w:szCs w:val="22"/>
        </w:rPr>
        <w:t>Bassac</w:t>
      </w:r>
      <w:proofErr w:type="spellEnd"/>
      <w:r w:rsidRPr="00BF4AA8">
        <w:rPr>
          <w:rStyle w:val="Strong"/>
          <w:rFonts w:ascii="Arial" w:hAnsi="Arial" w:cs="Arial"/>
          <w:sz w:val="22"/>
          <w:szCs w:val="22"/>
        </w:rPr>
        <w:t>–Mekong</w:t>
      </w:r>
      <w:r w:rsidRPr="00BF4AA8">
        <w:rPr>
          <w:rFonts w:ascii="Arial" w:hAnsi="Arial" w:cs="Arial"/>
          <w:sz w:val="22"/>
          <w:szCs w:val="22"/>
        </w:rPr>
        <w:t xml:space="preserve"> shapes nutrient and sediment regimes.</w:t>
      </w:r>
    </w:p>
    <w:p w:rsidR="00BF4AA8" w:rsidRPr="00BF4AA8" w:rsidRDefault="00BF4AA8" w:rsidP="00BF4AA8">
      <w:pPr>
        <w:pStyle w:val="NormalWeb"/>
        <w:numPr>
          <w:ilvl w:val="0"/>
          <w:numId w:val="58"/>
        </w:numPr>
        <w:jc w:val="both"/>
        <w:rPr>
          <w:rFonts w:ascii="Arial" w:hAnsi="Arial" w:cs="Arial"/>
          <w:sz w:val="22"/>
          <w:szCs w:val="22"/>
        </w:rPr>
      </w:pPr>
      <w:r w:rsidRPr="00BF4AA8">
        <w:rPr>
          <w:rFonts w:ascii="Arial" w:hAnsi="Arial" w:cs="Arial"/>
          <w:sz w:val="22"/>
          <w:szCs w:val="22"/>
        </w:rPr>
        <w:t>Seasonal currents transport marine debris, microplastics and sometimes oil slicks.</w:t>
      </w:r>
    </w:p>
    <w:p w:rsidR="00BF4AA8" w:rsidRPr="00BF4AA8" w:rsidRDefault="00BF4AA8" w:rsidP="00BF4AA8">
      <w:pPr>
        <w:pStyle w:val="NormalWeb"/>
        <w:numPr>
          <w:ilvl w:val="0"/>
          <w:numId w:val="58"/>
        </w:numPr>
        <w:jc w:val="both"/>
        <w:rPr>
          <w:rFonts w:ascii="Arial" w:hAnsi="Arial" w:cs="Arial"/>
          <w:sz w:val="22"/>
          <w:szCs w:val="22"/>
        </w:rPr>
      </w:pPr>
      <w:r w:rsidRPr="00BF4AA8">
        <w:rPr>
          <w:rFonts w:ascii="Arial" w:hAnsi="Arial" w:cs="Arial"/>
          <w:sz w:val="22"/>
          <w:szCs w:val="22"/>
        </w:rPr>
        <w:t xml:space="preserve">Shared fisheries stocks (anchovies, small </w:t>
      </w:r>
      <w:proofErr w:type="spellStart"/>
      <w:r w:rsidRPr="00BF4AA8">
        <w:rPr>
          <w:rFonts w:ascii="Arial" w:hAnsi="Arial" w:cs="Arial"/>
          <w:sz w:val="22"/>
          <w:szCs w:val="22"/>
        </w:rPr>
        <w:t>pelagics</w:t>
      </w:r>
      <w:proofErr w:type="spellEnd"/>
      <w:r w:rsidRPr="00BF4AA8">
        <w:rPr>
          <w:rFonts w:ascii="Arial" w:hAnsi="Arial" w:cs="Arial"/>
          <w:sz w:val="22"/>
          <w:szCs w:val="22"/>
        </w:rPr>
        <w:t xml:space="preserve">, blue swimming crabs) require coordinated management across Cambodia, Viet </w:t>
      </w:r>
      <w:proofErr w:type="gramStart"/>
      <w:r w:rsidRPr="00BF4AA8">
        <w:rPr>
          <w:rFonts w:ascii="Arial" w:hAnsi="Arial" w:cs="Arial"/>
          <w:sz w:val="22"/>
          <w:szCs w:val="22"/>
        </w:rPr>
        <w:t>Nam</w:t>
      </w:r>
      <w:proofErr w:type="gramEnd"/>
      <w:r w:rsidRPr="00BF4AA8">
        <w:rPr>
          <w:rFonts w:ascii="Arial" w:hAnsi="Arial" w:cs="Arial"/>
          <w:sz w:val="22"/>
          <w:szCs w:val="22"/>
        </w:rPr>
        <w:t xml:space="preserve"> and Thailand.</w:t>
      </w:r>
    </w:p>
    <w:p w:rsidR="0085713E" w:rsidRPr="00BF4AA8" w:rsidRDefault="0096749B" w:rsidP="00BF4AA8">
      <w:pPr>
        <w:pStyle w:val="Heading1"/>
      </w:pPr>
      <w:bookmarkStart w:id="10" w:name="_Toc216681449"/>
      <w:r w:rsidRPr="00BF4AA8">
        <w:t>Annex 2</w:t>
      </w:r>
      <w:bookmarkEnd w:id="10"/>
    </w:p>
    <w:p w:rsidR="0085713E" w:rsidRPr="00BF4AA8" w:rsidRDefault="0085713E" w:rsidP="00BF4AA8">
      <w:pPr>
        <w:pStyle w:val="Heading2"/>
        <w:keepNext/>
        <w:adjustRightInd w:val="0"/>
        <w:snapToGrid w:val="0"/>
        <w:spacing w:before="240" w:beforeAutospacing="0" w:after="120" w:afterAutospacing="0"/>
        <w:rPr>
          <w:rFonts w:ascii="Arial" w:hAnsi="Arial" w:cs="Arial"/>
          <w:color w:val="0070C0"/>
          <w:sz w:val="22"/>
          <w:szCs w:val="22"/>
        </w:rPr>
      </w:pPr>
      <w:bookmarkStart w:id="11" w:name="_Toc216681450"/>
      <w:r w:rsidRPr="00BF4AA8">
        <w:rPr>
          <w:rFonts w:ascii="Arial" w:hAnsi="Arial" w:cs="Arial"/>
          <w:color w:val="0070C0"/>
          <w:sz w:val="22"/>
          <w:szCs w:val="22"/>
        </w:rPr>
        <w:t>Annex 2-</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Annex_2-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1</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Dataset and analysis framework, and complimentary note</w:t>
      </w:r>
      <w:bookmarkEnd w:id="11"/>
    </w:p>
    <w:p w:rsidR="00BF4AA8" w:rsidRPr="00BF4AA8" w:rsidRDefault="00BF4AA8" w:rsidP="00BF4AA8">
      <w:pPr>
        <w:pStyle w:val="Caption"/>
        <w:jc w:val="both"/>
        <w:rPr>
          <w:rFonts w:ascii="Arial" w:eastAsiaTheme="minorHAnsi" w:hAnsi="Arial" w:cs="Arial"/>
          <w:b/>
          <w:bCs/>
          <w:i w:val="0"/>
          <w:iCs w:val="0"/>
          <w:color w:val="0070C0"/>
          <w:kern w:val="2"/>
          <w:sz w:val="22"/>
          <w:szCs w:val="22"/>
          <w14:ligatures w14:val="standardContextual"/>
        </w:rPr>
      </w:pPr>
      <w:r w:rsidRPr="00BF4AA8">
        <w:rPr>
          <w:rFonts w:ascii="Arial" w:eastAsiaTheme="minorHAnsi" w:hAnsi="Arial" w:cs="Arial"/>
          <w:b/>
          <w:bCs/>
          <w:i w:val="0"/>
          <w:iCs w:val="0"/>
          <w:color w:val="0070C0"/>
          <w:kern w:val="2"/>
          <w:sz w:val="22"/>
          <w:szCs w:val="22"/>
          <w14:ligatures w14:val="standardContextual"/>
        </w:rPr>
        <w:t>A.  Demographic indicator</w:t>
      </w:r>
    </w:p>
    <w:p w:rsidR="00BF4AA8" w:rsidRPr="00BF4AA8" w:rsidRDefault="00BF4AA8" w:rsidP="00BF4AA8">
      <w:pPr>
        <w:pStyle w:val="Caption"/>
        <w:jc w:val="both"/>
        <w:rPr>
          <w:rFonts w:ascii="Arial" w:hAnsi="Arial" w:cs="Arial"/>
          <w:i w:val="0"/>
          <w:iCs w:val="0"/>
          <w:color w:val="auto"/>
          <w:sz w:val="22"/>
          <w:szCs w:val="22"/>
        </w:rPr>
      </w:pPr>
      <w:r w:rsidRPr="00BF4AA8">
        <w:rPr>
          <w:rFonts w:ascii="Arial" w:hAnsi="Arial" w:cs="Arial"/>
          <w:i w:val="0"/>
          <w:iCs w:val="0"/>
          <w:color w:val="auto"/>
          <w:sz w:val="22"/>
          <w:szCs w:val="22"/>
        </w:rPr>
        <w:t xml:space="preserve">Demographic indicators describe the size, </w:t>
      </w:r>
      <w:proofErr w:type="gramStart"/>
      <w:r w:rsidRPr="00BF4AA8">
        <w:rPr>
          <w:rFonts w:ascii="Arial" w:hAnsi="Arial" w:cs="Arial"/>
          <w:i w:val="0"/>
          <w:iCs w:val="0"/>
          <w:color w:val="auto"/>
          <w:sz w:val="22"/>
          <w:szCs w:val="22"/>
        </w:rPr>
        <w:t>structure</w:t>
      </w:r>
      <w:proofErr w:type="gramEnd"/>
      <w:r w:rsidRPr="00BF4AA8">
        <w:rPr>
          <w:rFonts w:ascii="Arial" w:hAnsi="Arial" w:cs="Arial"/>
          <w:i w:val="0"/>
          <w:iCs w:val="0"/>
          <w:color w:val="auto"/>
          <w:sz w:val="22"/>
          <w:szCs w:val="22"/>
        </w:rPr>
        <w:t xml:space="preserve"> and spatial distribution of the population in Cambodia and its four coastal provinces. Core variables include total population, number of households, sex ratio, age structure, and population density, as well as the share of people living in urban areas and major coastal settlements. Data </w:t>
      </w:r>
      <w:proofErr w:type="gramStart"/>
      <w:r w:rsidRPr="00BF4AA8">
        <w:rPr>
          <w:rFonts w:ascii="Arial" w:hAnsi="Arial" w:cs="Arial"/>
          <w:i w:val="0"/>
          <w:iCs w:val="0"/>
          <w:color w:val="auto"/>
          <w:sz w:val="22"/>
          <w:szCs w:val="22"/>
        </w:rPr>
        <w:t>are drawn</w:t>
      </w:r>
      <w:proofErr w:type="gramEnd"/>
      <w:r w:rsidRPr="00BF4AA8">
        <w:rPr>
          <w:rFonts w:ascii="Arial" w:hAnsi="Arial" w:cs="Arial"/>
          <w:i w:val="0"/>
          <w:iCs w:val="0"/>
          <w:color w:val="auto"/>
          <w:sz w:val="22"/>
          <w:szCs w:val="22"/>
        </w:rPr>
        <w:t xml:space="preserve"> primarily from the 1998, 2008 and 2019 Population Censuses and official intercensal projections. Indicators </w:t>
      </w:r>
      <w:proofErr w:type="gramStart"/>
      <w:r w:rsidRPr="00BF4AA8">
        <w:rPr>
          <w:rFonts w:ascii="Arial" w:hAnsi="Arial" w:cs="Arial"/>
          <w:i w:val="0"/>
          <w:iCs w:val="0"/>
          <w:color w:val="auto"/>
          <w:sz w:val="22"/>
          <w:szCs w:val="22"/>
        </w:rPr>
        <w:t>are computed</w:t>
      </w:r>
      <w:proofErr w:type="gramEnd"/>
      <w:r w:rsidRPr="00BF4AA8">
        <w:rPr>
          <w:rFonts w:ascii="Arial" w:hAnsi="Arial" w:cs="Arial"/>
          <w:i w:val="0"/>
          <w:iCs w:val="0"/>
          <w:color w:val="auto"/>
          <w:sz w:val="22"/>
          <w:szCs w:val="22"/>
        </w:rPr>
        <w:t xml:space="preserve"> at national and provincial level; coastal totals are obtained by summing the four coastal provinces and, where relevant, expressing them as a share of national population. Where different classifications or boundary changes occur, the annex notes how these have been </w:t>
      </w:r>
      <w:proofErr w:type="spellStart"/>
      <w:r w:rsidRPr="00BF4AA8">
        <w:rPr>
          <w:rFonts w:ascii="Arial" w:hAnsi="Arial" w:cs="Arial"/>
          <w:i w:val="0"/>
          <w:iCs w:val="0"/>
          <w:color w:val="auto"/>
          <w:sz w:val="22"/>
          <w:szCs w:val="22"/>
        </w:rPr>
        <w:t>harmonised</w:t>
      </w:r>
      <w:proofErr w:type="spellEnd"/>
      <w:r w:rsidRPr="00BF4AA8">
        <w:rPr>
          <w:rFonts w:ascii="Arial" w:hAnsi="Arial" w:cs="Arial"/>
          <w:i w:val="0"/>
          <w:iCs w:val="0"/>
          <w:color w:val="auto"/>
          <w:sz w:val="22"/>
          <w:szCs w:val="22"/>
        </w:rPr>
        <w:t xml:space="preserve"> across time. Provincial-level time-series remain discontinuous—therefore comparisons rely on </w:t>
      </w:r>
      <w:proofErr w:type="spellStart"/>
      <w:r w:rsidRPr="00BF4AA8">
        <w:rPr>
          <w:rFonts w:ascii="Arial" w:hAnsi="Arial" w:cs="Arial"/>
          <w:i w:val="0"/>
          <w:iCs w:val="0"/>
          <w:color w:val="auto"/>
          <w:sz w:val="22"/>
          <w:szCs w:val="22"/>
        </w:rPr>
        <w:t>harmonised</w:t>
      </w:r>
      <w:proofErr w:type="spellEnd"/>
      <w:r w:rsidRPr="00BF4AA8">
        <w:rPr>
          <w:rFonts w:ascii="Arial" w:hAnsi="Arial" w:cs="Arial"/>
          <w:i w:val="0"/>
          <w:iCs w:val="0"/>
          <w:color w:val="auto"/>
          <w:sz w:val="22"/>
          <w:szCs w:val="22"/>
        </w:rPr>
        <w:t xml:space="preserve"> census rounds rather than annual estimates. Coastal totals </w:t>
      </w:r>
      <w:proofErr w:type="gramStart"/>
      <w:r w:rsidRPr="00BF4AA8">
        <w:rPr>
          <w:rFonts w:ascii="Arial" w:hAnsi="Arial" w:cs="Arial"/>
          <w:i w:val="0"/>
          <w:iCs w:val="0"/>
          <w:color w:val="auto"/>
          <w:sz w:val="22"/>
          <w:szCs w:val="22"/>
        </w:rPr>
        <w:t>are derived</w:t>
      </w:r>
      <w:proofErr w:type="gramEnd"/>
      <w:r w:rsidRPr="00BF4AA8">
        <w:rPr>
          <w:rFonts w:ascii="Arial" w:hAnsi="Arial" w:cs="Arial"/>
          <w:i w:val="0"/>
          <w:iCs w:val="0"/>
          <w:color w:val="auto"/>
          <w:sz w:val="22"/>
          <w:szCs w:val="22"/>
        </w:rPr>
        <w:t xml:space="preserve"> through straightforward aggregation of the four coastal provinces.</w:t>
      </w:r>
    </w:p>
    <w:p w:rsidR="00BF4AA8" w:rsidRPr="00BF4AA8" w:rsidRDefault="00BF4AA8" w:rsidP="00BF4AA8">
      <w:pPr>
        <w:pStyle w:val="Caption"/>
        <w:keepNext/>
        <w:spacing w:before="240" w:after="120"/>
        <w:rPr>
          <w:rFonts w:ascii="Arial" w:eastAsiaTheme="minorHAnsi" w:hAnsi="Arial" w:cs="Arial"/>
          <w:color w:val="002060"/>
          <w:kern w:val="2"/>
          <w:sz w:val="22"/>
          <w:szCs w:val="22"/>
          <w14:ligatures w14:val="standardContextual"/>
        </w:rPr>
      </w:pPr>
      <w:r w:rsidRPr="00BF4AA8">
        <w:rPr>
          <w:rFonts w:ascii="Arial" w:eastAsiaTheme="minorHAnsi" w:hAnsi="Arial" w:cs="Arial"/>
          <w:color w:val="002060"/>
          <w:kern w:val="2"/>
          <w:sz w:val="22"/>
          <w:szCs w:val="22"/>
          <w14:ligatures w14:val="standardContextual"/>
        </w:rPr>
        <w:t>Annex Table 2-</w:t>
      </w:r>
      <w:r w:rsidRPr="00BF4AA8">
        <w:rPr>
          <w:rFonts w:ascii="Arial" w:eastAsiaTheme="minorHAnsi" w:hAnsi="Arial" w:cs="Arial"/>
          <w:color w:val="002060"/>
          <w:kern w:val="2"/>
          <w:sz w:val="22"/>
          <w:szCs w:val="22"/>
          <w14:ligatures w14:val="standardContextual"/>
        </w:rPr>
        <w:fldChar w:fldCharType="begin"/>
      </w:r>
      <w:r w:rsidRPr="00BF4AA8">
        <w:rPr>
          <w:rFonts w:ascii="Arial" w:eastAsiaTheme="minorHAnsi" w:hAnsi="Arial" w:cs="Arial"/>
          <w:color w:val="002060"/>
          <w:kern w:val="2"/>
          <w:sz w:val="22"/>
          <w:szCs w:val="22"/>
          <w14:ligatures w14:val="standardContextual"/>
        </w:rPr>
        <w:instrText xml:space="preserve"> SEQ Annex_Table_2- \* ARABIC </w:instrText>
      </w:r>
      <w:r w:rsidRPr="00BF4AA8">
        <w:rPr>
          <w:rFonts w:ascii="Arial" w:eastAsiaTheme="minorHAnsi" w:hAnsi="Arial" w:cs="Arial"/>
          <w:color w:val="002060"/>
          <w:kern w:val="2"/>
          <w:sz w:val="22"/>
          <w:szCs w:val="22"/>
          <w14:ligatures w14:val="standardContextual"/>
        </w:rPr>
        <w:fldChar w:fldCharType="separate"/>
      </w:r>
      <w:r w:rsidR="00836984">
        <w:rPr>
          <w:rFonts w:ascii="Arial" w:eastAsiaTheme="minorHAnsi" w:hAnsi="Arial" w:cs="Arial"/>
          <w:noProof/>
          <w:color w:val="002060"/>
          <w:kern w:val="2"/>
          <w:sz w:val="22"/>
          <w:szCs w:val="22"/>
          <w14:ligatures w14:val="standardContextual"/>
        </w:rPr>
        <w:t>1</w:t>
      </w:r>
      <w:r w:rsidRPr="00BF4AA8">
        <w:rPr>
          <w:rFonts w:ascii="Arial" w:eastAsiaTheme="minorHAnsi" w:hAnsi="Arial" w:cs="Arial"/>
          <w:color w:val="002060"/>
          <w:kern w:val="2"/>
          <w:sz w:val="22"/>
          <w:szCs w:val="22"/>
          <w14:ligatures w14:val="standardContextual"/>
        </w:rPr>
        <w:fldChar w:fldCharType="end"/>
      </w:r>
      <w:r w:rsidRPr="00BF4AA8">
        <w:rPr>
          <w:rFonts w:ascii="Arial" w:eastAsiaTheme="minorHAnsi" w:hAnsi="Arial" w:cs="Arial"/>
          <w:color w:val="002060"/>
          <w:kern w:val="2"/>
          <w:sz w:val="22"/>
          <w:szCs w:val="22"/>
          <w14:ligatures w14:val="standardContextual"/>
        </w:rPr>
        <w:t xml:space="preserve"> Demographics indicators: data sources, metadata, &amp; assessment methods</w:t>
      </w:r>
    </w:p>
    <w:tbl>
      <w:tblPr>
        <w:tblStyle w:val="GridTable4-Accent5"/>
        <w:tblW w:w="0" w:type="auto"/>
        <w:tblLook w:val="04A0" w:firstRow="1" w:lastRow="0" w:firstColumn="1" w:lastColumn="0" w:noHBand="0" w:noVBand="1"/>
      </w:tblPr>
      <w:tblGrid>
        <w:gridCol w:w="1504"/>
        <w:gridCol w:w="1303"/>
        <w:gridCol w:w="1184"/>
        <w:gridCol w:w="1338"/>
        <w:gridCol w:w="1550"/>
        <w:gridCol w:w="1609"/>
      </w:tblGrid>
      <w:tr w:rsidR="00BF4AA8"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Indicator</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Definition &amp; Unit</w:t>
            </w:r>
          </w:p>
        </w:tc>
        <w:tc>
          <w:tcPr>
            <w:tcW w:w="1179" w:type="dxa"/>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Spatial Coverage</w:t>
            </w:r>
          </w:p>
        </w:tc>
        <w:tc>
          <w:tcPr>
            <w:tcW w:w="1418" w:type="dxa"/>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Time Series Availability</w:t>
            </w:r>
          </w:p>
        </w:tc>
        <w:tc>
          <w:tcPr>
            <w:tcW w:w="1701" w:type="dxa"/>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Primary Data Sources</w:t>
            </w:r>
          </w:p>
        </w:tc>
        <w:tc>
          <w:tcPr>
            <w:tcW w:w="1927" w:type="dxa"/>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Method / Notes</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Total population</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Number of people (persons)</w:t>
            </w:r>
          </w:p>
        </w:tc>
        <w:tc>
          <w:tcPr>
            <w:tcW w:w="1179" w:type="dxa"/>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4 coastal provinces</w:t>
            </w:r>
          </w:p>
        </w:tc>
        <w:tc>
          <w:tcPr>
            <w:tcW w:w="1418" w:type="dxa"/>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Census years: </w:t>
            </w:r>
            <w:r w:rsidRPr="00BF4AA8">
              <w:rPr>
                <w:rStyle w:val="Strong"/>
                <w:rFonts w:ascii="Arial" w:eastAsiaTheme="majorEastAsia" w:hAnsi="Arial" w:cs="Arial"/>
                <w:sz w:val="22"/>
                <w:szCs w:val="22"/>
              </w:rPr>
              <w:t>1998, 2008, 2019</w:t>
            </w:r>
            <w:r w:rsidRPr="00BF4AA8">
              <w:rPr>
                <w:rFonts w:ascii="Arial" w:hAnsi="Arial" w:cs="Arial"/>
                <w:sz w:val="22"/>
                <w:szCs w:val="22"/>
              </w:rPr>
              <w:t>; projections 2020–2030</w:t>
            </w:r>
          </w:p>
        </w:tc>
        <w:tc>
          <w:tcPr>
            <w:tcW w:w="1701" w:type="dxa"/>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NIS Population Census; UN WPP projections</w:t>
            </w:r>
          </w:p>
        </w:tc>
        <w:tc>
          <w:tcPr>
            <w:tcW w:w="1927" w:type="dxa"/>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Coastal total = sum of 4 coastal provinces. No adjustments except boundary harmonization.</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Number of households</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Total households (HH)</w:t>
            </w:r>
          </w:p>
        </w:tc>
        <w:tc>
          <w:tcPr>
            <w:tcW w:w="1179" w:type="dxa"/>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coastal provinces</w:t>
            </w:r>
          </w:p>
        </w:tc>
        <w:tc>
          <w:tcPr>
            <w:tcW w:w="1418" w:type="dxa"/>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1998, 2008, 2019</w:t>
            </w:r>
          </w:p>
        </w:tc>
        <w:tc>
          <w:tcPr>
            <w:tcW w:w="1701" w:type="dxa"/>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NIS Census</w:t>
            </w:r>
          </w:p>
        </w:tc>
        <w:tc>
          <w:tcPr>
            <w:tcW w:w="1927" w:type="dxa"/>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Used to derive average household size; no interpolation.</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Population density</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Persons per km²</w:t>
            </w:r>
          </w:p>
        </w:tc>
        <w:tc>
          <w:tcPr>
            <w:tcW w:w="1179" w:type="dxa"/>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provincial</w:t>
            </w:r>
          </w:p>
        </w:tc>
        <w:tc>
          <w:tcPr>
            <w:tcW w:w="1418" w:type="dxa"/>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1998–2019</w:t>
            </w:r>
          </w:p>
        </w:tc>
        <w:tc>
          <w:tcPr>
            <w:tcW w:w="1701" w:type="dxa"/>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NIS; Administrative boundary area data</w:t>
            </w:r>
          </w:p>
        </w:tc>
        <w:tc>
          <w:tcPr>
            <w:tcW w:w="1927" w:type="dxa"/>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Density = population ÷ land area. Coastal mean is population-weighted.</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Urbanization rate</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population in urban areas</w:t>
            </w:r>
          </w:p>
        </w:tc>
        <w:tc>
          <w:tcPr>
            <w:tcW w:w="1179" w:type="dxa"/>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(1990–2035); coastal (1998–2019)</w:t>
            </w:r>
          </w:p>
        </w:tc>
        <w:tc>
          <w:tcPr>
            <w:tcW w:w="1418" w:type="dxa"/>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(annual WUP); coastal (census years only)</w:t>
            </w:r>
          </w:p>
        </w:tc>
        <w:tc>
          <w:tcPr>
            <w:tcW w:w="1701" w:type="dxa"/>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UN DESA World Urbanization Prospects (WUP); NIS</w:t>
            </w:r>
          </w:p>
        </w:tc>
        <w:tc>
          <w:tcPr>
            <w:tcW w:w="1927" w:type="dxa"/>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1975–79 values excluded due to data disruption. No extrapolation for provinces.</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Sex ratio</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Males per 100 females</w:t>
            </w:r>
          </w:p>
        </w:tc>
        <w:tc>
          <w:tcPr>
            <w:tcW w:w="1179" w:type="dxa"/>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provincial</w:t>
            </w:r>
          </w:p>
        </w:tc>
        <w:tc>
          <w:tcPr>
            <w:tcW w:w="1418" w:type="dxa"/>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1998, 2008, 2019</w:t>
            </w:r>
          </w:p>
        </w:tc>
        <w:tc>
          <w:tcPr>
            <w:tcW w:w="1701" w:type="dxa"/>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NIS Census</w:t>
            </w:r>
          </w:p>
        </w:tc>
        <w:tc>
          <w:tcPr>
            <w:tcW w:w="1927" w:type="dxa"/>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Reported directly; no adjustments.</w:t>
            </w:r>
          </w:p>
        </w:tc>
      </w:tr>
    </w:tbl>
    <w:p w:rsidR="00BF4AA8" w:rsidRPr="00BF4AA8" w:rsidRDefault="00BF4AA8" w:rsidP="00BF4AA8">
      <w:pPr>
        <w:rPr>
          <w:rFonts w:ascii="Arial" w:hAnsi="Arial" w:cs="Arial"/>
          <w:sz w:val="22"/>
          <w:szCs w:val="22"/>
        </w:rPr>
      </w:pPr>
    </w:p>
    <w:p w:rsidR="00BF4AA8" w:rsidRPr="00BF4AA8" w:rsidRDefault="00BF4AA8" w:rsidP="00BF4AA8">
      <w:pPr>
        <w:pStyle w:val="Caption"/>
        <w:keepNext/>
        <w:spacing w:before="240" w:after="120"/>
        <w:rPr>
          <w:rFonts w:ascii="Arial" w:eastAsiaTheme="minorHAnsi" w:hAnsi="Arial" w:cs="Arial"/>
          <w:color w:val="002060"/>
          <w:kern w:val="2"/>
          <w:sz w:val="22"/>
          <w:szCs w:val="22"/>
          <w14:ligatures w14:val="standardContextual"/>
        </w:rPr>
      </w:pPr>
      <w:bookmarkStart w:id="12" w:name="_Ref215141147"/>
      <w:r w:rsidRPr="00BF4AA8">
        <w:rPr>
          <w:rFonts w:ascii="Arial" w:eastAsiaTheme="minorHAnsi" w:hAnsi="Arial" w:cs="Arial"/>
          <w:color w:val="002060"/>
          <w:kern w:val="2"/>
          <w:sz w:val="22"/>
          <w:szCs w:val="22"/>
          <w14:ligatures w14:val="standardContextual"/>
        </w:rPr>
        <w:t>Annex Table 2-</w:t>
      </w:r>
      <w:r w:rsidRPr="00BF4AA8">
        <w:rPr>
          <w:rFonts w:ascii="Arial" w:eastAsiaTheme="minorHAnsi" w:hAnsi="Arial" w:cs="Arial"/>
          <w:color w:val="002060"/>
          <w:kern w:val="2"/>
          <w:sz w:val="22"/>
          <w:szCs w:val="22"/>
          <w14:ligatures w14:val="standardContextual"/>
        </w:rPr>
        <w:fldChar w:fldCharType="begin"/>
      </w:r>
      <w:r w:rsidRPr="00BF4AA8">
        <w:rPr>
          <w:rFonts w:ascii="Arial" w:eastAsiaTheme="minorHAnsi" w:hAnsi="Arial" w:cs="Arial"/>
          <w:color w:val="002060"/>
          <w:kern w:val="2"/>
          <w:sz w:val="22"/>
          <w:szCs w:val="22"/>
          <w14:ligatures w14:val="standardContextual"/>
        </w:rPr>
        <w:instrText xml:space="preserve"> SEQ Annex_Table_2- \* ARABIC </w:instrText>
      </w:r>
      <w:r w:rsidRPr="00BF4AA8">
        <w:rPr>
          <w:rFonts w:ascii="Arial" w:eastAsiaTheme="minorHAnsi" w:hAnsi="Arial" w:cs="Arial"/>
          <w:color w:val="002060"/>
          <w:kern w:val="2"/>
          <w:sz w:val="22"/>
          <w:szCs w:val="22"/>
          <w14:ligatures w14:val="standardContextual"/>
        </w:rPr>
        <w:fldChar w:fldCharType="separate"/>
      </w:r>
      <w:r w:rsidR="00836984">
        <w:rPr>
          <w:rFonts w:ascii="Arial" w:eastAsiaTheme="minorHAnsi" w:hAnsi="Arial" w:cs="Arial"/>
          <w:noProof/>
          <w:color w:val="002060"/>
          <w:kern w:val="2"/>
          <w:sz w:val="22"/>
          <w:szCs w:val="22"/>
          <w14:ligatures w14:val="standardContextual"/>
        </w:rPr>
        <w:t>2</w:t>
      </w:r>
      <w:r w:rsidRPr="00BF4AA8">
        <w:rPr>
          <w:rFonts w:ascii="Arial" w:eastAsiaTheme="minorHAnsi" w:hAnsi="Arial" w:cs="Arial"/>
          <w:color w:val="002060"/>
          <w:kern w:val="2"/>
          <w:sz w:val="22"/>
          <w:szCs w:val="22"/>
          <w14:ligatures w14:val="standardContextual"/>
        </w:rPr>
        <w:fldChar w:fldCharType="end"/>
      </w:r>
      <w:bookmarkEnd w:id="12"/>
      <w:r w:rsidRPr="00BF4AA8">
        <w:rPr>
          <w:rFonts w:ascii="Arial" w:eastAsiaTheme="minorHAnsi" w:hAnsi="Arial" w:cs="Arial"/>
          <w:color w:val="002060"/>
          <w:kern w:val="2"/>
          <w:sz w:val="22"/>
          <w:szCs w:val="22"/>
          <w14:ligatures w14:val="standardContextual"/>
        </w:rPr>
        <w:t xml:space="preserve"> Subnational Coastal Populations (1998, 2008, &amp; 2019)</w:t>
      </w:r>
    </w:p>
    <w:tbl>
      <w:tblPr>
        <w:tblStyle w:val="GridTable4-Accent5"/>
        <w:tblW w:w="9003" w:type="dxa"/>
        <w:tblLook w:val="04A0" w:firstRow="1" w:lastRow="0" w:firstColumn="1" w:lastColumn="0" w:noHBand="0" w:noVBand="1"/>
      </w:tblPr>
      <w:tblGrid>
        <w:gridCol w:w="2123"/>
        <w:gridCol w:w="1720"/>
        <w:gridCol w:w="1720"/>
        <w:gridCol w:w="1720"/>
        <w:gridCol w:w="1720"/>
      </w:tblGrid>
      <w:tr w:rsidR="00BF4AA8" w:rsidRPr="00BF4AA8" w:rsidTr="005F1F5C">
        <w:trPr>
          <w:cnfStyle w:val="100000000000" w:firstRow="1" w:lastRow="0" w:firstColumn="0" w:lastColumn="0" w:oddVBand="0" w:evenVBand="0" w:oddHBand="0"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rsidR="00BF4AA8" w:rsidRPr="00BF4AA8" w:rsidRDefault="00BF4AA8" w:rsidP="005F1F5C">
            <w:pPr>
              <w:jc w:val="center"/>
              <w:rPr>
                <w:rFonts w:ascii="Arial" w:hAnsi="Arial" w:cs="Arial"/>
                <w:b w:val="0"/>
                <w:bCs w:val="0"/>
                <w:sz w:val="22"/>
                <w:szCs w:val="22"/>
              </w:rPr>
            </w:pPr>
            <w:r w:rsidRPr="00BF4AA8">
              <w:rPr>
                <w:rFonts w:ascii="Arial" w:hAnsi="Arial" w:cs="Arial"/>
                <w:sz w:val="22"/>
                <w:szCs w:val="22"/>
              </w:rPr>
              <w:t>Pop. Census 1998</w:t>
            </w:r>
          </w:p>
        </w:tc>
        <w:tc>
          <w:tcPr>
            <w:tcW w:w="1720" w:type="dxa"/>
            <w:noWrap/>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Fonts w:ascii="Arial" w:hAnsi="Arial" w:cs="Arial"/>
                <w:sz w:val="22"/>
                <w:szCs w:val="22"/>
              </w:rPr>
              <w:t>Persons</w:t>
            </w:r>
          </w:p>
        </w:tc>
        <w:tc>
          <w:tcPr>
            <w:tcW w:w="1720" w:type="dxa"/>
            <w:noWrap/>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Fonts w:ascii="Arial" w:hAnsi="Arial" w:cs="Arial"/>
                <w:sz w:val="22"/>
                <w:szCs w:val="22"/>
              </w:rPr>
              <w:t>Females</w:t>
            </w:r>
          </w:p>
        </w:tc>
        <w:tc>
          <w:tcPr>
            <w:tcW w:w="1720" w:type="dxa"/>
            <w:noWrap/>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Fonts w:ascii="Arial" w:hAnsi="Arial" w:cs="Arial"/>
                <w:sz w:val="22"/>
                <w:szCs w:val="22"/>
              </w:rPr>
              <w:t>Males</w:t>
            </w:r>
          </w:p>
        </w:tc>
        <w:tc>
          <w:tcPr>
            <w:tcW w:w="1720" w:type="dxa"/>
            <w:noWrap/>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Fonts w:ascii="Arial" w:hAnsi="Arial" w:cs="Arial"/>
                <w:sz w:val="22"/>
                <w:szCs w:val="22"/>
              </w:rPr>
              <w:t>Households</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rsidR="00BF4AA8" w:rsidRPr="00BF4AA8" w:rsidRDefault="00BF4AA8" w:rsidP="005F1F5C">
            <w:pPr>
              <w:jc w:val="right"/>
              <w:rPr>
                <w:rFonts w:ascii="Arial" w:hAnsi="Arial" w:cs="Arial"/>
                <w:color w:val="000000"/>
                <w:sz w:val="22"/>
                <w:szCs w:val="22"/>
              </w:rPr>
            </w:pPr>
            <w:r w:rsidRPr="00BF4AA8">
              <w:rPr>
                <w:rFonts w:ascii="Arial" w:hAnsi="Arial" w:cs="Arial"/>
                <w:color w:val="000000"/>
                <w:sz w:val="22"/>
                <w:szCs w:val="22"/>
              </w:rPr>
              <w:t>Preah Sihanouk</w:t>
            </w:r>
          </w:p>
        </w:tc>
        <w:tc>
          <w:tcPr>
            <w:tcW w:w="1720"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155,690</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78,750</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76,940</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28,015</w:t>
            </w:r>
          </w:p>
        </w:tc>
      </w:tr>
      <w:tr w:rsidR="00BF4AA8" w:rsidRPr="00BF4AA8" w:rsidTr="005F1F5C">
        <w:trPr>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rsidR="00BF4AA8" w:rsidRPr="00BF4AA8" w:rsidRDefault="00BF4AA8" w:rsidP="005F1F5C">
            <w:pPr>
              <w:jc w:val="right"/>
              <w:rPr>
                <w:rFonts w:ascii="Arial" w:hAnsi="Arial" w:cs="Arial"/>
                <w:color w:val="000000"/>
                <w:sz w:val="22"/>
                <w:szCs w:val="22"/>
              </w:rPr>
            </w:pPr>
            <w:r w:rsidRPr="00BF4AA8">
              <w:rPr>
                <w:rFonts w:ascii="Arial" w:hAnsi="Arial" w:cs="Arial"/>
                <w:color w:val="000000"/>
                <w:sz w:val="22"/>
                <w:szCs w:val="22"/>
              </w:rPr>
              <w:t>Koh Kong</w:t>
            </w:r>
          </w:p>
        </w:tc>
        <w:tc>
          <w:tcPr>
            <w:tcW w:w="1720"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132,106</w:t>
            </w:r>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64,406</w:t>
            </w:r>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67,700</w:t>
            </w:r>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24,960</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rsidR="00BF4AA8" w:rsidRPr="00BF4AA8" w:rsidRDefault="00BF4AA8" w:rsidP="005F1F5C">
            <w:pPr>
              <w:jc w:val="right"/>
              <w:rPr>
                <w:rFonts w:ascii="Arial" w:hAnsi="Arial" w:cs="Arial"/>
                <w:color w:val="000000"/>
                <w:sz w:val="22"/>
                <w:szCs w:val="22"/>
              </w:rPr>
            </w:pPr>
            <w:proofErr w:type="spellStart"/>
            <w:r w:rsidRPr="00BF4AA8">
              <w:rPr>
                <w:rFonts w:ascii="Arial" w:hAnsi="Arial" w:cs="Arial"/>
                <w:color w:val="000000"/>
                <w:sz w:val="22"/>
                <w:szCs w:val="22"/>
              </w:rPr>
              <w:t>Kampot</w:t>
            </w:r>
            <w:proofErr w:type="spellEnd"/>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528,405</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275,320</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253,085</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104,993</w:t>
            </w:r>
          </w:p>
        </w:tc>
      </w:tr>
      <w:tr w:rsidR="00BF4AA8" w:rsidRPr="00BF4AA8" w:rsidTr="005F1F5C">
        <w:trPr>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rsidR="00BF4AA8" w:rsidRPr="00BF4AA8" w:rsidRDefault="00BF4AA8" w:rsidP="005F1F5C">
            <w:pPr>
              <w:jc w:val="right"/>
              <w:rPr>
                <w:rFonts w:ascii="Arial" w:hAnsi="Arial" w:cs="Arial"/>
                <w:color w:val="000000"/>
                <w:sz w:val="22"/>
                <w:szCs w:val="22"/>
              </w:rPr>
            </w:pPr>
            <w:proofErr w:type="spellStart"/>
            <w:r w:rsidRPr="00BF4AA8">
              <w:rPr>
                <w:rFonts w:ascii="Arial" w:hAnsi="Arial" w:cs="Arial"/>
                <w:color w:val="000000"/>
                <w:sz w:val="22"/>
                <w:szCs w:val="22"/>
              </w:rPr>
              <w:t>Kep</w:t>
            </w:r>
            <w:proofErr w:type="spellEnd"/>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28,660</w:t>
            </w:r>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14,646</w:t>
            </w:r>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14,014</w:t>
            </w:r>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5369</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rsidR="00BF4AA8" w:rsidRPr="00BF4AA8" w:rsidRDefault="00BF4AA8" w:rsidP="005F1F5C">
            <w:pPr>
              <w:jc w:val="right"/>
              <w:rPr>
                <w:rFonts w:ascii="Arial" w:hAnsi="Arial" w:cs="Arial"/>
                <w:color w:val="000000"/>
                <w:sz w:val="22"/>
                <w:szCs w:val="22"/>
              </w:rPr>
            </w:pPr>
            <w:r w:rsidRPr="00BF4AA8">
              <w:rPr>
                <w:rFonts w:ascii="Arial" w:hAnsi="Arial" w:cs="Arial"/>
                <w:color w:val="000000"/>
                <w:sz w:val="22"/>
                <w:szCs w:val="22"/>
              </w:rPr>
              <w:t>Coastal (total)</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844,861</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433,122</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411,739</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163,337</w:t>
            </w:r>
          </w:p>
        </w:tc>
      </w:tr>
      <w:tr w:rsidR="00BF4AA8" w:rsidRPr="00BF4AA8" w:rsidTr="005F1F5C">
        <w:trPr>
          <w:trHeight w:val="289"/>
        </w:trPr>
        <w:tc>
          <w:tcPr>
            <w:cnfStyle w:val="001000000000" w:firstRow="0" w:lastRow="0" w:firstColumn="1" w:lastColumn="0" w:oddVBand="0" w:evenVBand="0" w:oddHBand="0" w:evenHBand="0" w:firstRowFirstColumn="0" w:firstRowLastColumn="0" w:lastRowFirstColumn="0" w:lastRowLastColumn="0"/>
            <w:tcW w:w="2123" w:type="dxa"/>
            <w:shd w:val="clear" w:color="auto" w:fill="2E74B5" w:themeFill="accent5" w:themeFillShade="BF"/>
            <w:noWrap/>
            <w:hideMark/>
          </w:tcPr>
          <w:p w:rsidR="00BF4AA8" w:rsidRPr="00BF4AA8" w:rsidRDefault="00BF4AA8" w:rsidP="005F1F5C">
            <w:pPr>
              <w:jc w:val="center"/>
              <w:rPr>
                <w:rFonts w:ascii="Arial" w:hAnsi="Arial" w:cs="Arial"/>
                <w:b w:val="0"/>
                <w:bCs w:val="0"/>
                <w:color w:val="FFFFFF" w:themeColor="background1"/>
                <w:sz w:val="22"/>
                <w:szCs w:val="22"/>
              </w:rPr>
            </w:pPr>
            <w:r w:rsidRPr="00BF4AA8">
              <w:rPr>
                <w:rFonts w:ascii="Arial" w:hAnsi="Arial" w:cs="Arial"/>
                <w:color w:val="FFFFFF" w:themeColor="background1"/>
                <w:sz w:val="22"/>
                <w:szCs w:val="22"/>
              </w:rPr>
              <w:t>Pop. Census 2008</w:t>
            </w:r>
          </w:p>
        </w:tc>
        <w:tc>
          <w:tcPr>
            <w:tcW w:w="1720" w:type="dxa"/>
            <w:shd w:val="clear" w:color="auto" w:fill="2E74B5" w:themeFill="accent5" w:themeFillShade="BF"/>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Persons</w:t>
            </w:r>
          </w:p>
        </w:tc>
        <w:tc>
          <w:tcPr>
            <w:tcW w:w="1720" w:type="dxa"/>
            <w:shd w:val="clear" w:color="auto" w:fill="2E74B5" w:themeFill="accent5" w:themeFillShade="BF"/>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Females</w:t>
            </w:r>
          </w:p>
        </w:tc>
        <w:tc>
          <w:tcPr>
            <w:tcW w:w="1720" w:type="dxa"/>
            <w:shd w:val="clear" w:color="auto" w:fill="2E74B5" w:themeFill="accent5" w:themeFillShade="BF"/>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Males</w:t>
            </w:r>
          </w:p>
        </w:tc>
        <w:tc>
          <w:tcPr>
            <w:tcW w:w="1720" w:type="dxa"/>
            <w:shd w:val="clear" w:color="auto" w:fill="2E74B5" w:themeFill="accent5" w:themeFillShade="BF"/>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Households</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rsidR="00BF4AA8" w:rsidRPr="00BF4AA8" w:rsidRDefault="00BF4AA8" w:rsidP="005F1F5C">
            <w:pPr>
              <w:jc w:val="right"/>
              <w:rPr>
                <w:rFonts w:ascii="Arial" w:hAnsi="Arial" w:cs="Arial"/>
                <w:color w:val="000000"/>
                <w:sz w:val="22"/>
                <w:szCs w:val="22"/>
              </w:rPr>
            </w:pPr>
            <w:r w:rsidRPr="00BF4AA8">
              <w:rPr>
                <w:rFonts w:ascii="Arial" w:hAnsi="Arial" w:cs="Arial"/>
                <w:color w:val="000000"/>
                <w:sz w:val="22"/>
                <w:szCs w:val="22"/>
              </w:rPr>
              <w:t>Preah Sihanouk</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221,396</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110,619</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110,777</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45,237</w:t>
            </w:r>
          </w:p>
        </w:tc>
      </w:tr>
      <w:tr w:rsidR="00BF4AA8" w:rsidRPr="00BF4AA8" w:rsidTr="005F1F5C">
        <w:trPr>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rsidR="00BF4AA8" w:rsidRPr="00BF4AA8" w:rsidRDefault="00BF4AA8" w:rsidP="005F1F5C">
            <w:pPr>
              <w:jc w:val="right"/>
              <w:rPr>
                <w:rFonts w:ascii="Arial" w:hAnsi="Arial" w:cs="Arial"/>
                <w:color w:val="000000"/>
                <w:sz w:val="22"/>
                <w:szCs w:val="22"/>
              </w:rPr>
            </w:pPr>
            <w:r w:rsidRPr="00BF4AA8">
              <w:rPr>
                <w:rFonts w:ascii="Arial" w:hAnsi="Arial" w:cs="Arial"/>
                <w:color w:val="000000"/>
                <w:sz w:val="22"/>
                <w:szCs w:val="22"/>
              </w:rPr>
              <w:t>Koh Kong</w:t>
            </w:r>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117,481</w:t>
            </w:r>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58,154</w:t>
            </w:r>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59,327</w:t>
            </w:r>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24,311</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rsidR="00BF4AA8" w:rsidRPr="00BF4AA8" w:rsidRDefault="00BF4AA8" w:rsidP="005F1F5C">
            <w:pPr>
              <w:jc w:val="right"/>
              <w:rPr>
                <w:rFonts w:ascii="Arial" w:hAnsi="Arial" w:cs="Arial"/>
                <w:color w:val="000000"/>
                <w:sz w:val="22"/>
                <w:szCs w:val="22"/>
              </w:rPr>
            </w:pPr>
            <w:proofErr w:type="spellStart"/>
            <w:r w:rsidRPr="00BF4AA8">
              <w:rPr>
                <w:rFonts w:ascii="Arial" w:hAnsi="Arial" w:cs="Arial"/>
                <w:color w:val="000000"/>
                <w:sz w:val="22"/>
                <w:szCs w:val="22"/>
              </w:rPr>
              <w:t>Kampot</w:t>
            </w:r>
            <w:proofErr w:type="spellEnd"/>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585,850</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301,727</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284,123</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130,084</w:t>
            </w:r>
          </w:p>
        </w:tc>
      </w:tr>
      <w:tr w:rsidR="00BF4AA8" w:rsidRPr="00BF4AA8" w:rsidTr="005F1F5C">
        <w:trPr>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rsidR="00BF4AA8" w:rsidRPr="00BF4AA8" w:rsidRDefault="00BF4AA8" w:rsidP="005F1F5C">
            <w:pPr>
              <w:jc w:val="right"/>
              <w:rPr>
                <w:rFonts w:ascii="Arial" w:hAnsi="Arial" w:cs="Arial"/>
                <w:color w:val="000000"/>
                <w:sz w:val="22"/>
                <w:szCs w:val="22"/>
              </w:rPr>
            </w:pPr>
            <w:proofErr w:type="spellStart"/>
            <w:r w:rsidRPr="00BF4AA8">
              <w:rPr>
                <w:rFonts w:ascii="Arial" w:hAnsi="Arial" w:cs="Arial"/>
                <w:color w:val="000000"/>
                <w:sz w:val="22"/>
                <w:szCs w:val="22"/>
              </w:rPr>
              <w:t>Kep</w:t>
            </w:r>
            <w:proofErr w:type="spellEnd"/>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35,753</w:t>
            </w:r>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18,079</w:t>
            </w:r>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17,674</w:t>
            </w:r>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7,236</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rsidR="00BF4AA8" w:rsidRPr="00BF4AA8" w:rsidRDefault="00BF4AA8" w:rsidP="005F1F5C">
            <w:pPr>
              <w:jc w:val="right"/>
              <w:rPr>
                <w:rFonts w:ascii="Arial" w:hAnsi="Arial" w:cs="Arial"/>
                <w:color w:val="000000"/>
                <w:sz w:val="22"/>
                <w:szCs w:val="22"/>
              </w:rPr>
            </w:pPr>
            <w:r w:rsidRPr="00BF4AA8">
              <w:rPr>
                <w:rFonts w:ascii="Arial" w:hAnsi="Arial" w:cs="Arial"/>
                <w:color w:val="000000"/>
                <w:sz w:val="22"/>
                <w:szCs w:val="22"/>
              </w:rPr>
              <w:t>Coastal (total)</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960,480</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488,579</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471,901</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206,868</w:t>
            </w:r>
          </w:p>
        </w:tc>
      </w:tr>
      <w:tr w:rsidR="00BF4AA8" w:rsidRPr="00BF4AA8" w:rsidTr="005F1F5C">
        <w:trPr>
          <w:trHeight w:val="289"/>
        </w:trPr>
        <w:tc>
          <w:tcPr>
            <w:cnfStyle w:val="001000000000" w:firstRow="0" w:lastRow="0" w:firstColumn="1" w:lastColumn="0" w:oddVBand="0" w:evenVBand="0" w:oddHBand="0" w:evenHBand="0" w:firstRowFirstColumn="0" w:firstRowLastColumn="0" w:lastRowFirstColumn="0" w:lastRowLastColumn="0"/>
            <w:tcW w:w="2123" w:type="dxa"/>
            <w:shd w:val="clear" w:color="auto" w:fill="2E74B5" w:themeFill="accent5" w:themeFillShade="BF"/>
            <w:noWrap/>
            <w:hideMark/>
          </w:tcPr>
          <w:p w:rsidR="00BF4AA8" w:rsidRPr="00BF4AA8" w:rsidRDefault="00BF4AA8" w:rsidP="005F1F5C">
            <w:pPr>
              <w:jc w:val="center"/>
              <w:rPr>
                <w:rFonts w:ascii="Arial" w:hAnsi="Arial" w:cs="Arial"/>
                <w:b w:val="0"/>
                <w:bCs w:val="0"/>
                <w:color w:val="FFFFFF" w:themeColor="background1"/>
                <w:sz w:val="22"/>
                <w:szCs w:val="22"/>
              </w:rPr>
            </w:pPr>
            <w:r w:rsidRPr="00BF4AA8">
              <w:rPr>
                <w:rFonts w:ascii="Arial" w:hAnsi="Arial" w:cs="Arial"/>
                <w:color w:val="FFFFFF" w:themeColor="background1"/>
                <w:sz w:val="22"/>
                <w:szCs w:val="22"/>
              </w:rPr>
              <w:t>Pop. Census 2019</w:t>
            </w:r>
          </w:p>
        </w:tc>
        <w:tc>
          <w:tcPr>
            <w:tcW w:w="1720" w:type="dxa"/>
            <w:shd w:val="clear" w:color="auto" w:fill="2E74B5" w:themeFill="accent5" w:themeFillShade="BF"/>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Persons</w:t>
            </w:r>
          </w:p>
        </w:tc>
        <w:tc>
          <w:tcPr>
            <w:tcW w:w="1720" w:type="dxa"/>
            <w:shd w:val="clear" w:color="auto" w:fill="2E74B5" w:themeFill="accent5" w:themeFillShade="BF"/>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Females</w:t>
            </w:r>
          </w:p>
        </w:tc>
        <w:tc>
          <w:tcPr>
            <w:tcW w:w="1720" w:type="dxa"/>
            <w:shd w:val="clear" w:color="auto" w:fill="2E74B5" w:themeFill="accent5" w:themeFillShade="BF"/>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Males</w:t>
            </w:r>
          </w:p>
        </w:tc>
        <w:tc>
          <w:tcPr>
            <w:tcW w:w="1720" w:type="dxa"/>
            <w:shd w:val="clear" w:color="auto" w:fill="2E74B5" w:themeFill="accent5" w:themeFillShade="BF"/>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Households</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rsidR="00BF4AA8" w:rsidRPr="00BF4AA8" w:rsidRDefault="00BF4AA8" w:rsidP="005F1F5C">
            <w:pPr>
              <w:jc w:val="right"/>
              <w:rPr>
                <w:rFonts w:ascii="Arial" w:hAnsi="Arial" w:cs="Arial"/>
                <w:color w:val="000000"/>
                <w:sz w:val="22"/>
                <w:szCs w:val="22"/>
              </w:rPr>
            </w:pPr>
            <w:r w:rsidRPr="00BF4AA8">
              <w:rPr>
                <w:rFonts w:ascii="Arial" w:hAnsi="Arial" w:cs="Arial"/>
                <w:color w:val="000000"/>
                <w:sz w:val="22"/>
                <w:szCs w:val="22"/>
              </w:rPr>
              <w:t>Preah Sihanouk</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310,072</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148,610</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161,462</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47,381</w:t>
            </w:r>
          </w:p>
        </w:tc>
      </w:tr>
      <w:tr w:rsidR="00BF4AA8" w:rsidRPr="00BF4AA8" w:rsidTr="005F1F5C">
        <w:trPr>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rsidR="00BF4AA8" w:rsidRPr="00BF4AA8" w:rsidRDefault="00BF4AA8" w:rsidP="005F1F5C">
            <w:pPr>
              <w:jc w:val="right"/>
              <w:rPr>
                <w:rFonts w:ascii="Arial" w:hAnsi="Arial" w:cs="Arial"/>
                <w:color w:val="000000"/>
                <w:sz w:val="22"/>
                <w:szCs w:val="22"/>
              </w:rPr>
            </w:pPr>
            <w:r w:rsidRPr="00BF4AA8">
              <w:rPr>
                <w:rFonts w:ascii="Arial" w:hAnsi="Arial" w:cs="Arial"/>
                <w:color w:val="000000"/>
                <w:sz w:val="22"/>
                <w:szCs w:val="22"/>
              </w:rPr>
              <w:t>Koh Kong</w:t>
            </w:r>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125,902</w:t>
            </w:r>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62,458</w:t>
            </w:r>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63,444</w:t>
            </w:r>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28,027</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rsidR="00BF4AA8" w:rsidRPr="00BF4AA8" w:rsidRDefault="00BF4AA8" w:rsidP="005F1F5C">
            <w:pPr>
              <w:jc w:val="right"/>
              <w:rPr>
                <w:rFonts w:ascii="Arial" w:hAnsi="Arial" w:cs="Arial"/>
                <w:color w:val="000000"/>
                <w:sz w:val="22"/>
                <w:szCs w:val="22"/>
              </w:rPr>
            </w:pPr>
            <w:proofErr w:type="spellStart"/>
            <w:r w:rsidRPr="00BF4AA8">
              <w:rPr>
                <w:rFonts w:ascii="Arial" w:hAnsi="Arial" w:cs="Arial"/>
                <w:color w:val="000000"/>
                <w:sz w:val="22"/>
                <w:szCs w:val="22"/>
              </w:rPr>
              <w:t>Kampot</w:t>
            </w:r>
            <w:proofErr w:type="spellEnd"/>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593,829</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306,239</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287,590</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143,402</w:t>
            </w:r>
          </w:p>
        </w:tc>
      </w:tr>
      <w:tr w:rsidR="00BF4AA8" w:rsidRPr="00BF4AA8" w:rsidTr="005F1F5C">
        <w:trPr>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rsidR="00BF4AA8" w:rsidRPr="00BF4AA8" w:rsidRDefault="00BF4AA8" w:rsidP="005F1F5C">
            <w:pPr>
              <w:jc w:val="right"/>
              <w:rPr>
                <w:rFonts w:ascii="Arial" w:hAnsi="Arial" w:cs="Arial"/>
                <w:color w:val="000000"/>
                <w:sz w:val="22"/>
                <w:szCs w:val="22"/>
              </w:rPr>
            </w:pPr>
            <w:proofErr w:type="spellStart"/>
            <w:r w:rsidRPr="00BF4AA8">
              <w:rPr>
                <w:rFonts w:ascii="Arial" w:hAnsi="Arial" w:cs="Arial"/>
                <w:color w:val="000000"/>
                <w:sz w:val="22"/>
                <w:szCs w:val="22"/>
              </w:rPr>
              <w:t>Kep</w:t>
            </w:r>
            <w:proofErr w:type="spellEnd"/>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42,665</w:t>
            </w:r>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21,601</w:t>
            </w:r>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21,064</w:t>
            </w:r>
          </w:p>
        </w:tc>
        <w:tc>
          <w:tcPr>
            <w:tcW w:w="172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9,605</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289"/>
        </w:trPr>
        <w:tc>
          <w:tcPr>
            <w:cnfStyle w:val="001000000000" w:firstRow="0" w:lastRow="0" w:firstColumn="1" w:lastColumn="0" w:oddVBand="0" w:evenVBand="0" w:oddHBand="0" w:evenHBand="0" w:firstRowFirstColumn="0" w:firstRowLastColumn="0" w:lastRowFirstColumn="0" w:lastRowLastColumn="0"/>
            <w:tcW w:w="2123" w:type="dxa"/>
            <w:noWrap/>
            <w:hideMark/>
          </w:tcPr>
          <w:p w:rsidR="00BF4AA8" w:rsidRPr="00BF4AA8" w:rsidRDefault="00BF4AA8" w:rsidP="005F1F5C">
            <w:pPr>
              <w:jc w:val="right"/>
              <w:rPr>
                <w:rFonts w:ascii="Arial" w:hAnsi="Arial" w:cs="Arial"/>
                <w:color w:val="000000"/>
                <w:sz w:val="22"/>
                <w:szCs w:val="22"/>
              </w:rPr>
            </w:pPr>
            <w:r w:rsidRPr="00BF4AA8">
              <w:rPr>
                <w:rFonts w:ascii="Arial" w:hAnsi="Arial" w:cs="Arial"/>
                <w:color w:val="000000"/>
                <w:sz w:val="22"/>
                <w:szCs w:val="22"/>
              </w:rPr>
              <w:t>Coastal (total)</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1,072,468</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538,908</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533,560</w:t>
            </w:r>
          </w:p>
        </w:tc>
        <w:tc>
          <w:tcPr>
            <w:tcW w:w="172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228,415</w:t>
            </w:r>
          </w:p>
        </w:tc>
      </w:tr>
    </w:tbl>
    <w:p w:rsidR="00BF4AA8" w:rsidRPr="00BF4AA8" w:rsidRDefault="00BF4AA8" w:rsidP="00BF4AA8">
      <w:pPr>
        <w:spacing w:after="120"/>
        <w:rPr>
          <w:rFonts w:ascii="Arial" w:hAnsi="Arial" w:cs="Arial"/>
          <w:sz w:val="22"/>
          <w:szCs w:val="22"/>
        </w:rPr>
      </w:pPr>
      <w:r w:rsidRPr="00BF4AA8">
        <w:rPr>
          <w:rFonts w:ascii="Arial" w:hAnsi="Arial" w:cs="Arial"/>
          <w:b/>
          <w:bCs/>
          <w:sz w:val="22"/>
          <w:szCs w:val="22"/>
        </w:rPr>
        <w:t>Source:</w:t>
      </w:r>
      <w:r w:rsidRPr="00BF4AA8">
        <w:rPr>
          <w:rFonts w:ascii="Arial" w:hAnsi="Arial" w:cs="Arial"/>
          <w:sz w:val="22"/>
          <w:szCs w:val="22"/>
        </w:rPr>
        <w:t xml:space="preserve"> NIE, General Population Census of Cambodia (1998, 2008, 2019)</w:t>
      </w:r>
    </w:p>
    <w:p w:rsidR="00BF4AA8" w:rsidRPr="00BF4AA8" w:rsidRDefault="00BF4AA8" w:rsidP="00BF4AA8">
      <w:pPr>
        <w:pStyle w:val="Caption"/>
        <w:keepNext/>
        <w:spacing w:before="240" w:after="120"/>
        <w:rPr>
          <w:rFonts w:ascii="Arial" w:eastAsiaTheme="minorHAnsi" w:hAnsi="Arial" w:cs="Arial"/>
          <w:color w:val="002060"/>
          <w:kern w:val="2"/>
          <w:sz w:val="22"/>
          <w:szCs w:val="22"/>
          <w14:ligatures w14:val="standardContextual"/>
        </w:rPr>
      </w:pPr>
      <w:r w:rsidRPr="00BF4AA8">
        <w:rPr>
          <w:rFonts w:ascii="Arial" w:eastAsiaTheme="minorHAnsi" w:hAnsi="Arial" w:cs="Arial"/>
          <w:color w:val="002060"/>
          <w:kern w:val="2"/>
          <w:sz w:val="22"/>
          <w:szCs w:val="22"/>
          <w14:ligatures w14:val="standardContextual"/>
        </w:rPr>
        <w:t>Annex Table 2-</w:t>
      </w:r>
      <w:r w:rsidRPr="00BF4AA8">
        <w:rPr>
          <w:rFonts w:ascii="Arial" w:eastAsiaTheme="minorHAnsi" w:hAnsi="Arial" w:cs="Arial"/>
          <w:color w:val="002060"/>
          <w:kern w:val="2"/>
          <w:sz w:val="22"/>
          <w:szCs w:val="22"/>
          <w14:ligatures w14:val="standardContextual"/>
        </w:rPr>
        <w:fldChar w:fldCharType="begin"/>
      </w:r>
      <w:r w:rsidRPr="00BF4AA8">
        <w:rPr>
          <w:rFonts w:ascii="Arial" w:eastAsiaTheme="minorHAnsi" w:hAnsi="Arial" w:cs="Arial"/>
          <w:color w:val="002060"/>
          <w:kern w:val="2"/>
          <w:sz w:val="22"/>
          <w:szCs w:val="22"/>
          <w14:ligatures w14:val="standardContextual"/>
        </w:rPr>
        <w:instrText xml:space="preserve"> SEQ Annex_Table_2- \* ARABIC </w:instrText>
      </w:r>
      <w:r w:rsidRPr="00BF4AA8">
        <w:rPr>
          <w:rFonts w:ascii="Arial" w:eastAsiaTheme="minorHAnsi" w:hAnsi="Arial" w:cs="Arial"/>
          <w:color w:val="002060"/>
          <w:kern w:val="2"/>
          <w:sz w:val="22"/>
          <w:szCs w:val="22"/>
          <w14:ligatures w14:val="standardContextual"/>
        </w:rPr>
        <w:fldChar w:fldCharType="separate"/>
      </w:r>
      <w:r w:rsidR="00836984">
        <w:rPr>
          <w:rFonts w:ascii="Arial" w:eastAsiaTheme="minorHAnsi" w:hAnsi="Arial" w:cs="Arial"/>
          <w:noProof/>
          <w:color w:val="002060"/>
          <w:kern w:val="2"/>
          <w:sz w:val="22"/>
          <w:szCs w:val="22"/>
          <w14:ligatures w14:val="standardContextual"/>
        </w:rPr>
        <w:t>3</w:t>
      </w:r>
      <w:r w:rsidRPr="00BF4AA8">
        <w:rPr>
          <w:rFonts w:ascii="Arial" w:eastAsiaTheme="minorHAnsi" w:hAnsi="Arial" w:cs="Arial"/>
          <w:color w:val="002060"/>
          <w:kern w:val="2"/>
          <w:sz w:val="22"/>
          <w:szCs w:val="22"/>
          <w14:ligatures w14:val="standardContextual"/>
        </w:rPr>
        <w:fldChar w:fldCharType="end"/>
      </w:r>
      <w:r w:rsidRPr="00BF4AA8">
        <w:rPr>
          <w:rFonts w:ascii="Arial" w:eastAsiaTheme="minorHAnsi" w:hAnsi="Arial" w:cs="Arial"/>
          <w:color w:val="002060"/>
          <w:kern w:val="2"/>
          <w:sz w:val="22"/>
          <w:szCs w:val="22"/>
          <w14:ligatures w14:val="standardContextual"/>
        </w:rPr>
        <w:t xml:space="preserve"> Subnational Coastal Demographic indicators/data (1998, 2008, &amp; 2019)</w:t>
      </w:r>
    </w:p>
    <w:tbl>
      <w:tblPr>
        <w:tblStyle w:val="GridTable4-Accent5"/>
        <w:tblW w:w="9005" w:type="dxa"/>
        <w:tblLook w:val="04A0" w:firstRow="1" w:lastRow="0" w:firstColumn="1" w:lastColumn="0" w:noHBand="0" w:noVBand="1"/>
      </w:tblPr>
      <w:tblGrid>
        <w:gridCol w:w="3964"/>
        <w:gridCol w:w="1560"/>
        <w:gridCol w:w="992"/>
        <w:gridCol w:w="709"/>
        <w:gridCol w:w="1780"/>
      </w:tblGrid>
      <w:tr w:rsidR="00BF4AA8" w:rsidRPr="00BF4AA8" w:rsidTr="005F1F5C">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shd w:val="clear" w:color="auto" w:fill="2E74B5" w:themeFill="accent5" w:themeFillShade="BF"/>
            <w:noWrap/>
            <w:hideMark/>
          </w:tcPr>
          <w:p w:rsidR="00BF4AA8" w:rsidRPr="00BF4AA8" w:rsidRDefault="00BF4AA8" w:rsidP="005F1F5C">
            <w:pPr>
              <w:rPr>
                <w:rFonts w:ascii="Arial" w:hAnsi="Arial" w:cs="Arial"/>
                <w:sz w:val="22"/>
                <w:szCs w:val="22"/>
              </w:rPr>
            </w:pPr>
            <w:r w:rsidRPr="00BF4AA8">
              <w:rPr>
                <w:rFonts w:ascii="Arial" w:hAnsi="Arial" w:cs="Arial"/>
                <w:sz w:val="22"/>
                <w:szCs w:val="22"/>
              </w:rPr>
              <w:t>Areas of subnational Coastal region (km</w:t>
            </w:r>
            <w:r w:rsidRPr="00BF4AA8">
              <w:rPr>
                <w:rFonts w:ascii="Arial" w:hAnsi="Arial" w:cs="Arial"/>
                <w:sz w:val="22"/>
                <w:szCs w:val="22"/>
                <w:vertAlign w:val="superscript"/>
              </w:rPr>
              <w:t>2</w:t>
            </w:r>
            <w:r w:rsidRPr="00BF4AA8">
              <w:rPr>
                <w:rFonts w:ascii="Arial" w:hAnsi="Arial" w:cs="Arial"/>
                <w:sz w:val="22"/>
                <w:szCs w:val="22"/>
              </w:rPr>
              <w:t>)</w:t>
            </w:r>
          </w:p>
        </w:tc>
        <w:tc>
          <w:tcPr>
            <w:tcW w:w="5041" w:type="dxa"/>
            <w:gridSpan w:val="4"/>
            <w:shd w:val="clear" w:color="auto" w:fill="2E74B5" w:themeFill="accent5" w:themeFillShade="BF"/>
            <w:noWrap/>
            <w:vAlign w:val="center"/>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2019</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i/>
                <w:iCs/>
                <w:sz w:val="22"/>
                <w:szCs w:val="22"/>
              </w:rPr>
            </w:pPr>
            <w:r w:rsidRPr="00BF4AA8">
              <w:rPr>
                <w:rFonts w:ascii="Arial" w:hAnsi="Arial" w:cs="Arial"/>
                <w:i/>
                <w:iCs/>
                <w:sz w:val="22"/>
                <w:szCs w:val="22"/>
              </w:rPr>
              <w:t>Coastal area</w:t>
            </w:r>
          </w:p>
        </w:tc>
        <w:tc>
          <w:tcPr>
            <w:tcW w:w="5041" w:type="dxa"/>
            <w:gridSpan w:val="4"/>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17,237</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i/>
                <w:iCs/>
                <w:sz w:val="22"/>
                <w:szCs w:val="22"/>
              </w:rPr>
            </w:pPr>
            <w:r w:rsidRPr="00BF4AA8">
              <w:rPr>
                <w:rFonts w:ascii="Arial" w:hAnsi="Arial" w:cs="Arial"/>
                <w:i/>
                <w:iCs/>
                <w:sz w:val="22"/>
                <w:szCs w:val="22"/>
              </w:rPr>
              <w:t>Preah Sihanouk</w:t>
            </w:r>
          </w:p>
        </w:tc>
        <w:tc>
          <w:tcPr>
            <w:tcW w:w="5041" w:type="dxa"/>
            <w:gridSpan w:val="4"/>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1,938</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i/>
                <w:iCs/>
                <w:sz w:val="22"/>
                <w:szCs w:val="22"/>
              </w:rPr>
            </w:pPr>
            <w:r w:rsidRPr="00BF4AA8">
              <w:rPr>
                <w:rFonts w:ascii="Arial" w:hAnsi="Arial" w:cs="Arial"/>
                <w:i/>
                <w:iCs/>
                <w:sz w:val="22"/>
                <w:szCs w:val="22"/>
              </w:rPr>
              <w:t>Koh Kong</w:t>
            </w:r>
          </w:p>
        </w:tc>
        <w:tc>
          <w:tcPr>
            <w:tcW w:w="5041" w:type="dxa"/>
            <w:gridSpan w:val="4"/>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10,090</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i/>
                <w:iCs/>
                <w:sz w:val="22"/>
                <w:szCs w:val="22"/>
              </w:rPr>
            </w:pPr>
            <w:proofErr w:type="spellStart"/>
            <w:r w:rsidRPr="00BF4AA8">
              <w:rPr>
                <w:rFonts w:ascii="Arial" w:hAnsi="Arial" w:cs="Arial"/>
                <w:i/>
                <w:iCs/>
                <w:sz w:val="22"/>
                <w:szCs w:val="22"/>
              </w:rPr>
              <w:t>Kampot</w:t>
            </w:r>
            <w:proofErr w:type="spellEnd"/>
          </w:p>
        </w:tc>
        <w:tc>
          <w:tcPr>
            <w:tcW w:w="5041" w:type="dxa"/>
            <w:gridSpan w:val="4"/>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4,873</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i/>
                <w:iCs/>
                <w:sz w:val="22"/>
                <w:szCs w:val="22"/>
              </w:rPr>
            </w:pPr>
            <w:proofErr w:type="spellStart"/>
            <w:r w:rsidRPr="00BF4AA8">
              <w:rPr>
                <w:rFonts w:ascii="Arial" w:hAnsi="Arial" w:cs="Arial"/>
                <w:i/>
                <w:iCs/>
                <w:sz w:val="22"/>
                <w:szCs w:val="22"/>
              </w:rPr>
              <w:t>Kep</w:t>
            </w:r>
            <w:proofErr w:type="spellEnd"/>
          </w:p>
        </w:tc>
        <w:tc>
          <w:tcPr>
            <w:tcW w:w="5041" w:type="dxa"/>
            <w:gridSpan w:val="4"/>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336</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3964" w:type="dxa"/>
            <w:shd w:val="clear" w:color="auto" w:fill="2E74B5" w:themeFill="accent5" w:themeFillShade="BF"/>
            <w:noWrap/>
            <w:hideMark/>
          </w:tcPr>
          <w:p w:rsidR="00BF4AA8" w:rsidRPr="00BF4AA8" w:rsidRDefault="00BF4AA8" w:rsidP="005F1F5C">
            <w:pPr>
              <w:rPr>
                <w:rFonts w:ascii="Arial" w:hAnsi="Arial" w:cs="Arial"/>
                <w:color w:val="FFFFFF" w:themeColor="background1"/>
                <w:sz w:val="22"/>
                <w:szCs w:val="22"/>
              </w:rPr>
            </w:pPr>
            <w:r w:rsidRPr="00BF4AA8">
              <w:rPr>
                <w:rFonts w:ascii="Arial" w:hAnsi="Arial" w:cs="Arial"/>
                <w:color w:val="FFFFFF" w:themeColor="background1"/>
                <w:sz w:val="22"/>
                <w:szCs w:val="22"/>
              </w:rPr>
              <w:t>Subnational coastal populations as % of national population</w:t>
            </w:r>
          </w:p>
        </w:tc>
        <w:tc>
          <w:tcPr>
            <w:tcW w:w="1560" w:type="dxa"/>
            <w:shd w:val="clear" w:color="auto" w:fill="2E74B5" w:themeFill="accent5" w:themeFillShade="BF"/>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1998</w:t>
            </w:r>
          </w:p>
        </w:tc>
        <w:tc>
          <w:tcPr>
            <w:tcW w:w="1701" w:type="dxa"/>
            <w:gridSpan w:val="2"/>
            <w:shd w:val="clear" w:color="auto" w:fill="2E74B5" w:themeFill="accent5" w:themeFillShade="BF"/>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2008</w:t>
            </w:r>
          </w:p>
        </w:tc>
        <w:tc>
          <w:tcPr>
            <w:tcW w:w="1780" w:type="dxa"/>
            <w:shd w:val="clear" w:color="auto" w:fill="2E74B5" w:themeFill="accent5" w:themeFillShade="BF"/>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2019</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sz w:val="22"/>
                <w:szCs w:val="22"/>
              </w:rPr>
            </w:pPr>
            <w:r w:rsidRPr="00BF4AA8">
              <w:rPr>
                <w:rFonts w:ascii="Arial" w:hAnsi="Arial" w:cs="Arial"/>
                <w:i/>
                <w:iCs/>
                <w:sz w:val="22"/>
                <w:szCs w:val="22"/>
              </w:rPr>
              <w:t>Coastal area</w:t>
            </w:r>
          </w:p>
        </w:tc>
        <w:tc>
          <w:tcPr>
            <w:tcW w:w="1560" w:type="dxa"/>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7.30</w:t>
            </w:r>
          </w:p>
        </w:tc>
        <w:tc>
          <w:tcPr>
            <w:tcW w:w="1701" w:type="dxa"/>
            <w:gridSpan w:val="2"/>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7.20</w:t>
            </w:r>
          </w:p>
        </w:tc>
        <w:tc>
          <w:tcPr>
            <w:tcW w:w="1780" w:type="dxa"/>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6.90</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sz w:val="22"/>
                <w:szCs w:val="22"/>
              </w:rPr>
            </w:pPr>
            <w:r w:rsidRPr="00BF4AA8">
              <w:rPr>
                <w:rFonts w:ascii="Arial" w:hAnsi="Arial" w:cs="Arial"/>
                <w:i/>
                <w:iCs/>
                <w:sz w:val="22"/>
                <w:szCs w:val="22"/>
              </w:rPr>
              <w:t>Preah Sihanouk</w:t>
            </w:r>
          </w:p>
        </w:tc>
        <w:tc>
          <w:tcPr>
            <w:tcW w:w="1560" w:type="dxa"/>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1.50</w:t>
            </w:r>
          </w:p>
        </w:tc>
        <w:tc>
          <w:tcPr>
            <w:tcW w:w="1701" w:type="dxa"/>
            <w:gridSpan w:val="2"/>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1.70</w:t>
            </w:r>
          </w:p>
        </w:tc>
        <w:tc>
          <w:tcPr>
            <w:tcW w:w="1780" w:type="dxa"/>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2.00</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sz w:val="22"/>
                <w:szCs w:val="22"/>
              </w:rPr>
            </w:pPr>
            <w:r w:rsidRPr="00BF4AA8">
              <w:rPr>
                <w:rFonts w:ascii="Arial" w:hAnsi="Arial" w:cs="Arial"/>
                <w:i/>
                <w:iCs/>
                <w:sz w:val="22"/>
                <w:szCs w:val="22"/>
              </w:rPr>
              <w:t>Koh Kong</w:t>
            </w:r>
          </w:p>
        </w:tc>
        <w:tc>
          <w:tcPr>
            <w:tcW w:w="1560" w:type="dxa"/>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1.01</w:t>
            </w:r>
          </w:p>
        </w:tc>
        <w:tc>
          <w:tcPr>
            <w:tcW w:w="1701" w:type="dxa"/>
            <w:gridSpan w:val="2"/>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0.90</w:t>
            </w:r>
          </w:p>
        </w:tc>
        <w:tc>
          <w:tcPr>
            <w:tcW w:w="1780" w:type="dxa"/>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0.80</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sz w:val="22"/>
                <w:szCs w:val="22"/>
              </w:rPr>
            </w:pPr>
            <w:proofErr w:type="spellStart"/>
            <w:r w:rsidRPr="00BF4AA8">
              <w:rPr>
                <w:rFonts w:ascii="Arial" w:hAnsi="Arial" w:cs="Arial"/>
                <w:i/>
                <w:iCs/>
                <w:sz w:val="22"/>
                <w:szCs w:val="22"/>
              </w:rPr>
              <w:t>Kampot</w:t>
            </w:r>
            <w:proofErr w:type="spellEnd"/>
          </w:p>
        </w:tc>
        <w:tc>
          <w:tcPr>
            <w:tcW w:w="1560" w:type="dxa"/>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4.62</w:t>
            </w:r>
          </w:p>
        </w:tc>
        <w:tc>
          <w:tcPr>
            <w:tcW w:w="1701" w:type="dxa"/>
            <w:gridSpan w:val="2"/>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4.40</w:t>
            </w:r>
          </w:p>
        </w:tc>
        <w:tc>
          <w:tcPr>
            <w:tcW w:w="1780" w:type="dxa"/>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3.80</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sz w:val="22"/>
                <w:szCs w:val="22"/>
              </w:rPr>
            </w:pPr>
            <w:proofErr w:type="spellStart"/>
            <w:r w:rsidRPr="00BF4AA8">
              <w:rPr>
                <w:rFonts w:ascii="Arial" w:hAnsi="Arial" w:cs="Arial"/>
                <w:i/>
                <w:iCs/>
                <w:sz w:val="22"/>
                <w:szCs w:val="22"/>
              </w:rPr>
              <w:t>Kep</w:t>
            </w:r>
            <w:proofErr w:type="spellEnd"/>
          </w:p>
        </w:tc>
        <w:tc>
          <w:tcPr>
            <w:tcW w:w="1560" w:type="dxa"/>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0.25</w:t>
            </w:r>
          </w:p>
        </w:tc>
        <w:tc>
          <w:tcPr>
            <w:tcW w:w="1701" w:type="dxa"/>
            <w:gridSpan w:val="2"/>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0.30</w:t>
            </w:r>
          </w:p>
        </w:tc>
        <w:tc>
          <w:tcPr>
            <w:tcW w:w="1780" w:type="dxa"/>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0.30</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3964" w:type="dxa"/>
            <w:shd w:val="clear" w:color="auto" w:fill="2E74B5" w:themeFill="accent5" w:themeFillShade="BF"/>
            <w:noWrap/>
            <w:hideMark/>
          </w:tcPr>
          <w:p w:rsidR="00BF4AA8" w:rsidRPr="00BF4AA8" w:rsidRDefault="00BF4AA8" w:rsidP="005F1F5C">
            <w:pPr>
              <w:rPr>
                <w:rFonts w:ascii="Arial" w:hAnsi="Arial" w:cs="Arial"/>
                <w:color w:val="FFFFFF" w:themeColor="background1"/>
                <w:sz w:val="22"/>
                <w:szCs w:val="22"/>
              </w:rPr>
            </w:pPr>
            <w:proofErr w:type="gramStart"/>
            <w:r w:rsidRPr="00BF4AA8">
              <w:rPr>
                <w:rFonts w:ascii="Arial" w:hAnsi="Arial" w:cs="Arial"/>
                <w:color w:val="FFFFFF" w:themeColor="background1"/>
                <w:sz w:val="22"/>
                <w:szCs w:val="22"/>
              </w:rPr>
              <w:t>Subnational  Coastal</w:t>
            </w:r>
            <w:proofErr w:type="gramEnd"/>
            <w:r w:rsidRPr="00BF4AA8">
              <w:rPr>
                <w:rFonts w:ascii="Arial" w:hAnsi="Arial" w:cs="Arial"/>
                <w:color w:val="FFFFFF" w:themeColor="background1"/>
                <w:sz w:val="22"/>
                <w:szCs w:val="22"/>
              </w:rPr>
              <w:t xml:space="preserve"> region areas as % of national area</w:t>
            </w:r>
          </w:p>
        </w:tc>
        <w:tc>
          <w:tcPr>
            <w:tcW w:w="5041" w:type="dxa"/>
            <w:gridSpan w:val="4"/>
            <w:shd w:val="clear" w:color="auto" w:fill="2E74B5" w:themeFill="accent5" w:themeFillShade="BF"/>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2019</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sz w:val="22"/>
                <w:szCs w:val="22"/>
              </w:rPr>
            </w:pPr>
            <w:r w:rsidRPr="00BF4AA8">
              <w:rPr>
                <w:rFonts w:ascii="Arial" w:hAnsi="Arial" w:cs="Arial"/>
                <w:i/>
                <w:iCs/>
                <w:sz w:val="22"/>
                <w:szCs w:val="22"/>
              </w:rPr>
              <w:t>Coastal area</w:t>
            </w:r>
          </w:p>
        </w:tc>
        <w:tc>
          <w:tcPr>
            <w:tcW w:w="5041" w:type="dxa"/>
            <w:gridSpan w:val="4"/>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9.52</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sz w:val="22"/>
                <w:szCs w:val="22"/>
              </w:rPr>
            </w:pPr>
            <w:r w:rsidRPr="00BF4AA8">
              <w:rPr>
                <w:rFonts w:ascii="Arial" w:hAnsi="Arial" w:cs="Arial"/>
                <w:i/>
                <w:iCs/>
                <w:sz w:val="22"/>
                <w:szCs w:val="22"/>
              </w:rPr>
              <w:t>Preah Sihanouk</w:t>
            </w:r>
          </w:p>
        </w:tc>
        <w:tc>
          <w:tcPr>
            <w:tcW w:w="5041" w:type="dxa"/>
            <w:gridSpan w:val="4"/>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1.07</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sz w:val="22"/>
                <w:szCs w:val="22"/>
              </w:rPr>
            </w:pPr>
            <w:r w:rsidRPr="00BF4AA8">
              <w:rPr>
                <w:rFonts w:ascii="Arial" w:hAnsi="Arial" w:cs="Arial"/>
                <w:i/>
                <w:iCs/>
                <w:sz w:val="22"/>
                <w:szCs w:val="22"/>
              </w:rPr>
              <w:t>Koh Kong</w:t>
            </w:r>
          </w:p>
        </w:tc>
        <w:tc>
          <w:tcPr>
            <w:tcW w:w="5041" w:type="dxa"/>
            <w:gridSpan w:val="4"/>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5.57</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sz w:val="22"/>
                <w:szCs w:val="22"/>
              </w:rPr>
            </w:pPr>
            <w:proofErr w:type="spellStart"/>
            <w:r w:rsidRPr="00BF4AA8">
              <w:rPr>
                <w:rFonts w:ascii="Arial" w:hAnsi="Arial" w:cs="Arial"/>
                <w:i/>
                <w:iCs/>
                <w:sz w:val="22"/>
                <w:szCs w:val="22"/>
              </w:rPr>
              <w:t>Kampot</w:t>
            </w:r>
            <w:proofErr w:type="spellEnd"/>
          </w:p>
        </w:tc>
        <w:tc>
          <w:tcPr>
            <w:tcW w:w="5041" w:type="dxa"/>
            <w:gridSpan w:val="4"/>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2.69</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sz w:val="22"/>
                <w:szCs w:val="22"/>
              </w:rPr>
            </w:pPr>
            <w:proofErr w:type="spellStart"/>
            <w:r w:rsidRPr="00BF4AA8">
              <w:rPr>
                <w:rFonts w:ascii="Arial" w:hAnsi="Arial" w:cs="Arial"/>
                <w:i/>
                <w:iCs/>
                <w:sz w:val="22"/>
                <w:szCs w:val="22"/>
              </w:rPr>
              <w:t>Kep</w:t>
            </w:r>
            <w:proofErr w:type="spellEnd"/>
          </w:p>
        </w:tc>
        <w:tc>
          <w:tcPr>
            <w:tcW w:w="5041" w:type="dxa"/>
            <w:gridSpan w:val="4"/>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0.19</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3964" w:type="dxa"/>
            <w:shd w:val="clear" w:color="auto" w:fill="2E74B5" w:themeFill="accent5" w:themeFillShade="BF"/>
            <w:noWrap/>
            <w:hideMark/>
          </w:tcPr>
          <w:p w:rsidR="00BF4AA8" w:rsidRPr="00BF4AA8" w:rsidRDefault="00BF4AA8" w:rsidP="005F1F5C">
            <w:pPr>
              <w:rPr>
                <w:rFonts w:ascii="Arial" w:hAnsi="Arial" w:cs="Arial"/>
                <w:color w:val="FFFFFF" w:themeColor="background1"/>
                <w:sz w:val="22"/>
                <w:szCs w:val="22"/>
              </w:rPr>
            </w:pPr>
            <w:r w:rsidRPr="00BF4AA8">
              <w:rPr>
                <w:rFonts w:ascii="Arial" w:hAnsi="Arial" w:cs="Arial"/>
                <w:color w:val="FFFFFF" w:themeColor="background1"/>
                <w:sz w:val="22"/>
                <w:szCs w:val="22"/>
              </w:rPr>
              <w:t xml:space="preserve">Annual </w:t>
            </w:r>
            <w:proofErr w:type="gramStart"/>
            <w:r w:rsidRPr="00BF4AA8">
              <w:rPr>
                <w:rFonts w:ascii="Arial" w:hAnsi="Arial" w:cs="Arial"/>
                <w:color w:val="FFFFFF" w:themeColor="background1"/>
                <w:sz w:val="22"/>
                <w:szCs w:val="22"/>
              </w:rPr>
              <w:t>Subnational  Coastal</w:t>
            </w:r>
            <w:proofErr w:type="gramEnd"/>
            <w:r w:rsidRPr="00BF4AA8">
              <w:rPr>
                <w:rFonts w:ascii="Arial" w:hAnsi="Arial" w:cs="Arial"/>
                <w:color w:val="FFFFFF" w:themeColor="background1"/>
                <w:sz w:val="22"/>
                <w:szCs w:val="22"/>
              </w:rPr>
              <w:t xml:space="preserve"> region population changes (%)</w:t>
            </w:r>
          </w:p>
        </w:tc>
        <w:tc>
          <w:tcPr>
            <w:tcW w:w="2552" w:type="dxa"/>
            <w:gridSpan w:val="2"/>
            <w:shd w:val="clear" w:color="auto" w:fill="2E74B5" w:themeFill="accent5" w:themeFillShade="BF"/>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1998-2008</w:t>
            </w:r>
          </w:p>
        </w:tc>
        <w:tc>
          <w:tcPr>
            <w:tcW w:w="2489" w:type="dxa"/>
            <w:gridSpan w:val="2"/>
            <w:shd w:val="clear" w:color="auto" w:fill="2E74B5" w:themeFill="accent5" w:themeFillShade="BF"/>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2008-2019</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i/>
                <w:iCs/>
                <w:sz w:val="22"/>
                <w:szCs w:val="22"/>
              </w:rPr>
            </w:pPr>
            <w:r w:rsidRPr="00BF4AA8">
              <w:rPr>
                <w:rFonts w:ascii="Arial" w:hAnsi="Arial" w:cs="Arial"/>
                <w:i/>
                <w:iCs/>
                <w:sz w:val="22"/>
                <w:szCs w:val="22"/>
              </w:rPr>
              <w:t>Coastal area</w:t>
            </w:r>
          </w:p>
        </w:tc>
        <w:tc>
          <w:tcPr>
            <w:tcW w:w="2552" w:type="dxa"/>
            <w:gridSpan w:val="2"/>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0.80</w:t>
            </w:r>
          </w:p>
        </w:tc>
        <w:tc>
          <w:tcPr>
            <w:tcW w:w="2489" w:type="dxa"/>
            <w:gridSpan w:val="2"/>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1.00</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i/>
                <w:iCs/>
                <w:sz w:val="22"/>
                <w:szCs w:val="22"/>
              </w:rPr>
            </w:pPr>
            <w:r w:rsidRPr="00BF4AA8">
              <w:rPr>
                <w:rFonts w:ascii="Arial" w:hAnsi="Arial" w:cs="Arial"/>
                <w:i/>
                <w:iCs/>
                <w:sz w:val="22"/>
                <w:szCs w:val="22"/>
              </w:rPr>
              <w:t>Preah Sihanouk</w:t>
            </w:r>
          </w:p>
        </w:tc>
        <w:tc>
          <w:tcPr>
            <w:tcW w:w="2552" w:type="dxa"/>
            <w:gridSpan w:val="2"/>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2.54</w:t>
            </w:r>
          </w:p>
        </w:tc>
        <w:tc>
          <w:tcPr>
            <w:tcW w:w="2489" w:type="dxa"/>
            <w:gridSpan w:val="2"/>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3.10</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i/>
                <w:iCs/>
                <w:sz w:val="22"/>
                <w:szCs w:val="22"/>
              </w:rPr>
            </w:pPr>
            <w:r w:rsidRPr="00BF4AA8">
              <w:rPr>
                <w:rFonts w:ascii="Arial" w:hAnsi="Arial" w:cs="Arial"/>
                <w:i/>
                <w:iCs/>
                <w:sz w:val="22"/>
                <w:szCs w:val="22"/>
              </w:rPr>
              <w:t>Koh Kong</w:t>
            </w:r>
          </w:p>
        </w:tc>
        <w:tc>
          <w:tcPr>
            <w:tcW w:w="2552" w:type="dxa"/>
            <w:gridSpan w:val="2"/>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0.12</w:t>
            </w:r>
          </w:p>
        </w:tc>
        <w:tc>
          <w:tcPr>
            <w:tcW w:w="2489" w:type="dxa"/>
            <w:gridSpan w:val="2"/>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0.60</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i/>
                <w:iCs/>
                <w:sz w:val="22"/>
                <w:szCs w:val="22"/>
              </w:rPr>
            </w:pPr>
            <w:proofErr w:type="spellStart"/>
            <w:r w:rsidRPr="00BF4AA8">
              <w:rPr>
                <w:rFonts w:ascii="Arial" w:hAnsi="Arial" w:cs="Arial"/>
                <w:i/>
                <w:iCs/>
                <w:sz w:val="22"/>
                <w:szCs w:val="22"/>
              </w:rPr>
              <w:t>Kampot</w:t>
            </w:r>
            <w:proofErr w:type="spellEnd"/>
          </w:p>
        </w:tc>
        <w:tc>
          <w:tcPr>
            <w:tcW w:w="2552" w:type="dxa"/>
            <w:gridSpan w:val="2"/>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1.03</w:t>
            </w:r>
          </w:p>
        </w:tc>
        <w:tc>
          <w:tcPr>
            <w:tcW w:w="2489" w:type="dxa"/>
            <w:gridSpan w:val="2"/>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0.10</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i/>
                <w:iCs/>
                <w:sz w:val="22"/>
                <w:szCs w:val="22"/>
              </w:rPr>
            </w:pPr>
            <w:proofErr w:type="spellStart"/>
            <w:r w:rsidRPr="00BF4AA8">
              <w:rPr>
                <w:rFonts w:ascii="Arial" w:hAnsi="Arial" w:cs="Arial"/>
                <w:i/>
                <w:iCs/>
                <w:sz w:val="22"/>
                <w:szCs w:val="22"/>
              </w:rPr>
              <w:t>Kep</w:t>
            </w:r>
            <w:proofErr w:type="spellEnd"/>
          </w:p>
        </w:tc>
        <w:tc>
          <w:tcPr>
            <w:tcW w:w="2552" w:type="dxa"/>
            <w:gridSpan w:val="2"/>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2.21</w:t>
            </w:r>
          </w:p>
        </w:tc>
        <w:tc>
          <w:tcPr>
            <w:tcW w:w="2489" w:type="dxa"/>
            <w:gridSpan w:val="2"/>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1.60</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3964" w:type="dxa"/>
            <w:shd w:val="clear" w:color="auto" w:fill="2E74B5" w:themeFill="accent5" w:themeFillShade="BF"/>
            <w:noWrap/>
            <w:hideMark/>
          </w:tcPr>
          <w:p w:rsidR="00BF4AA8" w:rsidRPr="00BF4AA8" w:rsidRDefault="00BF4AA8" w:rsidP="005F1F5C">
            <w:pPr>
              <w:rPr>
                <w:rFonts w:ascii="Arial" w:hAnsi="Arial" w:cs="Arial"/>
                <w:color w:val="FFFFFF" w:themeColor="background1"/>
                <w:sz w:val="22"/>
                <w:szCs w:val="22"/>
              </w:rPr>
            </w:pPr>
            <w:r w:rsidRPr="00BF4AA8">
              <w:rPr>
                <w:rFonts w:ascii="Arial" w:hAnsi="Arial" w:cs="Arial"/>
                <w:color w:val="FFFFFF" w:themeColor="background1"/>
                <w:sz w:val="22"/>
                <w:szCs w:val="22"/>
              </w:rPr>
              <w:t>Coastal population densities (person/km</w:t>
            </w:r>
            <w:r w:rsidRPr="00BF4AA8">
              <w:rPr>
                <w:rFonts w:ascii="Arial" w:hAnsi="Arial" w:cs="Arial"/>
                <w:color w:val="FFFFFF" w:themeColor="background1"/>
                <w:sz w:val="22"/>
                <w:szCs w:val="22"/>
                <w:vertAlign w:val="superscript"/>
              </w:rPr>
              <w:t>2</w:t>
            </w:r>
            <w:r w:rsidRPr="00BF4AA8">
              <w:rPr>
                <w:rFonts w:ascii="Arial" w:hAnsi="Arial" w:cs="Arial"/>
                <w:color w:val="FFFFFF" w:themeColor="background1"/>
                <w:sz w:val="22"/>
                <w:szCs w:val="22"/>
              </w:rPr>
              <w:t>)</w:t>
            </w:r>
          </w:p>
        </w:tc>
        <w:tc>
          <w:tcPr>
            <w:tcW w:w="1560" w:type="dxa"/>
            <w:shd w:val="clear" w:color="auto" w:fill="2E74B5" w:themeFill="accent5" w:themeFillShade="BF"/>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1998</w:t>
            </w:r>
          </w:p>
        </w:tc>
        <w:tc>
          <w:tcPr>
            <w:tcW w:w="1701" w:type="dxa"/>
            <w:gridSpan w:val="2"/>
            <w:shd w:val="clear" w:color="auto" w:fill="2E74B5" w:themeFill="accent5" w:themeFillShade="BF"/>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2008</w:t>
            </w:r>
          </w:p>
        </w:tc>
        <w:tc>
          <w:tcPr>
            <w:tcW w:w="1780" w:type="dxa"/>
            <w:shd w:val="clear" w:color="auto" w:fill="2E74B5" w:themeFill="accent5" w:themeFillShade="BF"/>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2019</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i/>
                <w:iCs/>
                <w:sz w:val="22"/>
                <w:szCs w:val="22"/>
              </w:rPr>
            </w:pPr>
            <w:r w:rsidRPr="00BF4AA8">
              <w:rPr>
                <w:rFonts w:ascii="Arial" w:hAnsi="Arial" w:cs="Arial"/>
                <w:i/>
                <w:iCs/>
                <w:sz w:val="22"/>
                <w:szCs w:val="22"/>
              </w:rPr>
              <w:t>Coastal area</w:t>
            </w:r>
          </w:p>
        </w:tc>
        <w:tc>
          <w:tcPr>
            <w:tcW w:w="1560" w:type="dxa"/>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49</w:t>
            </w:r>
          </w:p>
        </w:tc>
        <w:tc>
          <w:tcPr>
            <w:tcW w:w="1701" w:type="dxa"/>
            <w:gridSpan w:val="2"/>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56</w:t>
            </w:r>
          </w:p>
        </w:tc>
        <w:tc>
          <w:tcPr>
            <w:tcW w:w="1780" w:type="dxa"/>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62</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i/>
                <w:iCs/>
                <w:sz w:val="22"/>
                <w:szCs w:val="22"/>
              </w:rPr>
            </w:pPr>
            <w:r w:rsidRPr="00BF4AA8">
              <w:rPr>
                <w:rFonts w:ascii="Arial" w:hAnsi="Arial" w:cs="Arial"/>
                <w:i/>
                <w:iCs/>
                <w:sz w:val="22"/>
                <w:szCs w:val="22"/>
              </w:rPr>
              <w:t>Preah Sihanouk</w:t>
            </w:r>
          </w:p>
        </w:tc>
        <w:tc>
          <w:tcPr>
            <w:tcW w:w="1560" w:type="dxa"/>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89</w:t>
            </w:r>
          </w:p>
        </w:tc>
        <w:tc>
          <w:tcPr>
            <w:tcW w:w="1701" w:type="dxa"/>
            <w:gridSpan w:val="2"/>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114</w:t>
            </w:r>
          </w:p>
        </w:tc>
        <w:tc>
          <w:tcPr>
            <w:tcW w:w="1780" w:type="dxa"/>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160</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i/>
                <w:iCs/>
                <w:sz w:val="22"/>
                <w:szCs w:val="22"/>
              </w:rPr>
            </w:pPr>
            <w:r w:rsidRPr="00BF4AA8">
              <w:rPr>
                <w:rFonts w:ascii="Arial" w:hAnsi="Arial" w:cs="Arial"/>
                <w:i/>
                <w:iCs/>
                <w:sz w:val="22"/>
                <w:szCs w:val="22"/>
              </w:rPr>
              <w:t>Koh Kong</w:t>
            </w:r>
          </w:p>
        </w:tc>
        <w:tc>
          <w:tcPr>
            <w:tcW w:w="1560" w:type="dxa"/>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12</w:t>
            </w:r>
          </w:p>
        </w:tc>
        <w:tc>
          <w:tcPr>
            <w:tcW w:w="1701" w:type="dxa"/>
            <w:gridSpan w:val="2"/>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12</w:t>
            </w:r>
          </w:p>
        </w:tc>
        <w:tc>
          <w:tcPr>
            <w:tcW w:w="1780" w:type="dxa"/>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12</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i/>
                <w:iCs/>
                <w:sz w:val="22"/>
                <w:szCs w:val="22"/>
              </w:rPr>
            </w:pPr>
            <w:proofErr w:type="spellStart"/>
            <w:r w:rsidRPr="00BF4AA8">
              <w:rPr>
                <w:rFonts w:ascii="Arial" w:hAnsi="Arial" w:cs="Arial"/>
                <w:i/>
                <w:iCs/>
                <w:sz w:val="22"/>
                <w:szCs w:val="22"/>
              </w:rPr>
              <w:t>Kampot</w:t>
            </w:r>
            <w:proofErr w:type="spellEnd"/>
          </w:p>
        </w:tc>
        <w:tc>
          <w:tcPr>
            <w:tcW w:w="1560" w:type="dxa"/>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108</w:t>
            </w:r>
          </w:p>
        </w:tc>
        <w:tc>
          <w:tcPr>
            <w:tcW w:w="1701" w:type="dxa"/>
            <w:gridSpan w:val="2"/>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120</w:t>
            </w:r>
          </w:p>
        </w:tc>
        <w:tc>
          <w:tcPr>
            <w:tcW w:w="1780" w:type="dxa"/>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122</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i/>
                <w:iCs/>
                <w:sz w:val="22"/>
                <w:szCs w:val="22"/>
              </w:rPr>
            </w:pPr>
            <w:proofErr w:type="spellStart"/>
            <w:r w:rsidRPr="00BF4AA8">
              <w:rPr>
                <w:rFonts w:ascii="Arial" w:hAnsi="Arial" w:cs="Arial"/>
                <w:i/>
                <w:iCs/>
                <w:sz w:val="22"/>
                <w:szCs w:val="22"/>
              </w:rPr>
              <w:t>Kep</w:t>
            </w:r>
            <w:proofErr w:type="spellEnd"/>
          </w:p>
        </w:tc>
        <w:tc>
          <w:tcPr>
            <w:tcW w:w="1560" w:type="dxa"/>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85</w:t>
            </w:r>
          </w:p>
        </w:tc>
        <w:tc>
          <w:tcPr>
            <w:tcW w:w="1701" w:type="dxa"/>
            <w:gridSpan w:val="2"/>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106</w:t>
            </w:r>
          </w:p>
        </w:tc>
        <w:tc>
          <w:tcPr>
            <w:tcW w:w="1780" w:type="dxa"/>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127</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3964" w:type="dxa"/>
            <w:shd w:val="clear" w:color="auto" w:fill="2E74B5" w:themeFill="accent5" w:themeFillShade="BF"/>
            <w:noWrap/>
            <w:hideMark/>
          </w:tcPr>
          <w:p w:rsidR="00BF4AA8" w:rsidRPr="00BF4AA8" w:rsidRDefault="00BF4AA8" w:rsidP="005F1F5C">
            <w:pPr>
              <w:rPr>
                <w:rFonts w:ascii="Arial" w:hAnsi="Arial" w:cs="Arial"/>
                <w:color w:val="FFFFFF" w:themeColor="background1"/>
                <w:sz w:val="22"/>
                <w:szCs w:val="22"/>
              </w:rPr>
            </w:pPr>
            <w:r w:rsidRPr="00BF4AA8">
              <w:rPr>
                <w:rFonts w:ascii="Arial" w:hAnsi="Arial" w:cs="Arial"/>
                <w:color w:val="FFFFFF" w:themeColor="background1"/>
                <w:sz w:val="22"/>
                <w:szCs w:val="22"/>
              </w:rPr>
              <w:t>% of national population in rural and urban areas (%)</w:t>
            </w:r>
          </w:p>
        </w:tc>
        <w:tc>
          <w:tcPr>
            <w:tcW w:w="1560" w:type="dxa"/>
            <w:shd w:val="clear" w:color="auto" w:fill="2E74B5" w:themeFill="accent5" w:themeFillShade="BF"/>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1998</w:t>
            </w:r>
          </w:p>
        </w:tc>
        <w:tc>
          <w:tcPr>
            <w:tcW w:w="1701" w:type="dxa"/>
            <w:gridSpan w:val="2"/>
            <w:shd w:val="clear" w:color="auto" w:fill="2E74B5" w:themeFill="accent5" w:themeFillShade="BF"/>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2008</w:t>
            </w:r>
          </w:p>
        </w:tc>
        <w:tc>
          <w:tcPr>
            <w:tcW w:w="1780" w:type="dxa"/>
            <w:shd w:val="clear" w:color="auto" w:fill="2E74B5" w:themeFill="accent5" w:themeFillShade="BF"/>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2019</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i/>
                <w:iCs/>
                <w:sz w:val="22"/>
                <w:szCs w:val="22"/>
              </w:rPr>
            </w:pPr>
            <w:r w:rsidRPr="00BF4AA8">
              <w:rPr>
                <w:rFonts w:ascii="Arial" w:hAnsi="Arial" w:cs="Arial"/>
                <w:i/>
                <w:iCs/>
                <w:sz w:val="22"/>
                <w:szCs w:val="22"/>
              </w:rPr>
              <w:t>Urban</w:t>
            </w:r>
          </w:p>
        </w:tc>
        <w:tc>
          <w:tcPr>
            <w:tcW w:w="1560" w:type="dxa"/>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15.7</w:t>
            </w:r>
          </w:p>
        </w:tc>
        <w:tc>
          <w:tcPr>
            <w:tcW w:w="1701" w:type="dxa"/>
            <w:gridSpan w:val="2"/>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19.51</w:t>
            </w:r>
          </w:p>
        </w:tc>
        <w:tc>
          <w:tcPr>
            <w:tcW w:w="1780" w:type="dxa"/>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39.45</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3964" w:type="dxa"/>
            <w:noWrap/>
            <w:hideMark/>
          </w:tcPr>
          <w:p w:rsidR="00BF4AA8" w:rsidRPr="00BF4AA8" w:rsidRDefault="00BF4AA8" w:rsidP="005F1F5C">
            <w:pPr>
              <w:jc w:val="right"/>
              <w:rPr>
                <w:rFonts w:ascii="Arial" w:hAnsi="Arial" w:cs="Arial"/>
                <w:i/>
                <w:iCs/>
                <w:sz w:val="22"/>
                <w:szCs w:val="22"/>
              </w:rPr>
            </w:pPr>
            <w:r w:rsidRPr="00BF4AA8">
              <w:rPr>
                <w:rFonts w:ascii="Arial" w:hAnsi="Arial" w:cs="Arial"/>
                <w:i/>
                <w:iCs/>
                <w:sz w:val="22"/>
                <w:szCs w:val="22"/>
              </w:rPr>
              <w:t>Rural</w:t>
            </w:r>
          </w:p>
        </w:tc>
        <w:tc>
          <w:tcPr>
            <w:tcW w:w="1560" w:type="dxa"/>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84.3</w:t>
            </w:r>
          </w:p>
        </w:tc>
        <w:tc>
          <w:tcPr>
            <w:tcW w:w="1701" w:type="dxa"/>
            <w:gridSpan w:val="2"/>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80.49</w:t>
            </w:r>
          </w:p>
        </w:tc>
        <w:tc>
          <w:tcPr>
            <w:tcW w:w="1780" w:type="dxa"/>
            <w:noWrap/>
            <w:vAlign w:val="center"/>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60.55</w:t>
            </w:r>
          </w:p>
        </w:tc>
      </w:tr>
    </w:tbl>
    <w:p w:rsidR="00BF4AA8" w:rsidRPr="00BF4AA8" w:rsidRDefault="00BF4AA8" w:rsidP="00BF4AA8">
      <w:pPr>
        <w:spacing w:after="120"/>
        <w:rPr>
          <w:rFonts w:ascii="Arial" w:hAnsi="Arial" w:cs="Arial"/>
          <w:sz w:val="22"/>
          <w:szCs w:val="22"/>
        </w:rPr>
      </w:pPr>
      <w:r w:rsidRPr="00BF4AA8">
        <w:rPr>
          <w:rFonts w:ascii="Arial" w:hAnsi="Arial" w:cs="Arial"/>
          <w:b/>
          <w:bCs/>
          <w:sz w:val="22"/>
          <w:szCs w:val="22"/>
        </w:rPr>
        <w:t>Source:</w:t>
      </w:r>
      <w:r w:rsidRPr="00BF4AA8">
        <w:rPr>
          <w:rFonts w:ascii="Arial" w:hAnsi="Arial" w:cs="Arial"/>
          <w:sz w:val="22"/>
          <w:szCs w:val="22"/>
        </w:rPr>
        <w:t xml:space="preserve"> NIE, General Population Census of Cambodia (1998, 2008, 2019)</w:t>
      </w:r>
    </w:p>
    <w:p w:rsidR="00BF4AA8" w:rsidRPr="00BF4AA8" w:rsidRDefault="00BF4AA8" w:rsidP="00BF4AA8">
      <w:pPr>
        <w:pStyle w:val="Caption"/>
        <w:spacing w:before="240"/>
        <w:jc w:val="both"/>
        <w:rPr>
          <w:rFonts w:ascii="Arial" w:eastAsiaTheme="minorHAnsi" w:hAnsi="Arial" w:cs="Arial"/>
          <w:b/>
          <w:bCs/>
          <w:i w:val="0"/>
          <w:iCs w:val="0"/>
          <w:color w:val="0070C0"/>
          <w:kern w:val="2"/>
          <w:sz w:val="22"/>
          <w:szCs w:val="22"/>
          <w14:ligatures w14:val="standardContextual"/>
        </w:rPr>
      </w:pPr>
      <w:r w:rsidRPr="00BF4AA8">
        <w:rPr>
          <w:rFonts w:ascii="Arial" w:eastAsiaTheme="minorHAnsi" w:hAnsi="Arial" w:cs="Arial"/>
          <w:b/>
          <w:bCs/>
          <w:i w:val="0"/>
          <w:iCs w:val="0"/>
          <w:color w:val="0070C0"/>
          <w:kern w:val="2"/>
          <w:sz w:val="22"/>
          <w:szCs w:val="22"/>
          <w14:ligatures w14:val="standardContextual"/>
        </w:rPr>
        <w:t>B. Human wellbeing indicators</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Human wellbeing indicators capture longer-term development trends and distributional outcomes. The annex reports national and subnational Human Development Index (HDI/SHDI), inequality-adjusted HDI (IHDI), multidimensional poverty (MPI), and income/consumption-based poverty measures, together with selected social indicators (education, health, social protection coverage) where available. HDI and IHDI </w:t>
      </w:r>
      <w:proofErr w:type="gramStart"/>
      <w:r w:rsidRPr="00BF4AA8">
        <w:rPr>
          <w:rFonts w:ascii="Arial" w:hAnsi="Arial" w:cs="Arial"/>
          <w:sz w:val="22"/>
          <w:szCs w:val="22"/>
        </w:rPr>
        <w:t>are taken</w:t>
      </w:r>
      <w:proofErr w:type="gramEnd"/>
      <w:r w:rsidRPr="00BF4AA8">
        <w:rPr>
          <w:rFonts w:ascii="Arial" w:hAnsi="Arial" w:cs="Arial"/>
          <w:sz w:val="22"/>
          <w:szCs w:val="22"/>
        </w:rPr>
        <w:t xml:space="preserve"> from UNDP Human Development Reports, SHDI from Global Data Lab, and monetary poverty from World Bank and national poverty assessments, complemented by </w:t>
      </w:r>
      <w:proofErr w:type="spellStart"/>
      <w:r w:rsidRPr="00BF4AA8">
        <w:rPr>
          <w:rFonts w:ascii="Arial" w:hAnsi="Arial" w:cs="Arial"/>
          <w:sz w:val="22"/>
          <w:szCs w:val="22"/>
        </w:rPr>
        <w:t>IDPoor</w:t>
      </w:r>
      <w:proofErr w:type="spellEnd"/>
      <w:r w:rsidRPr="00BF4AA8">
        <w:rPr>
          <w:rFonts w:ascii="Arial" w:hAnsi="Arial" w:cs="Arial"/>
          <w:sz w:val="22"/>
          <w:szCs w:val="22"/>
        </w:rPr>
        <w:t xml:space="preserve"> targeting data. Methods focus on comparing coastal provinces with national averages, highlighting gaps or penalties (</w:t>
      </w:r>
      <w:proofErr w:type="gramStart"/>
      <w:r w:rsidRPr="00BF4AA8">
        <w:rPr>
          <w:rFonts w:ascii="Arial" w:hAnsi="Arial" w:cs="Arial"/>
          <w:sz w:val="22"/>
          <w:szCs w:val="22"/>
        </w:rPr>
        <w:t>e.g.</w:t>
      </w:r>
      <w:proofErr w:type="gramEnd"/>
      <w:r w:rsidRPr="00BF4AA8">
        <w:rPr>
          <w:rFonts w:ascii="Arial" w:hAnsi="Arial" w:cs="Arial"/>
          <w:sz w:val="22"/>
          <w:szCs w:val="22"/>
        </w:rPr>
        <w:t xml:space="preserve"> the IHDI “loss” due to inequality) and how these have evolved over time.</w:t>
      </w:r>
    </w:p>
    <w:p w:rsidR="00BF4AA8" w:rsidRPr="00BF4AA8" w:rsidRDefault="00BF4AA8" w:rsidP="00BF4AA8">
      <w:pPr>
        <w:pStyle w:val="Caption"/>
        <w:keepNext/>
        <w:spacing w:before="240" w:after="120"/>
        <w:rPr>
          <w:rFonts w:ascii="Arial" w:eastAsiaTheme="minorHAnsi" w:hAnsi="Arial" w:cs="Arial"/>
          <w:color w:val="002060"/>
          <w:kern w:val="2"/>
          <w:sz w:val="22"/>
          <w:szCs w:val="22"/>
          <w14:ligatures w14:val="standardContextual"/>
        </w:rPr>
      </w:pPr>
      <w:r w:rsidRPr="00BF4AA8">
        <w:rPr>
          <w:rFonts w:ascii="Arial" w:eastAsiaTheme="minorHAnsi" w:hAnsi="Arial" w:cs="Arial"/>
          <w:color w:val="002060"/>
          <w:kern w:val="2"/>
          <w:sz w:val="22"/>
          <w:szCs w:val="22"/>
          <w14:ligatures w14:val="standardContextual"/>
        </w:rPr>
        <w:t>Annex Table 2-</w:t>
      </w:r>
      <w:r w:rsidRPr="00BF4AA8">
        <w:rPr>
          <w:rFonts w:ascii="Arial" w:eastAsiaTheme="minorHAnsi" w:hAnsi="Arial" w:cs="Arial"/>
          <w:color w:val="002060"/>
          <w:kern w:val="2"/>
          <w:sz w:val="22"/>
          <w:szCs w:val="22"/>
          <w14:ligatures w14:val="standardContextual"/>
        </w:rPr>
        <w:fldChar w:fldCharType="begin"/>
      </w:r>
      <w:r w:rsidRPr="00BF4AA8">
        <w:rPr>
          <w:rFonts w:ascii="Arial" w:eastAsiaTheme="minorHAnsi" w:hAnsi="Arial" w:cs="Arial"/>
          <w:color w:val="002060"/>
          <w:kern w:val="2"/>
          <w:sz w:val="22"/>
          <w:szCs w:val="22"/>
          <w14:ligatures w14:val="standardContextual"/>
        </w:rPr>
        <w:instrText xml:space="preserve"> SEQ Annex_Table_2- \* ARABIC </w:instrText>
      </w:r>
      <w:r w:rsidRPr="00BF4AA8">
        <w:rPr>
          <w:rFonts w:ascii="Arial" w:eastAsiaTheme="minorHAnsi" w:hAnsi="Arial" w:cs="Arial"/>
          <w:color w:val="002060"/>
          <w:kern w:val="2"/>
          <w:sz w:val="22"/>
          <w:szCs w:val="22"/>
          <w14:ligatures w14:val="standardContextual"/>
        </w:rPr>
        <w:fldChar w:fldCharType="separate"/>
      </w:r>
      <w:r w:rsidR="00836984">
        <w:rPr>
          <w:rFonts w:ascii="Arial" w:eastAsiaTheme="minorHAnsi" w:hAnsi="Arial" w:cs="Arial"/>
          <w:noProof/>
          <w:color w:val="002060"/>
          <w:kern w:val="2"/>
          <w:sz w:val="22"/>
          <w:szCs w:val="22"/>
          <w14:ligatures w14:val="standardContextual"/>
        </w:rPr>
        <w:t>4</w:t>
      </w:r>
      <w:r w:rsidRPr="00BF4AA8">
        <w:rPr>
          <w:rFonts w:ascii="Arial" w:eastAsiaTheme="minorHAnsi" w:hAnsi="Arial" w:cs="Arial"/>
          <w:color w:val="002060"/>
          <w:kern w:val="2"/>
          <w:sz w:val="22"/>
          <w:szCs w:val="22"/>
          <w14:ligatures w14:val="standardContextual"/>
        </w:rPr>
        <w:fldChar w:fldCharType="end"/>
      </w:r>
      <w:r w:rsidRPr="00BF4AA8">
        <w:rPr>
          <w:rFonts w:ascii="Arial" w:eastAsiaTheme="minorHAnsi" w:hAnsi="Arial" w:cs="Arial"/>
          <w:color w:val="002060"/>
          <w:kern w:val="2"/>
          <w:sz w:val="22"/>
          <w:szCs w:val="22"/>
          <w14:ligatures w14:val="standardContextual"/>
        </w:rPr>
        <w:t xml:space="preserve"> Human wellbeing indicators: data sources, metadata, &amp; assessment methods</w:t>
      </w:r>
    </w:p>
    <w:tbl>
      <w:tblPr>
        <w:tblStyle w:val="GridTable4-Accent5"/>
        <w:tblW w:w="0" w:type="auto"/>
        <w:tblLook w:val="04A0" w:firstRow="1" w:lastRow="0" w:firstColumn="1" w:lastColumn="0" w:noHBand="0" w:noVBand="1"/>
      </w:tblPr>
      <w:tblGrid>
        <w:gridCol w:w="1905"/>
        <w:gridCol w:w="1297"/>
        <w:gridCol w:w="1159"/>
        <w:gridCol w:w="1309"/>
        <w:gridCol w:w="1102"/>
        <w:gridCol w:w="1716"/>
      </w:tblGrid>
      <w:tr w:rsidR="00BF4AA8"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Indicator</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Definition &amp; Unit</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Spatial Coverage</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Time Series Availability</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Primary Data Sources</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Computation / Notes</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HDI (Human Development Index)</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Index (0–1)</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Style w:val="Strong"/>
                <w:rFonts w:ascii="Arial" w:eastAsiaTheme="majorEastAsia" w:hAnsi="Arial" w:cs="Arial"/>
                <w:sz w:val="22"/>
                <w:szCs w:val="22"/>
              </w:rPr>
              <w:t>1990–2023</w:t>
            </w:r>
            <w:r w:rsidRPr="00BF4AA8">
              <w:rPr>
                <w:rFonts w:ascii="Arial" w:hAnsi="Arial" w:cs="Arial"/>
                <w:sz w:val="22"/>
                <w:szCs w:val="22"/>
              </w:rPr>
              <w:t xml:space="preserve"> (annual)</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UNDP HDR Statistical Annex 2023/24</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Standard HDR methodology; no recalculations.</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IHDI (Inequality-adjusted HDI)</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Adjusted index &amp; % “loss”</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Latest available year</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UNDP HDR</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IHDI penalty = (HDI−IHDI)/HDI.</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SHDI (Subnational Human Development Index)</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Index (0–1)</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Provincial</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Latest available year (typically 2019–2022)</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Global Data Lab</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Used to compare coastal vs. non-coastal gaps; static (no historical series).</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Monetary poverty (national poverty line)</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of people/HH below line</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&amp; provincial</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Various rounds: </w:t>
            </w:r>
            <w:r w:rsidRPr="00BF4AA8">
              <w:rPr>
                <w:rStyle w:val="Strong"/>
                <w:rFonts w:ascii="Arial" w:eastAsiaTheme="majorEastAsia" w:hAnsi="Arial" w:cs="Arial"/>
                <w:sz w:val="22"/>
                <w:szCs w:val="22"/>
              </w:rPr>
              <w:t>2007, 2009, 2012, 2014, 2019–2020</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World Bank; </w:t>
            </w:r>
            <w:proofErr w:type="spellStart"/>
            <w:r w:rsidRPr="00BF4AA8">
              <w:rPr>
                <w:rFonts w:ascii="Arial" w:hAnsi="Arial" w:cs="Arial"/>
                <w:sz w:val="22"/>
                <w:szCs w:val="22"/>
              </w:rPr>
              <w:t>IDPoor</w:t>
            </w:r>
            <w:proofErr w:type="spellEnd"/>
            <w:r w:rsidRPr="00BF4AA8">
              <w:rPr>
                <w:rFonts w:ascii="Arial" w:hAnsi="Arial" w:cs="Arial"/>
                <w:sz w:val="22"/>
                <w:szCs w:val="22"/>
              </w:rPr>
              <w:t xml:space="preserve">; </w:t>
            </w:r>
            <w:proofErr w:type="spellStart"/>
            <w:r w:rsidRPr="00BF4AA8">
              <w:rPr>
                <w:rFonts w:ascii="Arial" w:hAnsi="Arial" w:cs="Arial"/>
                <w:sz w:val="22"/>
                <w:szCs w:val="22"/>
              </w:rPr>
              <w:t>MoP</w:t>
            </w:r>
            <w:proofErr w:type="spellEnd"/>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Poverty lines changed across rounds; breakpoints documented in notes.</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Multidimensional Poverty Index (MPI)</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poor; intensity of deprivation</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regions</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Latest MPI release (2023/24)</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OPHI &amp; UNDP</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Not comparable across years; interpret as cross-section.</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Social protection coverage</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 of HH benefiting from </w:t>
            </w:r>
            <w:proofErr w:type="spellStart"/>
            <w:r w:rsidRPr="00BF4AA8">
              <w:rPr>
                <w:rFonts w:ascii="Arial" w:hAnsi="Arial" w:cs="Arial"/>
                <w:sz w:val="22"/>
                <w:szCs w:val="22"/>
              </w:rPr>
              <w:t>IDPoor</w:t>
            </w:r>
            <w:proofErr w:type="spellEnd"/>
            <w:r w:rsidRPr="00BF4AA8">
              <w:rPr>
                <w:rFonts w:ascii="Arial" w:hAnsi="Arial" w:cs="Arial"/>
                <w:sz w:val="22"/>
                <w:szCs w:val="22"/>
              </w:rPr>
              <w:t>, cash transfers or health insurance</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coastal if available</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2019–2024 (irregular)</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IDPoor</w:t>
            </w:r>
            <w:proofErr w:type="spellEnd"/>
            <w:r w:rsidRPr="00BF4AA8">
              <w:rPr>
                <w:rFonts w:ascii="Arial" w:hAnsi="Arial" w:cs="Arial"/>
                <w:sz w:val="22"/>
                <w:szCs w:val="22"/>
              </w:rPr>
              <w:t xml:space="preserve">; MEF; </w:t>
            </w:r>
            <w:proofErr w:type="spellStart"/>
            <w:r w:rsidRPr="00BF4AA8">
              <w:rPr>
                <w:rFonts w:ascii="Arial" w:hAnsi="Arial" w:cs="Arial"/>
                <w:sz w:val="22"/>
                <w:szCs w:val="22"/>
              </w:rPr>
              <w:t>MoSVY</w:t>
            </w:r>
            <w:proofErr w:type="spellEnd"/>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Used as qualitative adaptive-capacity indicator.</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Education/Health basic indicators</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Literacy; school attendance; child survival</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provincial where available</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Census years + select DHS years</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NIS; DHS</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Limited coastal disaggregation; used qualitatively.</w:t>
            </w:r>
          </w:p>
        </w:tc>
      </w:tr>
    </w:tbl>
    <w:p w:rsidR="00BF4AA8" w:rsidRPr="00BF4AA8" w:rsidRDefault="00BF4AA8" w:rsidP="00BF4AA8">
      <w:pPr>
        <w:pStyle w:val="Caption"/>
        <w:keepNext/>
        <w:spacing w:before="240" w:after="120"/>
        <w:rPr>
          <w:rFonts w:ascii="Arial" w:eastAsiaTheme="minorHAnsi" w:hAnsi="Arial" w:cs="Arial"/>
          <w:color w:val="002060"/>
          <w:kern w:val="2"/>
          <w:sz w:val="22"/>
          <w:szCs w:val="22"/>
          <w14:ligatures w14:val="standardContextual"/>
        </w:rPr>
      </w:pPr>
      <w:r w:rsidRPr="00BF4AA8">
        <w:rPr>
          <w:rFonts w:ascii="Arial" w:eastAsiaTheme="minorHAnsi" w:hAnsi="Arial" w:cs="Arial"/>
          <w:color w:val="002060"/>
          <w:kern w:val="2"/>
          <w:sz w:val="22"/>
          <w:szCs w:val="22"/>
          <w14:ligatures w14:val="standardContextual"/>
        </w:rPr>
        <w:t>Annex Table 2-</w:t>
      </w:r>
      <w:r w:rsidRPr="00BF4AA8">
        <w:rPr>
          <w:rFonts w:ascii="Arial" w:eastAsiaTheme="minorHAnsi" w:hAnsi="Arial" w:cs="Arial"/>
          <w:color w:val="002060"/>
          <w:kern w:val="2"/>
          <w:sz w:val="22"/>
          <w:szCs w:val="22"/>
          <w14:ligatures w14:val="standardContextual"/>
        </w:rPr>
        <w:fldChar w:fldCharType="begin"/>
      </w:r>
      <w:r w:rsidRPr="00BF4AA8">
        <w:rPr>
          <w:rFonts w:ascii="Arial" w:eastAsiaTheme="minorHAnsi" w:hAnsi="Arial" w:cs="Arial"/>
          <w:color w:val="002060"/>
          <w:kern w:val="2"/>
          <w:sz w:val="22"/>
          <w:szCs w:val="22"/>
          <w14:ligatures w14:val="standardContextual"/>
        </w:rPr>
        <w:instrText xml:space="preserve"> SEQ Annex_Table_2- \* ARABIC </w:instrText>
      </w:r>
      <w:r w:rsidRPr="00BF4AA8">
        <w:rPr>
          <w:rFonts w:ascii="Arial" w:eastAsiaTheme="minorHAnsi" w:hAnsi="Arial" w:cs="Arial"/>
          <w:color w:val="002060"/>
          <w:kern w:val="2"/>
          <w:sz w:val="22"/>
          <w:szCs w:val="22"/>
          <w14:ligatures w14:val="standardContextual"/>
        </w:rPr>
        <w:fldChar w:fldCharType="separate"/>
      </w:r>
      <w:r w:rsidR="00836984">
        <w:rPr>
          <w:rFonts w:ascii="Arial" w:eastAsiaTheme="minorHAnsi" w:hAnsi="Arial" w:cs="Arial"/>
          <w:noProof/>
          <w:color w:val="002060"/>
          <w:kern w:val="2"/>
          <w:sz w:val="22"/>
          <w:szCs w:val="22"/>
          <w14:ligatures w14:val="standardContextual"/>
        </w:rPr>
        <w:t>5</w:t>
      </w:r>
      <w:r w:rsidRPr="00BF4AA8">
        <w:rPr>
          <w:rFonts w:ascii="Arial" w:eastAsiaTheme="minorHAnsi" w:hAnsi="Arial" w:cs="Arial"/>
          <w:color w:val="002060"/>
          <w:kern w:val="2"/>
          <w:sz w:val="22"/>
          <w:szCs w:val="22"/>
          <w14:ligatures w14:val="standardContextual"/>
        </w:rPr>
        <w:fldChar w:fldCharType="end"/>
      </w:r>
      <w:r w:rsidRPr="00BF4AA8">
        <w:rPr>
          <w:rFonts w:ascii="Arial" w:eastAsiaTheme="minorHAnsi" w:hAnsi="Arial" w:cs="Arial"/>
          <w:color w:val="002060"/>
          <w:kern w:val="2"/>
          <w:sz w:val="22"/>
          <w:szCs w:val="22"/>
          <w14:ligatures w14:val="standardContextual"/>
        </w:rPr>
        <w:t xml:space="preserve"> Poor data and rate by person and household (national vs coastal provinces)</w:t>
      </w:r>
    </w:p>
    <w:tbl>
      <w:tblPr>
        <w:tblStyle w:val="GridTable4-Accent5"/>
        <w:tblW w:w="0" w:type="auto"/>
        <w:tblLook w:val="04A0" w:firstRow="1" w:lastRow="0" w:firstColumn="1" w:lastColumn="0" w:noHBand="0" w:noVBand="1"/>
      </w:tblPr>
      <w:tblGrid>
        <w:gridCol w:w="2037"/>
        <w:gridCol w:w="1580"/>
        <w:gridCol w:w="1558"/>
        <w:gridCol w:w="1643"/>
        <w:gridCol w:w="1670"/>
      </w:tblGrid>
      <w:tr w:rsidR="00BF4AA8" w:rsidRPr="00BF4AA8" w:rsidTr="005F1F5C">
        <w:trPr>
          <w:cnfStyle w:val="100000000000" w:firstRow="1" w:lastRow="0" w:firstColumn="0" w:lastColumn="0" w:oddVBand="0" w:evenVBand="0" w:oddHBand="0" w:evenHBand="0" w:firstRowFirstColumn="0" w:firstRowLastColumn="0" w:lastRowFirstColumn="0" w:lastRowLastColumn="0"/>
          <w:trHeight w:val="524"/>
        </w:trPr>
        <w:tc>
          <w:tcPr>
            <w:cnfStyle w:val="001000000000" w:firstRow="0" w:lastRow="0" w:firstColumn="1" w:lastColumn="0" w:oddVBand="0" w:evenVBand="0" w:oddHBand="0" w:evenHBand="0" w:firstRowFirstColumn="0" w:firstRowLastColumn="0" w:lastRowFirstColumn="0" w:lastRowLastColumn="0"/>
            <w:tcW w:w="2124" w:type="dxa"/>
            <w:vAlign w:val="center"/>
          </w:tcPr>
          <w:p w:rsidR="00BF4AA8" w:rsidRPr="00BF4AA8" w:rsidRDefault="00BF4AA8" w:rsidP="005F1F5C">
            <w:pPr>
              <w:jc w:val="center"/>
              <w:rPr>
                <w:rFonts w:ascii="Arial" w:hAnsi="Arial" w:cs="Arial"/>
                <w:sz w:val="22"/>
                <w:szCs w:val="22"/>
              </w:rPr>
            </w:pPr>
            <w:bookmarkStart w:id="13" w:name="OLE_LINK1"/>
            <w:r w:rsidRPr="00BF4AA8">
              <w:rPr>
                <w:rFonts w:ascii="Arial" w:hAnsi="Arial" w:cs="Arial"/>
                <w:sz w:val="22"/>
                <w:szCs w:val="22"/>
              </w:rPr>
              <w:t>Province/Area</w:t>
            </w:r>
          </w:p>
        </w:tc>
        <w:tc>
          <w:tcPr>
            <w:tcW w:w="1678" w:type="dxa"/>
            <w:vAlign w:val="center"/>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Poor persons</w:t>
            </w:r>
          </w:p>
        </w:tc>
        <w:tc>
          <w:tcPr>
            <w:tcW w:w="1678" w:type="dxa"/>
            <w:vAlign w:val="center"/>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proofErr w:type="gramStart"/>
            <w:r w:rsidRPr="00BF4AA8">
              <w:rPr>
                <w:rFonts w:ascii="Arial" w:hAnsi="Arial" w:cs="Arial"/>
                <w:sz w:val="22"/>
                <w:szCs w:val="22"/>
              </w:rPr>
              <w:t>Persons</w:t>
            </w:r>
            <w:proofErr w:type="gramEnd"/>
            <w:r w:rsidRPr="00BF4AA8">
              <w:rPr>
                <w:rFonts w:ascii="Arial" w:hAnsi="Arial" w:cs="Arial"/>
                <w:sz w:val="22"/>
                <w:szCs w:val="22"/>
              </w:rPr>
              <w:t xml:space="preserve"> rate (%)</w:t>
            </w:r>
          </w:p>
        </w:tc>
        <w:tc>
          <w:tcPr>
            <w:tcW w:w="1692" w:type="dxa"/>
            <w:vAlign w:val="center"/>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Poor households</w:t>
            </w:r>
          </w:p>
        </w:tc>
        <w:tc>
          <w:tcPr>
            <w:tcW w:w="1719" w:type="dxa"/>
            <w:vAlign w:val="center"/>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Households rate (%)</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2124" w:type="dxa"/>
          </w:tcPr>
          <w:p w:rsidR="00BF4AA8" w:rsidRPr="00BF4AA8" w:rsidRDefault="00BF4AA8" w:rsidP="005F1F5C">
            <w:pPr>
              <w:rPr>
                <w:rFonts w:ascii="Arial" w:hAnsi="Arial" w:cs="Arial"/>
                <w:sz w:val="22"/>
                <w:szCs w:val="22"/>
              </w:rPr>
            </w:pPr>
            <w:proofErr w:type="spellStart"/>
            <w:r w:rsidRPr="00BF4AA8">
              <w:rPr>
                <w:rFonts w:ascii="Arial" w:hAnsi="Arial" w:cs="Arial"/>
                <w:sz w:val="22"/>
                <w:szCs w:val="22"/>
              </w:rPr>
              <w:t>Kampot</w:t>
            </w:r>
            <w:proofErr w:type="spellEnd"/>
          </w:p>
        </w:tc>
        <w:tc>
          <w:tcPr>
            <w:tcW w:w="1678" w:type="dxa"/>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110,044</w:t>
            </w:r>
          </w:p>
        </w:tc>
        <w:tc>
          <w:tcPr>
            <w:tcW w:w="1678" w:type="dxa"/>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15.53</w:t>
            </w:r>
          </w:p>
        </w:tc>
        <w:tc>
          <w:tcPr>
            <w:tcW w:w="1692" w:type="dxa"/>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28,743</w:t>
            </w:r>
          </w:p>
        </w:tc>
        <w:tc>
          <w:tcPr>
            <w:tcW w:w="1719" w:type="dxa"/>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17.79</w:t>
            </w:r>
          </w:p>
        </w:tc>
      </w:tr>
      <w:tr w:rsidR="00BF4AA8" w:rsidRPr="00BF4AA8" w:rsidTr="005F1F5C">
        <w:trPr>
          <w:trHeight w:val="524"/>
        </w:trPr>
        <w:tc>
          <w:tcPr>
            <w:cnfStyle w:val="001000000000" w:firstRow="0" w:lastRow="0" w:firstColumn="1" w:lastColumn="0" w:oddVBand="0" w:evenVBand="0" w:oddHBand="0" w:evenHBand="0" w:firstRowFirstColumn="0" w:firstRowLastColumn="0" w:lastRowFirstColumn="0" w:lastRowLastColumn="0"/>
            <w:tcW w:w="2124" w:type="dxa"/>
          </w:tcPr>
          <w:p w:rsidR="00BF4AA8" w:rsidRPr="00BF4AA8" w:rsidRDefault="00BF4AA8" w:rsidP="005F1F5C">
            <w:pPr>
              <w:rPr>
                <w:rFonts w:ascii="Arial" w:hAnsi="Arial" w:cs="Arial"/>
                <w:sz w:val="22"/>
                <w:szCs w:val="22"/>
              </w:rPr>
            </w:pPr>
            <w:r w:rsidRPr="00BF4AA8">
              <w:rPr>
                <w:rFonts w:ascii="Arial" w:hAnsi="Arial" w:cs="Arial"/>
                <w:sz w:val="22"/>
                <w:szCs w:val="22"/>
              </w:rPr>
              <w:t>Preah Sihanouk</w:t>
            </w:r>
          </w:p>
        </w:tc>
        <w:tc>
          <w:tcPr>
            <w:tcW w:w="1678" w:type="dxa"/>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38,775</w:t>
            </w:r>
          </w:p>
        </w:tc>
        <w:tc>
          <w:tcPr>
            <w:tcW w:w="1678" w:type="dxa"/>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16.91</w:t>
            </w:r>
          </w:p>
        </w:tc>
        <w:tc>
          <w:tcPr>
            <w:tcW w:w="1692" w:type="dxa"/>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8,445</w:t>
            </w:r>
          </w:p>
        </w:tc>
        <w:tc>
          <w:tcPr>
            <w:tcW w:w="1719" w:type="dxa"/>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16.71</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2124" w:type="dxa"/>
          </w:tcPr>
          <w:p w:rsidR="00BF4AA8" w:rsidRPr="00BF4AA8" w:rsidRDefault="00BF4AA8" w:rsidP="005F1F5C">
            <w:pPr>
              <w:rPr>
                <w:rFonts w:ascii="Arial" w:hAnsi="Arial" w:cs="Arial"/>
                <w:sz w:val="22"/>
                <w:szCs w:val="22"/>
              </w:rPr>
            </w:pPr>
            <w:r w:rsidRPr="00BF4AA8">
              <w:rPr>
                <w:rFonts w:ascii="Arial" w:hAnsi="Arial" w:cs="Arial"/>
                <w:sz w:val="22"/>
                <w:szCs w:val="22"/>
              </w:rPr>
              <w:t>Koh Kong</w:t>
            </w:r>
          </w:p>
        </w:tc>
        <w:tc>
          <w:tcPr>
            <w:tcW w:w="1678" w:type="dxa"/>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34,997</w:t>
            </w:r>
          </w:p>
        </w:tc>
        <w:tc>
          <w:tcPr>
            <w:tcW w:w="1678" w:type="dxa"/>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38.53</w:t>
            </w:r>
          </w:p>
        </w:tc>
        <w:tc>
          <w:tcPr>
            <w:tcW w:w="1692" w:type="dxa"/>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7,990</w:t>
            </w:r>
          </w:p>
        </w:tc>
        <w:tc>
          <w:tcPr>
            <w:tcW w:w="1719" w:type="dxa"/>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25.36</w:t>
            </w:r>
          </w:p>
        </w:tc>
      </w:tr>
      <w:tr w:rsidR="00BF4AA8" w:rsidRPr="00BF4AA8" w:rsidTr="005F1F5C">
        <w:trPr>
          <w:trHeight w:val="261"/>
        </w:trPr>
        <w:tc>
          <w:tcPr>
            <w:cnfStyle w:val="001000000000" w:firstRow="0" w:lastRow="0" w:firstColumn="1" w:lastColumn="0" w:oddVBand="0" w:evenVBand="0" w:oddHBand="0" w:evenHBand="0" w:firstRowFirstColumn="0" w:firstRowLastColumn="0" w:lastRowFirstColumn="0" w:lastRowLastColumn="0"/>
            <w:tcW w:w="2124" w:type="dxa"/>
          </w:tcPr>
          <w:p w:rsidR="00BF4AA8" w:rsidRPr="00BF4AA8" w:rsidRDefault="00BF4AA8" w:rsidP="005F1F5C">
            <w:pPr>
              <w:rPr>
                <w:rFonts w:ascii="Arial" w:hAnsi="Arial" w:cs="Arial"/>
                <w:sz w:val="22"/>
                <w:szCs w:val="22"/>
              </w:rPr>
            </w:pPr>
            <w:proofErr w:type="spellStart"/>
            <w:r w:rsidRPr="00BF4AA8">
              <w:rPr>
                <w:rFonts w:ascii="Arial" w:hAnsi="Arial" w:cs="Arial"/>
                <w:sz w:val="22"/>
                <w:szCs w:val="22"/>
              </w:rPr>
              <w:t>Kep</w:t>
            </w:r>
            <w:proofErr w:type="spellEnd"/>
          </w:p>
        </w:tc>
        <w:tc>
          <w:tcPr>
            <w:tcW w:w="1678" w:type="dxa"/>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5,636</w:t>
            </w:r>
          </w:p>
        </w:tc>
        <w:tc>
          <w:tcPr>
            <w:tcW w:w="1678" w:type="dxa"/>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13.05</w:t>
            </w:r>
          </w:p>
        </w:tc>
        <w:tc>
          <w:tcPr>
            <w:tcW w:w="1692" w:type="dxa"/>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1,408</w:t>
            </w:r>
          </w:p>
        </w:tc>
        <w:tc>
          <w:tcPr>
            <w:tcW w:w="1719" w:type="dxa"/>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14.23</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2124" w:type="dxa"/>
          </w:tcPr>
          <w:p w:rsidR="00BF4AA8" w:rsidRPr="00BF4AA8" w:rsidRDefault="00BF4AA8" w:rsidP="005F1F5C">
            <w:pPr>
              <w:rPr>
                <w:rFonts w:ascii="Arial" w:hAnsi="Arial" w:cs="Arial"/>
                <w:sz w:val="22"/>
                <w:szCs w:val="22"/>
              </w:rPr>
            </w:pPr>
            <w:r w:rsidRPr="00BF4AA8">
              <w:rPr>
                <w:rFonts w:ascii="Arial" w:hAnsi="Arial" w:cs="Arial"/>
                <w:sz w:val="22"/>
                <w:szCs w:val="22"/>
              </w:rPr>
              <w:t>Coastal (total)</w:t>
            </w:r>
          </w:p>
        </w:tc>
        <w:tc>
          <w:tcPr>
            <w:tcW w:w="1678" w:type="dxa"/>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189,452</w:t>
            </w:r>
          </w:p>
        </w:tc>
        <w:tc>
          <w:tcPr>
            <w:tcW w:w="1678" w:type="dxa"/>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21.01</w:t>
            </w:r>
          </w:p>
        </w:tc>
        <w:tc>
          <w:tcPr>
            <w:tcW w:w="1692" w:type="dxa"/>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46,586</w:t>
            </w:r>
          </w:p>
        </w:tc>
        <w:tc>
          <w:tcPr>
            <w:tcW w:w="1719" w:type="dxa"/>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18.52</w:t>
            </w:r>
          </w:p>
        </w:tc>
      </w:tr>
      <w:tr w:rsidR="00BF4AA8" w:rsidRPr="00BF4AA8" w:rsidTr="005F1F5C">
        <w:trPr>
          <w:trHeight w:val="261"/>
        </w:trPr>
        <w:tc>
          <w:tcPr>
            <w:cnfStyle w:val="001000000000" w:firstRow="0" w:lastRow="0" w:firstColumn="1" w:lastColumn="0" w:oddVBand="0" w:evenVBand="0" w:oddHBand="0" w:evenHBand="0" w:firstRowFirstColumn="0" w:firstRowLastColumn="0" w:lastRowFirstColumn="0" w:lastRowLastColumn="0"/>
            <w:tcW w:w="2124" w:type="dxa"/>
          </w:tcPr>
          <w:p w:rsidR="00BF4AA8" w:rsidRPr="00BF4AA8" w:rsidRDefault="00BF4AA8" w:rsidP="005F1F5C">
            <w:pPr>
              <w:rPr>
                <w:rFonts w:ascii="Arial" w:hAnsi="Arial" w:cs="Arial"/>
                <w:sz w:val="22"/>
                <w:szCs w:val="22"/>
              </w:rPr>
            </w:pPr>
            <w:r w:rsidRPr="00BF4AA8">
              <w:rPr>
                <w:rFonts w:ascii="Arial" w:hAnsi="Arial" w:cs="Arial"/>
                <w:sz w:val="22"/>
                <w:szCs w:val="22"/>
              </w:rPr>
              <w:t>Cambodia (National)</w:t>
            </w:r>
          </w:p>
        </w:tc>
        <w:tc>
          <w:tcPr>
            <w:tcW w:w="1678" w:type="dxa"/>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3,348,026</w:t>
            </w:r>
          </w:p>
        </w:tc>
        <w:tc>
          <w:tcPr>
            <w:tcW w:w="1678" w:type="dxa"/>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21.46</w:t>
            </w:r>
          </w:p>
        </w:tc>
        <w:tc>
          <w:tcPr>
            <w:tcW w:w="1692" w:type="dxa"/>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751,323</w:t>
            </w:r>
          </w:p>
        </w:tc>
        <w:tc>
          <w:tcPr>
            <w:tcW w:w="1719" w:type="dxa"/>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19.19</w:t>
            </w:r>
          </w:p>
        </w:tc>
      </w:tr>
    </w:tbl>
    <w:bookmarkEnd w:id="13"/>
    <w:p w:rsidR="00BF4AA8" w:rsidRPr="00BF4AA8" w:rsidRDefault="00BF4AA8" w:rsidP="00BF4AA8">
      <w:pPr>
        <w:spacing w:after="120"/>
        <w:jc w:val="both"/>
        <w:rPr>
          <w:rFonts w:ascii="Arial" w:hAnsi="Arial" w:cs="Arial"/>
          <w:sz w:val="22"/>
          <w:szCs w:val="22"/>
        </w:rPr>
      </w:pPr>
      <w:r w:rsidRPr="00BF4AA8">
        <w:rPr>
          <w:rFonts w:ascii="Arial" w:hAnsi="Arial" w:cs="Arial"/>
          <w:b/>
          <w:bCs/>
          <w:sz w:val="22"/>
          <w:szCs w:val="22"/>
        </w:rPr>
        <w:t>Source:</w:t>
      </w:r>
      <w:r w:rsidRPr="00BF4AA8">
        <w:rPr>
          <w:rFonts w:ascii="Arial" w:hAnsi="Arial" w:cs="Arial"/>
          <w:sz w:val="22"/>
          <w:szCs w:val="22"/>
        </w:rPr>
        <w:t xml:space="preserve"> </w:t>
      </w:r>
      <w:proofErr w:type="spellStart"/>
      <w:r w:rsidRPr="00BF4AA8">
        <w:rPr>
          <w:rFonts w:ascii="Arial" w:hAnsi="Arial" w:cs="Arial"/>
          <w:sz w:val="22"/>
          <w:szCs w:val="22"/>
        </w:rPr>
        <w:t>MoP</w:t>
      </w:r>
      <w:proofErr w:type="spellEnd"/>
      <w:r w:rsidRPr="00BF4AA8">
        <w:rPr>
          <w:rFonts w:ascii="Arial" w:hAnsi="Arial" w:cs="Arial"/>
          <w:sz w:val="22"/>
          <w:szCs w:val="22"/>
        </w:rPr>
        <w:t xml:space="preserve">, </w:t>
      </w:r>
      <w:proofErr w:type="spellStart"/>
      <w:r w:rsidRPr="00BF4AA8">
        <w:rPr>
          <w:rFonts w:ascii="Arial" w:hAnsi="Arial" w:cs="Arial"/>
          <w:sz w:val="22"/>
          <w:szCs w:val="22"/>
        </w:rPr>
        <w:t>IDPoor</w:t>
      </w:r>
      <w:proofErr w:type="spellEnd"/>
      <w:r w:rsidRPr="00BF4AA8">
        <w:rPr>
          <w:rFonts w:ascii="Arial" w:hAnsi="Arial" w:cs="Arial"/>
          <w:sz w:val="22"/>
          <w:szCs w:val="22"/>
        </w:rPr>
        <w:t xml:space="preserve"> Public Data Query</w:t>
      </w:r>
    </w:p>
    <w:p w:rsidR="00BF4AA8" w:rsidRPr="00BF4AA8" w:rsidRDefault="00BF4AA8" w:rsidP="00BF4AA8">
      <w:pPr>
        <w:rPr>
          <w:rFonts w:ascii="Arial" w:eastAsiaTheme="minorHAnsi" w:hAnsi="Arial" w:cs="Arial"/>
          <w:sz w:val="22"/>
          <w:szCs w:val="22"/>
        </w:rPr>
      </w:pPr>
    </w:p>
    <w:p w:rsidR="00BF4AA8" w:rsidRPr="00BF4AA8" w:rsidRDefault="00BF4AA8" w:rsidP="00BF4AA8">
      <w:pPr>
        <w:pStyle w:val="Caption"/>
        <w:keepNext/>
        <w:spacing w:before="240" w:after="120"/>
        <w:rPr>
          <w:rFonts w:ascii="Arial" w:eastAsiaTheme="minorHAnsi" w:hAnsi="Arial" w:cs="Arial"/>
          <w:color w:val="002060"/>
          <w:kern w:val="2"/>
          <w:sz w:val="22"/>
          <w:szCs w:val="22"/>
          <w14:ligatures w14:val="standardContextual"/>
        </w:rPr>
      </w:pPr>
      <w:bookmarkStart w:id="14" w:name="_Ref215216883"/>
      <w:r w:rsidRPr="00BF4AA8">
        <w:rPr>
          <w:rFonts w:ascii="Arial" w:eastAsiaTheme="minorHAnsi" w:hAnsi="Arial" w:cs="Arial"/>
          <w:color w:val="002060"/>
          <w:kern w:val="2"/>
          <w:sz w:val="22"/>
          <w:szCs w:val="22"/>
          <w14:ligatures w14:val="standardContextual"/>
        </w:rPr>
        <w:t>Annex Table 2-</w:t>
      </w:r>
      <w:r w:rsidRPr="00BF4AA8">
        <w:rPr>
          <w:rFonts w:ascii="Arial" w:eastAsiaTheme="minorHAnsi" w:hAnsi="Arial" w:cs="Arial"/>
          <w:color w:val="002060"/>
          <w:kern w:val="2"/>
          <w:sz w:val="22"/>
          <w:szCs w:val="22"/>
          <w14:ligatures w14:val="standardContextual"/>
        </w:rPr>
        <w:fldChar w:fldCharType="begin"/>
      </w:r>
      <w:r w:rsidRPr="00BF4AA8">
        <w:rPr>
          <w:rFonts w:ascii="Arial" w:eastAsiaTheme="minorHAnsi" w:hAnsi="Arial" w:cs="Arial"/>
          <w:color w:val="002060"/>
          <w:kern w:val="2"/>
          <w:sz w:val="22"/>
          <w:szCs w:val="22"/>
          <w14:ligatures w14:val="standardContextual"/>
        </w:rPr>
        <w:instrText xml:space="preserve"> SEQ Annex_Table_2- \* ARABIC </w:instrText>
      </w:r>
      <w:r w:rsidRPr="00BF4AA8">
        <w:rPr>
          <w:rFonts w:ascii="Arial" w:eastAsiaTheme="minorHAnsi" w:hAnsi="Arial" w:cs="Arial"/>
          <w:color w:val="002060"/>
          <w:kern w:val="2"/>
          <w:sz w:val="22"/>
          <w:szCs w:val="22"/>
          <w14:ligatures w14:val="standardContextual"/>
        </w:rPr>
        <w:fldChar w:fldCharType="separate"/>
      </w:r>
      <w:r w:rsidR="00836984">
        <w:rPr>
          <w:rFonts w:ascii="Arial" w:eastAsiaTheme="minorHAnsi" w:hAnsi="Arial" w:cs="Arial"/>
          <w:noProof/>
          <w:color w:val="002060"/>
          <w:kern w:val="2"/>
          <w:sz w:val="22"/>
          <w:szCs w:val="22"/>
          <w14:ligatures w14:val="standardContextual"/>
        </w:rPr>
        <w:t>6</w:t>
      </w:r>
      <w:r w:rsidRPr="00BF4AA8">
        <w:rPr>
          <w:rFonts w:ascii="Arial" w:eastAsiaTheme="minorHAnsi" w:hAnsi="Arial" w:cs="Arial"/>
          <w:color w:val="002060"/>
          <w:kern w:val="2"/>
          <w:sz w:val="22"/>
          <w:szCs w:val="22"/>
          <w14:ligatures w14:val="standardContextual"/>
        </w:rPr>
        <w:fldChar w:fldCharType="end"/>
      </w:r>
      <w:bookmarkEnd w:id="14"/>
      <w:r w:rsidRPr="00BF4AA8">
        <w:rPr>
          <w:rFonts w:ascii="Arial" w:eastAsiaTheme="minorHAnsi" w:hAnsi="Arial" w:cs="Arial"/>
          <w:color w:val="002060"/>
          <w:kern w:val="2"/>
          <w:sz w:val="22"/>
          <w:szCs w:val="22"/>
          <w14:ligatures w14:val="standardContextual"/>
        </w:rPr>
        <w:t xml:space="preserve"> Cambodia’s HDI, 1990–2023 (UNDP HDR 2023/24 Statistical Annex)</w:t>
      </w:r>
    </w:p>
    <w:tbl>
      <w:tblPr>
        <w:tblStyle w:val="GridTable4-Accent5"/>
        <w:tblW w:w="9010" w:type="dxa"/>
        <w:tblLook w:val="04A0" w:firstRow="1" w:lastRow="0" w:firstColumn="1" w:lastColumn="0" w:noHBand="0" w:noVBand="1"/>
      </w:tblPr>
      <w:tblGrid>
        <w:gridCol w:w="1119"/>
        <w:gridCol w:w="1266"/>
        <w:gridCol w:w="1415"/>
        <w:gridCol w:w="1603"/>
        <w:gridCol w:w="1266"/>
        <w:gridCol w:w="1265"/>
        <w:gridCol w:w="1243"/>
      </w:tblGrid>
      <w:tr w:rsidR="00BF4AA8" w:rsidRPr="00BF4AA8" w:rsidTr="005F1F5C">
        <w:trPr>
          <w:cnfStyle w:val="100000000000" w:firstRow="1" w:lastRow="0" w:firstColumn="0" w:lastColumn="0" w:oddVBand="0" w:evenVBand="0" w:oddHBand="0" w:evenHBand="0" w:firstRowFirstColumn="0" w:firstRowLastColumn="0" w:lastRowFirstColumn="0" w:lastRowLastColumn="0"/>
          <w:trHeight w:val="68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b w:val="0"/>
                <w:bCs w:val="0"/>
                <w:sz w:val="22"/>
                <w:szCs w:val="22"/>
              </w:rPr>
            </w:pPr>
            <w:r w:rsidRPr="00BF4AA8">
              <w:rPr>
                <w:rFonts w:ascii="Arial" w:hAnsi="Arial" w:cs="Arial"/>
                <w:sz w:val="22"/>
                <w:szCs w:val="22"/>
              </w:rPr>
              <w:t>Year</w:t>
            </w:r>
          </w:p>
        </w:tc>
        <w:tc>
          <w:tcPr>
            <w:tcW w:w="1266" w:type="dxa"/>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Fonts w:ascii="Arial" w:hAnsi="Arial" w:cs="Arial"/>
                <w:sz w:val="22"/>
                <w:szCs w:val="22"/>
              </w:rPr>
              <w:t>HDI Value</w:t>
            </w:r>
          </w:p>
        </w:tc>
        <w:tc>
          <w:tcPr>
            <w:tcW w:w="1350" w:type="dxa"/>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Fonts w:ascii="Arial" w:hAnsi="Arial" w:cs="Arial"/>
                <w:sz w:val="22"/>
                <w:szCs w:val="22"/>
              </w:rPr>
              <w:t>Life expectancy at birth</w:t>
            </w:r>
          </w:p>
        </w:tc>
        <w:tc>
          <w:tcPr>
            <w:tcW w:w="1603" w:type="dxa"/>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Fonts w:ascii="Arial" w:hAnsi="Arial" w:cs="Arial"/>
                <w:sz w:val="22"/>
                <w:szCs w:val="22"/>
              </w:rPr>
              <w:t>Expected years of schooling</w:t>
            </w:r>
          </w:p>
        </w:tc>
        <w:tc>
          <w:tcPr>
            <w:tcW w:w="1266" w:type="dxa"/>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Fonts w:ascii="Arial" w:hAnsi="Arial" w:cs="Arial"/>
                <w:sz w:val="22"/>
                <w:szCs w:val="22"/>
              </w:rPr>
              <w:t>Mean years of schooling</w:t>
            </w:r>
          </w:p>
        </w:tc>
        <w:tc>
          <w:tcPr>
            <w:tcW w:w="1265" w:type="dxa"/>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Fonts w:ascii="Arial" w:hAnsi="Arial" w:cs="Arial"/>
                <w:sz w:val="22"/>
                <w:szCs w:val="22"/>
              </w:rPr>
              <w:t>GNI per capita (2021 PPP$)</w:t>
            </w:r>
          </w:p>
        </w:tc>
        <w:tc>
          <w:tcPr>
            <w:tcW w:w="1141" w:type="dxa"/>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Fonts w:ascii="Arial" w:hAnsi="Arial" w:cs="Arial"/>
                <w:sz w:val="22"/>
                <w:szCs w:val="22"/>
              </w:rPr>
              <w:t>Inequality Adjusted HDI</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1990</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0.387</w:t>
            </w:r>
          </w:p>
        </w:tc>
        <w:tc>
          <w:tcPr>
            <w:tcW w:w="13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55.21</w:t>
            </w:r>
          </w:p>
        </w:tc>
        <w:tc>
          <w:tcPr>
            <w:tcW w:w="160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6.89</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2.82</w:t>
            </w:r>
          </w:p>
        </w:tc>
        <w:tc>
          <w:tcPr>
            <w:tcW w:w="126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1209.60</w:t>
            </w:r>
          </w:p>
        </w:tc>
        <w:tc>
          <w:tcPr>
            <w:tcW w:w="114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1991</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0.392</w:t>
            </w:r>
          </w:p>
        </w:tc>
        <w:tc>
          <w:tcPr>
            <w:tcW w:w="13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55.58</w:t>
            </w:r>
          </w:p>
        </w:tc>
        <w:tc>
          <w:tcPr>
            <w:tcW w:w="160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6.99</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2.87</w:t>
            </w:r>
          </w:p>
        </w:tc>
        <w:tc>
          <w:tcPr>
            <w:tcW w:w="126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1241.33</w:t>
            </w:r>
          </w:p>
        </w:tc>
        <w:tc>
          <w:tcPr>
            <w:tcW w:w="114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1992</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0.396</w:t>
            </w:r>
          </w:p>
        </w:tc>
        <w:tc>
          <w:tcPr>
            <w:tcW w:w="13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55.75</w:t>
            </w:r>
          </w:p>
        </w:tc>
        <w:tc>
          <w:tcPr>
            <w:tcW w:w="160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7.10</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2.93</w:t>
            </w:r>
          </w:p>
        </w:tc>
        <w:tc>
          <w:tcPr>
            <w:tcW w:w="126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1263.47</w:t>
            </w:r>
          </w:p>
        </w:tc>
        <w:tc>
          <w:tcPr>
            <w:tcW w:w="114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1993</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0.399</w:t>
            </w:r>
          </w:p>
        </w:tc>
        <w:tc>
          <w:tcPr>
            <w:tcW w:w="13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56.04</w:t>
            </w:r>
          </w:p>
        </w:tc>
        <w:tc>
          <w:tcPr>
            <w:tcW w:w="160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7.21</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2.98</w:t>
            </w:r>
          </w:p>
        </w:tc>
        <w:tc>
          <w:tcPr>
            <w:tcW w:w="126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1250.66</w:t>
            </w:r>
          </w:p>
        </w:tc>
        <w:tc>
          <w:tcPr>
            <w:tcW w:w="114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1994</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0.400</w:t>
            </w:r>
          </w:p>
        </w:tc>
        <w:tc>
          <w:tcPr>
            <w:tcW w:w="13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56.22</w:t>
            </w:r>
          </w:p>
        </w:tc>
        <w:tc>
          <w:tcPr>
            <w:tcW w:w="160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7.31</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3.04</w:t>
            </w:r>
          </w:p>
        </w:tc>
        <w:tc>
          <w:tcPr>
            <w:tcW w:w="126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1217.33</w:t>
            </w:r>
          </w:p>
        </w:tc>
        <w:tc>
          <w:tcPr>
            <w:tcW w:w="114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1995</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0.404</w:t>
            </w:r>
          </w:p>
        </w:tc>
        <w:tc>
          <w:tcPr>
            <w:tcW w:w="13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56.56</w:t>
            </w:r>
          </w:p>
        </w:tc>
        <w:tc>
          <w:tcPr>
            <w:tcW w:w="160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7.42</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3.09</w:t>
            </w:r>
          </w:p>
        </w:tc>
        <w:tc>
          <w:tcPr>
            <w:tcW w:w="126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1228.19</w:t>
            </w:r>
          </w:p>
        </w:tc>
        <w:tc>
          <w:tcPr>
            <w:tcW w:w="114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1996</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0.408</w:t>
            </w:r>
          </w:p>
        </w:tc>
        <w:tc>
          <w:tcPr>
            <w:tcW w:w="13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56.83</w:t>
            </w:r>
          </w:p>
        </w:tc>
        <w:tc>
          <w:tcPr>
            <w:tcW w:w="160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7.53</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3.15</w:t>
            </w:r>
          </w:p>
        </w:tc>
        <w:tc>
          <w:tcPr>
            <w:tcW w:w="126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1261.15</w:t>
            </w:r>
          </w:p>
        </w:tc>
        <w:tc>
          <w:tcPr>
            <w:tcW w:w="114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1997</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0.414</w:t>
            </w:r>
          </w:p>
        </w:tc>
        <w:tc>
          <w:tcPr>
            <w:tcW w:w="13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57.27</w:t>
            </w:r>
          </w:p>
        </w:tc>
        <w:tc>
          <w:tcPr>
            <w:tcW w:w="160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7.64</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3.20</w:t>
            </w:r>
          </w:p>
        </w:tc>
        <w:tc>
          <w:tcPr>
            <w:tcW w:w="126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1299.83</w:t>
            </w:r>
          </w:p>
        </w:tc>
        <w:tc>
          <w:tcPr>
            <w:tcW w:w="114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1998</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0.419</w:t>
            </w:r>
          </w:p>
        </w:tc>
        <w:tc>
          <w:tcPr>
            <w:tcW w:w="13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57.86</w:t>
            </w:r>
          </w:p>
        </w:tc>
        <w:tc>
          <w:tcPr>
            <w:tcW w:w="160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7.74</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3.26</w:t>
            </w:r>
          </w:p>
        </w:tc>
        <w:tc>
          <w:tcPr>
            <w:tcW w:w="126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1324.98</w:t>
            </w:r>
          </w:p>
        </w:tc>
        <w:tc>
          <w:tcPr>
            <w:tcW w:w="114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1999</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0.429</w:t>
            </w:r>
          </w:p>
        </w:tc>
        <w:tc>
          <w:tcPr>
            <w:tcW w:w="13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58.61</w:t>
            </w:r>
          </w:p>
        </w:tc>
        <w:tc>
          <w:tcPr>
            <w:tcW w:w="160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7.85</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3.32</w:t>
            </w:r>
          </w:p>
        </w:tc>
        <w:tc>
          <w:tcPr>
            <w:tcW w:w="126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1449.30</w:t>
            </w:r>
          </w:p>
        </w:tc>
        <w:tc>
          <w:tcPr>
            <w:tcW w:w="114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2000</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0.438</w:t>
            </w:r>
          </w:p>
        </w:tc>
        <w:tc>
          <w:tcPr>
            <w:tcW w:w="13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59.49</w:t>
            </w:r>
          </w:p>
        </w:tc>
        <w:tc>
          <w:tcPr>
            <w:tcW w:w="160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7.96</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3.37</w:t>
            </w:r>
          </w:p>
        </w:tc>
        <w:tc>
          <w:tcPr>
            <w:tcW w:w="126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1557.66</w:t>
            </w:r>
          </w:p>
        </w:tc>
        <w:tc>
          <w:tcPr>
            <w:tcW w:w="114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2001</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0.453</w:t>
            </w:r>
          </w:p>
        </w:tc>
        <w:tc>
          <w:tcPr>
            <w:tcW w:w="13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60.46</w:t>
            </w:r>
          </w:p>
        </w:tc>
        <w:tc>
          <w:tcPr>
            <w:tcW w:w="160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8.59</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3.44</w:t>
            </w:r>
          </w:p>
        </w:tc>
        <w:tc>
          <w:tcPr>
            <w:tcW w:w="126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1650.32</w:t>
            </w:r>
          </w:p>
        </w:tc>
        <w:tc>
          <w:tcPr>
            <w:tcW w:w="114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2002</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0.473</w:t>
            </w:r>
          </w:p>
        </w:tc>
        <w:tc>
          <w:tcPr>
            <w:tcW w:w="13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61.40</w:t>
            </w:r>
          </w:p>
        </w:tc>
        <w:tc>
          <w:tcPr>
            <w:tcW w:w="160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9.78</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3.50</w:t>
            </w:r>
          </w:p>
        </w:tc>
        <w:tc>
          <w:tcPr>
            <w:tcW w:w="126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1712.62</w:t>
            </w:r>
          </w:p>
        </w:tc>
        <w:tc>
          <w:tcPr>
            <w:tcW w:w="114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2003</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0.488</w:t>
            </w:r>
          </w:p>
        </w:tc>
        <w:tc>
          <w:tcPr>
            <w:tcW w:w="13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62.35</w:t>
            </w:r>
          </w:p>
        </w:tc>
        <w:tc>
          <w:tcPr>
            <w:tcW w:w="160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10.33</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3.56</w:t>
            </w:r>
          </w:p>
        </w:tc>
        <w:tc>
          <w:tcPr>
            <w:tcW w:w="126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1836.39</w:t>
            </w:r>
          </w:p>
        </w:tc>
        <w:tc>
          <w:tcPr>
            <w:tcW w:w="114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2004</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0.502</w:t>
            </w:r>
          </w:p>
        </w:tc>
        <w:tc>
          <w:tcPr>
            <w:tcW w:w="13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63.26</w:t>
            </w:r>
          </w:p>
        </w:tc>
        <w:tc>
          <w:tcPr>
            <w:tcW w:w="160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10.84</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3.62</w:t>
            </w:r>
          </w:p>
        </w:tc>
        <w:tc>
          <w:tcPr>
            <w:tcW w:w="126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1986.09</w:t>
            </w:r>
          </w:p>
        </w:tc>
        <w:tc>
          <w:tcPr>
            <w:tcW w:w="114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2005</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0.514</w:t>
            </w:r>
          </w:p>
        </w:tc>
        <w:tc>
          <w:tcPr>
            <w:tcW w:w="13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64.11</w:t>
            </w:r>
          </w:p>
        </w:tc>
        <w:tc>
          <w:tcPr>
            <w:tcW w:w="160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11.00</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3.69</w:t>
            </w:r>
          </w:p>
        </w:tc>
        <w:tc>
          <w:tcPr>
            <w:tcW w:w="126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2196.73</w:t>
            </w:r>
          </w:p>
        </w:tc>
        <w:tc>
          <w:tcPr>
            <w:tcW w:w="114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2006</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0.525</w:t>
            </w:r>
          </w:p>
        </w:tc>
        <w:tc>
          <w:tcPr>
            <w:tcW w:w="13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64.89</w:t>
            </w:r>
          </w:p>
        </w:tc>
        <w:tc>
          <w:tcPr>
            <w:tcW w:w="160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11.16</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3.81</w:t>
            </w:r>
          </w:p>
        </w:tc>
        <w:tc>
          <w:tcPr>
            <w:tcW w:w="126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2395.49</w:t>
            </w:r>
          </w:p>
        </w:tc>
        <w:tc>
          <w:tcPr>
            <w:tcW w:w="114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2007</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0.534</w:t>
            </w:r>
          </w:p>
        </w:tc>
        <w:tc>
          <w:tcPr>
            <w:tcW w:w="13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65.55</w:t>
            </w:r>
          </w:p>
        </w:tc>
        <w:tc>
          <w:tcPr>
            <w:tcW w:w="160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11.16</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3.93</w:t>
            </w:r>
          </w:p>
        </w:tc>
        <w:tc>
          <w:tcPr>
            <w:tcW w:w="126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2611.42</w:t>
            </w:r>
          </w:p>
        </w:tc>
        <w:tc>
          <w:tcPr>
            <w:tcW w:w="114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2008</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0.539</w:t>
            </w:r>
          </w:p>
        </w:tc>
        <w:tc>
          <w:tcPr>
            <w:tcW w:w="13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66.15</w:t>
            </w:r>
          </w:p>
        </w:tc>
        <w:tc>
          <w:tcPr>
            <w:tcW w:w="160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11.06</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4.03</w:t>
            </w:r>
          </w:p>
        </w:tc>
        <w:tc>
          <w:tcPr>
            <w:tcW w:w="126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2721.60</w:t>
            </w:r>
          </w:p>
        </w:tc>
        <w:tc>
          <w:tcPr>
            <w:tcW w:w="114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2009</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0.539</w:t>
            </w:r>
          </w:p>
        </w:tc>
        <w:tc>
          <w:tcPr>
            <w:tcW w:w="13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66.75</w:t>
            </w:r>
          </w:p>
        </w:tc>
        <w:tc>
          <w:tcPr>
            <w:tcW w:w="160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11.07</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3.94</w:t>
            </w:r>
          </w:p>
        </w:tc>
        <w:tc>
          <w:tcPr>
            <w:tcW w:w="126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2674.14</w:t>
            </w:r>
          </w:p>
        </w:tc>
        <w:tc>
          <w:tcPr>
            <w:tcW w:w="114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2010</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0.543</w:t>
            </w:r>
          </w:p>
        </w:tc>
        <w:tc>
          <w:tcPr>
            <w:tcW w:w="13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67.31</w:t>
            </w:r>
          </w:p>
        </w:tc>
        <w:tc>
          <w:tcPr>
            <w:tcW w:w="160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11.07</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3.87</w:t>
            </w:r>
          </w:p>
        </w:tc>
        <w:tc>
          <w:tcPr>
            <w:tcW w:w="126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2820.32</w:t>
            </w:r>
          </w:p>
        </w:tc>
        <w:tc>
          <w:tcPr>
            <w:tcW w:w="114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0.387</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2011</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0.547</w:t>
            </w:r>
          </w:p>
        </w:tc>
        <w:tc>
          <w:tcPr>
            <w:tcW w:w="13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67.87</w:t>
            </w:r>
          </w:p>
        </w:tc>
        <w:tc>
          <w:tcPr>
            <w:tcW w:w="160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11.08</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3.80</w:t>
            </w:r>
          </w:p>
        </w:tc>
        <w:tc>
          <w:tcPr>
            <w:tcW w:w="126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2953.15</w:t>
            </w:r>
          </w:p>
        </w:tc>
        <w:tc>
          <w:tcPr>
            <w:tcW w:w="114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0.397</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2012</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0.551</w:t>
            </w:r>
          </w:p>
        </w:tc>
        <w:tc>
          <w:tcPr>
            <w:tcW w:w="13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68.37</w:t>
            </w:r>
          </w:p>
        </w:tc>
        <w:tc>
          <w:tcPr>
            <w:tcW w:w="160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11.09</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3.74</w:t>
            </w:r>
          </w:p>
        </w:tc>
        <w:tc>
          <w:tcPr>
            <w:tcW w:w="126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3096.68</w:t>
            </w:r>
          </w:p>
        </w:tc>
        <w:tc>
          <w:tcPr>
            <w:tcW w:w="114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0.404</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2013</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0.554</w:t>
            </w:r>
          </w:p>
        </w:tc>
        <w:tc>
          <w:tcPr>
            <w:tcW w:w="13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68.76</w:t>
            </w:r>
          </w:p>
        </w:tc>
        <w:tc>
          <w:tcPr>
            <w:tcW w:w="160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11.10</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3.67</w:t>
            </w:r>
          </w:p>
        </w:tc>
        <w:tc>
          <w:tcPr>
            <w:tcW w:w="126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3253.89</w:t>
            </w:r>
          </w:p>
        </w:tc>
        <w:tc>
          <w:tcPr>
            <w:tcW w:w="114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0.408</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2014</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0.557</w:t>
            </w:r>
          </w:p>
        </w:tc>
        <w:tc>
          <w:tcPr>
            <w:tcW w:w="13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69.12</w:t>
            </w:r>
          </w:p>
        </w:tc>
        <w:tc>
          <w:tcPr>
            <w:tcW w:w="160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11.11</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3.60</w:t>
            </w:r>
          </w:p>
        </w:tc>
        <w:tc>
          <w:tcPr>
            <w:tcW w:w="126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3437.21</w:t>
            </w:r>
          </w:p>
        </w:tc>
        <w:tc>
          <w:tcPr>
            <w:tcW w:w="114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0.403</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2015</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0.562</w:t>
            </w:r>
          </w:p>
        </w:tc>
        <w:tc>
          <w:tcPr>
            <w:tcW w:w="13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69.40</w:t>
            </w:r>
          </w:p>
        </w:tc>
        <w:tc>
          <w:tcPr>
            <w:tcW w:w="160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11.12</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3.67</w:t>
            </w:r>
          </w:p>
        </w:tc>
        <w:tc>
          <w:tcPr>
            <w:tcW w:w="126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3629.06</w:t>
            </w:r>
          </w:p>
        </w:tc>
        <w:tc>
          <w:tcPr>
            <w:tcW w:w="114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0.407</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2016</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0.570</w:t>
            </w:r>
          </w:p>
        </w:tc>
        <w:tc>
          <w:tcPr>
            <w:tcW w:w="13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69.64</w:t>
            </w:r>
          </w:p>
        </w:tc>
        <w:tc>
          <w:tcPr>
            <w:tcW w:w="160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11.13</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3.95</w:t>
            </w:r>
          </w:p>
        </w:tc>
        <w:tc>
          <w:tcPr>
            <w:tcW w:w="126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3839.20</w:t>
            </w:r>
          </w:p>
        </w:tc>
        <w:tc>
          <w:tcPr>
            <w:tcW w:w="114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0.414</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2017</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0.578</w:t>
            </w:r>
          </w:p>
        </w:tc>
        <w:tc>
          <w:tcPr>
            <w:tcW w:w="13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69.84</w:t>
            </w:r>
          </w:p>
        </w:tc>
        <w:tc>
          <w:tcPr>
            <w:tcW w:w="160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11.14</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4.23</w:t>
            </w:r>
          </w:p>
        </w:tc>
        <w:tc>
          <w:tcPr>
            <w:tcW w:w="126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4057.35</w:t>
            </w:r>
          </w:p>
        </w:tc>
        <w:tc>
          <w:tcPr>
            <w:tcW w:w="114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0.421</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2018</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0.586</w:t>
            </w:r>
          </w:p>
        </w:tc>
        <w:tc>
          <w:tcPr>
            <w:tcW w:w="13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69.99</w:t>
            </w:r>
          </w:p>
        </w:tc>
        <w:tc>
          <w:tcPr>
            <w:tcW w:w="160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11.15</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4.52</w:t>
            </w:r>
          </w:p>
        </w:tc>
        <w:tc>
          <w:tcPr>
            <w:tcW w:w="126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4284.37</w:t>
            </w:r>
          </w:p>
        </w:tc>
        <w:tc>
          <w:tcPr>
            <w:tcW w:w="114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0.427</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2019</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0.593</w:t>
            </w:r>
          </w:p>
        </w:tc>
        <w:tc>
          <w:tcPr>
            <w:tcW w:w="13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70.13</w:t>
            </w:r>
          </w:p>
        </w:tc>
        <w:tc>
          <w:tcPr>
            <w:tcW w:w="160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11.16</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4.80</w:t>
            </w:r>
          </w:p>
        </w:tc>
        <w:tc>
          <w:tcPr>
            <w:tcW w:w="126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4508.79</w:t>
            </w:r>
          </w:p>
        </w:tc>
        <w:tc>
          <w:tcPr>
            <w:tcW w:w="114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0.433</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2020</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0.595</w:t>
            </w:r>
          </w:p>
        </w:tc>
        <w:tc>
          <w:tcPr>
            <w:tcW w:w="13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70.06</w:t>
            </w:r>
          </w:p>
        </w:tc>
        <w:tc>
          <w:tcPr>
            <w:tcW w:w="160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11.17</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5.00</w:t>
            </w:r>
          </w:p>
        </w:tc>
        <w:tc>
          <w:tcPr>
            <w:tcW w:w="126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4415.43</w:t>
            </w:r>
          </w:p>
        </w:tc>
        <w:tc>
          <w:tcPr>
            <w:tcW w:w="114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0.435</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2021</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0.594</w:t>
            </w:r>
          </w:p>
        </w:tc>
        <w:tc>
          <w:tcPr>
            <w:tcW w:w="13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69.30</w:t>
            </w:r>
          </w:p>
        </w:tc>
        <w:tc>
          <w:tcPr>
            <w:tcW w:w="160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11.18</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5.20</w:t>
            </w:r>
          </w:p>
        </w:tc>
        <w:tc>
          <w:tcPr>
            <w:tcW w:w="126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4425.37</w:t>
            </w:r>
          </w:p>
        </w:tc>
        <w:tc>
          <w:tcPr>
            <w:tcW w:w="114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0.434</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2022</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0.602</w:t>
            </w:r>
          </w:p>
        </w:tc>
        <w:tc>
          <w:tcPr>
            <w:tcW w:w="13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70.53</w:t>
            </w:r>
          </w:p>
        </w:tc>
        <w:tc>
          <w:tcPr>
            <w:tcW w:w="160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11.19</w:t>
            </w:r>
          </w:p>
        </w:tc>
        <w:tc>
          <w:tcPr>
            <w:tcW w:w="126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5.20</w:t>
            </w:r>
          </w:p>
        </w:tc>
        <w:tc>
          <w:tcPr>
            <w:tcW w:w="126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4612.26</w:t>
            </w:r>
          </w:p>
        </w:tc>
        <w:tc>
          <w:tcPr>
            <w:tcW w:w="114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0.440</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119"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2023</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0.606</w:t>
            </w:r>
          </w:p>
        </w:tc>
        <w:tc>
          <w:tcPr>
            <w:tcW w:w="13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70.67</w:t>
            </w:r>
          </w:p>
        </w:tc>
        <w:tc>
          <w:tcPr>
            <w:tcW w:w="160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11.20</w:t>
            </w:r>
          </w:p>
        </w:tc>
        <w:tc>
          <w:tcPr>
            <w:tcW w:w="126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5.20</w:t>
            </w:r>
          </w:p>
        </w:tc>
        <w:tc>
          <w:tcPr>
            <w:tcW w:w="126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4931.02</w:t>
            </w:r>
          </w:p>
        </w:tc>
        <w:tc>
          <w:tcPr>
            <w:tcW w:w="114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0.444</w:t>
            </w:r>
          </w:p>
        </w:tc>
      </w:tr>
    </w:tbl>
    <w:p w:rsidR="00BF4AA8" w:rsidRPr="00BF4AA8" w:rsidRDefault="00BF4AA8" w:rsidP="00BF4AA8">
      <w:pPr>
        <w:spacing w:after="120"/>
        <w:rPr>
          <w:rFonts w:ascii="Arial" w:hAnsi="Arial" w:cs="Arial"/>
          <w:i/>
          <w:iCs/>
          <w:sz w:val="22"/>
          <w:szCs w:val="22"/>
        </w:rPr>
      </w:pPr>
      <w:r w:rsidRPr="00BF4AA8">
        <w:rPr>
          <w:rFonts w:ascii="Arial" w:hAnsi="Arial" w:cs="Arial"/>
          <w:b/>
          <w:bCs/>
          <w:sz w:val="22"/>
          <w:szCs w:val="22"/>
        </w:rPr>
        <w:t>Source:</w:t>
      </w:r>
      <w:r w:rsidRPr="00BF4AA8">
        <w:rPr>
          <w:rFonts w:ascii="Arial" w:hAnsi="Arial" w:cs="Arial"/>
          <w:sz w:val="22"/>
          <w:szCs w:val="22"/>
        </w:rPr>
        <w:t xml:space="preserve"> </w:t>
      </w:r>
      <w:r w:rsidRPr="00BF4AA8">
        <w:rPr>
          <w:rFonts w:ascii="Arial" w:hAnsi="Arial" w:cs="Arial"/>
          <w:i/>
          <w:iCs/>
          <w:sz w:val="22"/>
          <w:szCs w:val="22"/>
        </w:rPr>
        <w:t>UNDP, 2024. Human Development Report 2023/24 – Statistical Annex. Data Center</w:t>
      </w:r>
    </w:p>
    <w:p w:rsidR="00BF4AA8" w:rsidRPr="00BF4AA8" w:rsidRDefault="00BF4AA8" w:rsidP="00BF4AA8">
      <w:pPr>
        <w:pStyle w:val="Caption"/>
        <w:keepNext/>
        <w:rPr>
          <w:rFonts w:ascii="Arial" w:hAnsi="Arial" w:cs="Arial"/>
          <w:i w:val="0"/>
          <w:iCs w:val="0"/>
          <w:color w:val="002060"/>
          <w:sz w:val="22"/>
          <w:szCs w:val="22"/>
        </w:rPr>
      </w:pPr>
      <w:bookmarkStart w:id="15" w:name="_Ref215216926"/>
      <w:r w:rsidRPr="00BF4AA8">
        <w:rPr>
          <w:rFonts w:ascii="Arial" w:eastAsiaTheme="minorHAnsi" w:hAnsi="Arial" w:cs="Arial"/>
          <w:color w:val="002060"/>
          <w:kern w:val="2"/>
          <w:sz w:val="22"/>
          <w:szCs w:val="22"/>
          <w14:ligatures w14:val="standardContextual"/>
        </w:rPr>
        <w:t>Annex Table 2-</w:t>
      </w:r>
      <w:r w:rsidRPr="00BF4AA8">
        <w:rPr>
          <w:rFonts w:ascii="Arial" w:eastAsiaTheme="minorHAnsi" w:hAnsi="Arial" w:cs="Arial"/>
          <w:color w:val="002060"/>
          <w:kern w:val="2"/>
          <w:sz w:val="22"/>
          <w:szCs w:val="22"/>
          <w14:ligatures w14:val="standardContextual"/>
        </w:rPr>
        <w:fldChar w:fldCharType="begin"/>
      </w:r>
      <w:r w:rsidRPr="00BF4AA8">
        <w:rPr>
          <w:rFonts w:ascii="Arial" w:eastAsiaTheme="minorHAnsi" w:hAnsi="Arial" w:cs="Arial"/>
          <w:color w:val="002060"/>
          <w:kern w:val="2"/>
          <w:sz w:val="22"/>
          <w:szCs w:val="22"/>
          <w14:ligatures w14:val="standardContextual"/>
        </w:rPr>
        <w:instrText xml:space="preserve"> SEQ Annex_Table_2- \* ARABIC </w:instrText>
      </w:r>
      <w:r w:rsidRPr="00BF4AA8">
        <w:rPr>
          <w:rFonts w:ascii="Arial" w:eastAsiaTheme="minorHAnsi" w:hAnsi="Arial" w:cs="Arial"/>
          <w:color w:val="002060"/>
          <w:kern w:val="2"/>
          <w:sz w:val="22"/>
          <w:szCs w:val="22"/>
          <w14:ligatures w14:val="standardContextual"/>
        </w:rPr>
        <w:fldChar w:fldCharType="separate"/>
      </w:r>
      <w:r w:rsidR="00836984">
        <w:rPr>
          <w:rFonts w:ascii="Arial" w:eastAsiaTheme="minorHAnsi" w:hAnsi="Arial" w:cs="Arial"/>
          <w:noProof/>
          <w:color w:val="002060"/>
          <w:kern w:val="2"/>
          <w:sz w:val="22"/>
          <w:szCs w:val="22"/>
          <w14:ligatures w14:val="standardContextual"/>
        </w:rPr>
        <w:t>7</w:t>
      </w:r>
      <w:r w:rsidRPr="00BF4AA8">
        <w:rPr>
          <w:rFonts w:ascii="Arial" w:eastAsiaTheme="minorHAnsi" w:hAnsi="Arial" w:cs="Arial"/>
          <w:color w:val="002060"/>
          <w:kern w:val="2"/>
          <w:sz w:val="22"/>
          <w:szCs w:val="22"/>
          <w14:ligatures w14:val="standardContextual"/>
        </w:rPr>
        <w:fldChar w:fldCharType="end"/>
      </w:r>
      <w:bookmarkEnd w:id="15"/>
      <w:r w:rsidRPr="00BF4AA8">
        <w:rPr>
          <w:rFonts w:ascii="Arial" w:eastAsiaTheme="minorHAnsi" w:hAnsi="Arial" w:cs="Arial"/>
          <w:color w:val="002060"/>
          <w:kern w:val="2"/>
          <w:sz w:val="22"/>
          <w:szCs w:val="22"/>
          <w14:ligatures w14:val="standardContextual"/>
        </w:rPr>
        <w:t xml:space="preserve"> </w:t>
      </w:r>
      <w:r w:rsidRPr="00BF4AA8">
        <w:rPr>
          <w:rFonts w:ascii="Arial" w:hAnsi="Arial" w:cs="Arial"/>
          <w:i w:val="0"/>
          <w:iCs w:val="0"/>
          <w:color w:val="002060"/>
          <w:sz w:val="22"/>
          <w:szCs w:val="22"/>
        </w:rPr>
        <w:t>Subnational Human Development Index (HDI)-Cambodia 1990-2023</w:t>
      </w:r>
    </w:p>
    <w:tbl>
      <w:tblPr>
        <w:tblStyle w:val="GridTable4-Accent5"/>
        <w:tblW w:w="9010" w:type="dxa"/>
        <w:tblLook w:val="04A0" w:firstRow="1" w:lastRow="0" w:firstColumn="1" w:lastColumn="0" w:noHBand="0" w:noVBand="1"/>
      </w:tblPr>
      <w:tblGrid>
        <w:gridCol w:w="841"/>
        <w:gridCol w:w="1073"/>
        <w:gridCol w:w="950"/>
        <w:gridCol w:w="1073"/>
        <w:gridCol w:w="1062"/>
        <w:gridCol w:w="1073"/>
        <w:gridCol w:w="1051"/>
        <w:gridCol w:w="1119"/>
        <w:gridCol w:w="891"/>
      </w:tblGrid>
      <w:tr w:rsidR="00BF4AA8" w:rsidRPr="00BF4AA8" w:rsidTr="005F1F5C">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vMerge w:val="restart"/>
            <w:noWrap/>
            <w:vAlign w:val="center"/>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Year</w:t>
            </w:r>
          </w:p>
          <w:p w:rsidR="00BF4AA8" w:rsidRPr="00BF4AA8" w:rsidRDefault="00BF4AA8" w:rsidP="005F1F5C">
            <w:pPr>
              <w:jc w:val="center"/>
              <w:rPr>
                <w:rFonts w:ascii="Arial" w:hAnsi="Arial" w:cs="Arial"/>
                <w:sz w:val="22"/>
                <w:szCs w:val="22"/>
              </w:rPr>
            </w:pPr>
          </w:p>
        </w:tc>
        <w:tc>
          <w:tcPr>
            <w:tcW w:w="1945" w:type="dxa"/>
            <w:gridSpan w:val="2"/>
            <w:vAlign w:val="center"/>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HDI Value</w:t>
            </w:r>
          </w:p>
        </w:tc>
        <w:tc>
          <w:tcPr>
            <w:tcW w:w="2099" w:type="dxa"/>
            <w:gridSpan w:val="2"/>
            <w:vAlign w:val="center"/>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Life expectancy at birth</w:t>
            </w:r>
          </w:p>
        </w:tc>
        <w:tc>
          <w:tcPr>
            <w:tcW w:w="2115" w:type="dxa"/>
            <w:gridSpan w:val="2"/>
            <w:vAlign w:val="center"/>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Expected years of schooling</w:t>
            </w:r>
          </w:p>
        </w:tc>
        <w:tc>
          <w:tcPr>
            <w:tcW w:w="2010" w:type="dxa"/>
            <w:gridSpan w:val="2"/>
            <w:vAlign w:val="center"/>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Mean years of schooling</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841" w:type="dxa"/>
            <w:vMerge/>
            <w:noWrap/>
            <w:hideMark/>
          </w:tcPr>
          <w:p w:rsidR="00BF4AA8" w:rsidRPr="00BF4AA8" w:rsidRDefault="00BF4AA8" w:rsidP="005F1F5C">
            <w:pPr>
              <w:jc w:val="center"/>
              <w:rPr>
                <w:rFonts w:ascii="Arial" w:hAnsi="Arial" w:cs="Arial"/>
                <w:b w:val="0"/>
                <w:bCs w:val="0"/>
                <w:sz w:val="22"/>
                <w:szCs w:val="22"/>
              </w:rPr>
            </w:pPr>
          </w:p>
        </w:tc>
        <w:tc>
          <w:tcPr>
            <w:tcW w:w="995" w:type="dxa"/>
            <w:shd w:val="clear" w:color="auto" w:fill="323E4F" w:themeFill="text2" w:themeFillShade="BF"/>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2"/>
                <w:szCs w:val="22"/>
              </w:rPr>
            </w:pPr>
            <w:proofErr w:type="spellStart"/>
            <w:r w:rsidRPr="00BF4AA8">
              <w:rPr>
                <w:rFonts w:ascii="Arial" w:hAnsi="Arial" w:cs="Arial"/>
                <w:color w:val="FFFFFF" w:themeColor="background1"/>
                <w:sz w:val="22"/>
                <w:szCs w:val="22"/>
              </w:rPr>
              <w:t>Sihanoul</w:t>
            </w:r>
            <w:proofErr w:type="spellEnd"/>
            <w:r w:rsidRPr="00BF4AA8">
              <w:rPr>
                <w:rFonts w:ascii="Arial" w:hAnsi="Arial" w:cs="Arial"/>
                <w:color w:val="FFFFFF" w:themeColor="background1"/>
                <w:sz w:val="22"/>
                <w:szCs w:val="22"/>
              </w:rPr>
              <w:t xml:space="preserve"> </w:t>
            </w:r>
            <w:proofErr w:type="spellStart"/>
            <w:r w:rsidRPr="00BF4AA8">
              <w:rPr>
                <w:rFonts w:ascii="Arial" w:hAnsi="Arial" w:cs="Arial"/>
                <w:color w:val="FFFFFF" w:themeColor="background1"/>
                <w:sz w:val="22"/>
                <w:szCs w:val="22"/>
              </w:rPr>
              <w:t>Kampot</w:t>
            </w:r>
            <w:proofErr w:type="spellEnd"/>
            <w:r w:rsidRPr="00BF4AA8">
              <w:rPr>
                <w:rFonts w:ascii="Arial" w:hAnsi="Arial" w:cs="Arial"/>
                <w:color w:val="FFFFFF" w:themeColor="background1"/>
                <w:sz w:val="22"/>
                <w:szCs w:val="22"/>
              </w:rPr>
              <w:t xml:space="preserve"> </w:t>
            </w:r>
            <w:proofErr w:type="spellStart"/>
            <w:r w:rsidRPr="00BF4AA8">
              <w:rPr>
                <w:rFonts w:ascii="Arial" w:hAnsi="Arial" w:cs="Arial"/>
                <w:color w:val="FFFFFF" w:themeColor="background1"/>
                <w:sz w:val="22"/>
                <w:szCs w:val="22"/>
              </w:rPr>
              <w:t>Kep</w:t>
            </w:r>
            <w:proofErr w:type="spellEnd"/>
            <w:r w:rsidRPr="00BF4AA8">
              <w:rPr>
                <w:rFonts w:ascii="Arial" w:hAnsi="Arial" w:cs="Arial"/>
                <w:color w:val="FFFFFF" w:themeColor="background1"/>
                <w:sz w:val="22"/>
                <w:szCs w:val="22"/>
              </w:rPr>
              <w:t xml:space="preserve"> </w:t>
            </w:r>
          </w:p>
        </w:tc>
        <w:tc>
          <w:tcPr>
            <w:tcW w:w="950" w:type="dxa"/>
            <w:shd w:val="clear" w:color="auto" w:fill="323E4F" w:themeFill="text2" w:themeFillShade="BF"/>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2"/>
                <w:szCs w:val="22"/>
              </w:rPr>
            </w:pPr>
            <w:r w:rsidRPr="00BF4AA8">
              <w:rPr>
                <w:rFonts w:ascii="Arial" w:hAnsi="Arial" w:cs="Arial"/>
                <w:color w:val="FFFFFF" w:themeColor="background1"/>
                <w:sz w:val="22"/>
                <w:szCs w:val="22"/>
              </w:rPr>
              <w:t>Koh Kong</w:t>
            </w:r>
          </w:p>
        </w:tc>
        <w:tc>
          <w:tcPr>
            <w:tcW w:w="1037" w:type="dxa"/>
            <w:shd w:val="clear" w:color="auto" w:fill="323E4F" w:themeFill="text2" w:themeFillShade="BF"/>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2"/>
                <w:szCs w:val="22"/>
              </w:rPr>
            </w:pPr>
            <w:proofErr w:type="spellStart"/>
            <w:r w:rsidRPr="00BF4AA8">
              <w:rPr>
                <w:rFonts w:ascii="Arial" w:hAnsi="Arial" w:cs="Arial"/>
                <w:color w:val="FFFFFF" w:themeColor="background1"/>
                <w:sz w:val="22"/>
                <w:szCs w:val="22"/>
              </w:rPr>
              <w:t>Sihanoul</w:t>
            </w:r>
            <w:proofErr w:type="spellEnd"/>
            <w:r w:rsidRPr="00BF4AA8">
              <w:rPr>
                <w:rFonts w:ascii="Arial" w:hAnsi="Arial" w:cs="Arial"/>
                <w:color w:val="FFFFFF" w:themeColor="background1"/>
                <w:sz w:val="22"/>
                <w:szCs w:val="22"/>
              </w:rPr>
              <w:t xml:space="preserve"> </w:t>
            </w:r>
            <w:proofErr w:type="spellStart"/>
            <w:r w:rsidRPr="00BF4AA8">
              <w:rPr>
                <w:rFonts w:ascii="Arial" w:hAnsi="Arial" w:cs="Arial"/>
                <w:color w:val="FFFFFF" w:themeColor="background1"/>
                <w:sz w:val="22"/>
                <w:szCs w:val="22"/>
              </w:rPr>
              <w:t>Kampot</w:t>
            </w:r>
            <w:proofErr w:type="spellEnd"/>
            <w:r w:rsidRPr="00BF4AA8">
              <w:rPr>
                <w:rFonts w:ascii="Arial" w:hAnsi="Arial" w:cs="Arial"/>
                <w:color w:val="FFFFFF" w:themeColor="background1"/>
                <w:sz w:val="22"/>
                <w:szCs w:val="22"/>
              </w:rPr>
              <w:t xml:space="preserve"> </w:t>
            </w:r>
            <w:proofErr w:type="spellStart"/>
            <w:r w:rsidRPr="00BF4AA8">
              <w:rPr>
                <w:rFonts w:ascii="Arial" w:hAnsi="Arial" w:cs="Arial"/>
                <w:color w:val="FFFFFF" w:themeColor="background1"/>
                <w:sz w:val="22"/>
                <w:szCs w:val="22"/>
              </w:rPr>
              <w:t>Kep</w:t>
            </w:r>
            <w:proofErr w:type="spellEnd"/>
          </w:p>
        </w:tc>
        <w:tc>
          <w:tcPr>
            <w:tcW w:w="1062" w:type="dxa"/>
            <w:shd w:val="clear" w:color="auto" w:fill="323E4F" w:themeFill="text2" w:themeFillShade="BF"/>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2"/>
                <w:szCs w:val="22"/>
              </w:rPr>
            </w:pPr>
            <w:r w:rsidRPr="00BF4AA8">
              <w:rPr>
                <w:rFonts w:ascii="Arial" w:hAnsi="Arial" w:cs="Arial"/>
                <w:color w:val="FFFFFF" w:themeColor="background1"/>
                <w:sz w:val="22"/>
                <w:szCs w:val="22"/>
              </w:rPr>
              <w:t>Koh Kong</w:t>
            </w:r>
          </w:p>
        </w:tc>
        <w:tc>
          <w:tcPr>
            <w:tcW w:w="1064" w:type="dxa"/>
            <w:shd w:val="clear" w:color="auto" w:fill="323E4F" w:themeFill="text2" w:themeFillShade="BF"/>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2"/>
                <w:szCs w:val="22"/>
              </w:rPr>
            </w:pPr>
            <w:proofErr w:type="spellStart"/>
            <w:r w:rsidRPr="00BF4AA8">
              <w:rPr>
                <w:rFonts w:ascii="Arial" w:hAnsi="Arial" w:cs="Arial"/>
                <w:color w:val="FFFFFF" w:themeColor="background1"/>
                <w:sz w:val="22"/>
                <w:szCs w:val="22"/>
              </w:rPr>
              <w:t>Sihanoul</w:t>
            </w:r>
            <w:proofErr w:type="spellEnd"/>
            <w:r w:rsidRPr="00BF4AA8">
              <w:rPr>
                <w:rFonts w:ascii="Arial" w:hAnsi="Arial" w:cs="Arial"/>
                <w:color w:val="FFFFFF" w:themeColor="background1"/>
                <w:sz w:val="22"/>
                <w:szCs w:val="22"/>
              </w:rPr>
              <w:t xml:space="preserve"> </w:t>
            </w:r>
            <w:proofErr w:type="spellStart"/>
            <w:r w:rsidRPr="00BF4AA8">
              <w:rPr>
                <w:rFonts w:ascii="Arial" w:hAnsi="Arial" w:cs="Arial"/>
                <w:color w:val="FFFFFF" w:themeColor="background1"/>
                <w:sz w:val="22"/>
                <w:szCs w:val="22"/>
              </w:rPr>
              <w:t>Kampot</w:t>
            </w:r>
            <w:proofErr w:type="spellEnd"/>
            <w:r w:rsidRPr="00BF4AA8">
              <w:rPr>
                <w:rFonts w:ascii="Arial" w:hAnsi="Arial" w:cs="Arial"/>
                <w:color w:val="FFFFFF" w:themeColor="background1"/>
                <w:sz w:val="22"/>
                <w:szCs w:val="22"/>
              </w:rPr>
              <w:t xml:space="preserve"> </w:t>
            </w:r>
            <w:proofErr w:type="spellStart"/>
            <w:r w:rsidRPr="00BF4AA8">
              <w:rPr>
                <w:rFonts w:ascii="Arial" w:hAnsi="Arial" w:cs="Arial"/>
                <w:color w:val="FFFFFF" w:themeColor="background1"/>
                <w:sz w:val="22"/>
                <w:szCs w:val="22"/>
              </w:rPr>
              <w:t>Kep</w:t>
            </w:r>
            <w:proofErr w:type="spellEnd"/>
          </w:p>
        </w:tc>
        <w:tc>
          <w:tcPr>
            <w:tcW w:w="1051" w:type="dxa"/>
            <w:shd w:val="clear" w:color="auto" w:fill="323E4F" w:themeFill="text2" w:themeFillShade="BF"/>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2"/>
                <w:szCs w:val="22"/>
              </w:rPr>
            </w:pPr>
            <w:r w:rsidRPr="00BF4AA8">
              <w:rPr>
                <w:rFonts w:ascii="Arial" w:hAnsi="Arial" w:cs="Arial"/>
                <w:color w:val="FFFFFF" w:themeColor="background1"/>
                <w:sz w:val="22"/>
                <w:szCs w:val="22"/>
              </w:rPr>
              <w:t>Koh Kong</w:t>
            </w:r>
          </w:p>
        </w:tc>
        <w:tc>
          <w:tcPr>
            <w:tcW w:w="1119" w:type="dxa"/>
            <w:shd w:val="clear" w:color="auto" w:fill="323E4F" w:themeFill="text2" w:themeFillShade="BF"/>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2"/>
                <w:szCs w:val="22"/>
              </w:rPr>
            </w:pPr>
            <w:proofErr w:type="spellStart"/>
            <w:r w:rsidRPr="00BF4AA8">
              <w:rPr>
                <w:rFonts w:ascii="Arial" w:hAnsi="Arial" w:cs="Arial"/>
                <w:color w:val="FFFFFF" w:themeColor="background1"/>
                <w:sz w:val="22"/>
                <w:szCs w:val="22"/>
              </w:rPr>
              <w:t>Sihanoul</w:t>
            </w:r>
            <w:proofErr w:type="spellEnd"/>
            <w:r w:rsidRPr="00BF4AA8">
              <w:rPr>
                <w:rFonts w:ascii="Arial" w:hAnsi="Arial" w:cs="Arial"/>
                <w:color w:val="FFFFFF" w:themeColor="background1"/>
                <w:sz w:val="22"/>
                <w:szCs w:val="22"/>
              </w:rPr>
              <w:t xml:space="preserve"> </w:t>
            </w:r>
            <w:proofErr w:type="spellStart"/>
            <w:r w:rsidRPr="00BF4AA8">
              <w:rPr>
                <w:rFonts w:ascii="Arial" w:hAnsi="Arial" w:cs="Arial"/>
                <w:color w:val="FFFFFF" w:themeColor="background1"/>
                <w:sz w:val="22"/>
                <w:szCs w:val="22"/>
              </w:rPr>
              <w:t>Kampot</w:t>
            </w:r>
            <w:proofErr w:type="spellEnd"/>
            <w:r w:rsidRPr="00BF4AA8">
              <w:rPr>
                <w:rFonts w:ascii="Arial" w:hAnsi="Arial" w:cs="Arial"/>
                <w:color w:val="FFFFFF" w:themeColor="background1"/>
                <w:sz w:val="22"/>
                <w:szCs w:val="22"/>
              </w:rPr>
              <w:t xml:space="preserve"> </w:t>
            </w:r>
            <w:proofErr w:type="spellStart"/>
            <w:r w:rsidRPr="00BF4AA8">
              <w:rPr>
                <w:rFonts w:ascii="Arial" w:hAnsi="Arial" w:cs="Arial"/>
                <w:color w:val="FFFFFF" w:themeColor="background1"/>
                <w:sz w:val="22"/>
                <w:szCs w:val="22"/>
              </w:rPr>
              <w:t>Kep</w:t>
            </w:r>
            <w:proofErr w:type="spellEnd"/>
          </w:p>
        </w:tc>
        <w:tc>
          <w:tcPr>
            <w:tcW w:w="891" w:type="dxa"/>
            <w:shd w:val="clear" w:color="auto" w:fill="323E4F" w:themeFill="text2" w:themeFillShade="BF"/>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2"/>
                <w:szCs w:val="22"/>
              </w:rPr>
            </w:pPr>
            <w:r w:rsidRPr="00BF4AA8">
              <w:rPr>
                <w:rFonts w:ascii="Arial" w:hAnsi="Arial" w:cs="Arial"/>
                <w:color w:val="FFFFFF" w:themeColor="background1"/>
                <w:sz w:val="22"/>
                <w:szCs w:val="22"/>
              </w:rPr>
              <w:t>Koh Kong</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1990</w:t>
            </w:r>
          </w:p>
        </w:tc>
        <w:tc>
          <w:tcPr>
            <w:tcW w:w="99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0.378</w:t>
            </w:r>
          </w:p>
        </w:tc>
        <w:tc>
          <w:tcPr>
            <w:tcW w:w="9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0.368</w:t>
            </w:r>
          </w:p>
        </w:tc>
        <w:tc>
          <w:tcPr>
            <w:tcW w:w="1037"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55.17</w:t>
            </w:r>
          </w:p>
        </w:tc>
        <w:tc>
          <w:tcPr>
            <w:tcW w:w="106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58.76</w:t>
            </w:r>
          </w:p>
        </w:tc>
        <w:tc>
          <w:tcPr>
            <w:tcW w:w="1064"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7.329</w:t>
            </w:r>
          </w:p>
        </w:tc>
        <w:tc>
          <w:tcPr>
            <w:tcW w:w="105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5.427</w:t>
            </w:r>
          </w:p>
        </w:tc>
        <w:tc>
          <w:tcPr>
            <w:tcW w:w="1119"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2.913</w:t>
            </w:r>
          </w:p>
        </w:tc>
        <w:tc>
          <w:tcPr>
            <w:tcW w:w="89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2.51</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1991</w:t>
            </w:r>
          </w:p>
        </w:tc>
        <w:tc>
          <w:tcPr>
            <w:tcW w:w="99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0.383</w:t>
            </w:r>
          </w:p>
        </w:tc>
        <w:tc>
          <w:tcPr>
            <w:tcW w:w="9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0.373</w:t>
            </w:r>
          </w:p>
        </w:tc>
        <w:tc>
          <w:tcPr>
            <w:tcW w:w="1037"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55.52</w:t>
            </w:r>
          </w:p>
        </w:tc>
        <w:tc>
          <w:tcPr>
            <w:tcW w:w="106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59.14</w:t>
            </w:r>
          </w:p>
        </w:tc>
        <w:tc>
          <w:tcPr>
            <w:tcW w:w="1064"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7.442</w:t>
            </w:r>
          </w:p>
        </w:tc>
        <w:tc>
          <w:tcPr>
            <w:tcW w:w="105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5.511</w:t>
            </w:r>
          </w:p>
        </w:tc>
        <w:tc>
          <w:tcPr>
            <w:tcW w:w="1119"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2.969</w:t>
            </w:r>
          </w:p>
        </w:tc>
        <w:tc>
          <w:tcPr>
            <w:tcW w:w="89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2.558</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1992</w:t>
            </w:r>
          </w:p>
        </w:tc>
        <w:tc>
          <w:tcPr>
            <w:tcW w:w="99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0.387</w:t>
            </w:r>
          </w:p>
        </w:tc>
        <w:tc>
          <w:tcPr>
            <w:tcW w:w="9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0.377</w:t>
            </w:r>
          </w:p>
        </w:tc>
        <w:tc>
          <w:tcPr>
            <w:tcW w:w="1037"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55.75</w:t>
            </w:r>
          </w:p>
        </w:tc>
        <w:tc>
          <w:tcPr>
            <w:tcW w:w="106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59.38</w:t>
            </w:r>
          </w:p>
        </w:tc>
        <w:tc>
          <w:tcPr>
            <w:tcW w:w="1064"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7.556</w:t>
            </w:r>
          </w:p>
        </w:tc>
        <w:tc>
          <w:tcPr>
            <w:tcW w:w="105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5.595</w:t>
            </w:r>
          </w:p>
        </w:tc>
        <w:tc>
          <w:tcPr>
            <w:tcW w:w="1119"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3.026</w:t>
            </w:r>
          </w:p>
        </w:tc>
        <w:tc>
          <w:tcPr>
            <w:tcW w:w="89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2.607</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1993</w:t>
            </w:r>
          </w:p>
        </w:tc>
        <w:tc>
          <w:tcPr>
            <w:tcW w:w="99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0.39</w:t>
            </w:r>
          </w:p>
        </w:tc>
        <w:tc>
          <w:tcPr>
            <w:tcW w:w="9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0.379</w:t>
            </w:r>
          </w:p>
        </w:tc>
        <w:tc>
          <w:tcPr>
            <w:tcW w:w="1037"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55.81</w:t>
            </w:r>
          </w:p>
        </w:tc>
        <w:tc>
          <w:tcPr>
            <w:tcW w:w="106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59.44</w:t>
            </w:r>
          </w:p>
        </w:tc>
        <w:tc>
          <w:tcPr>
            <w:tcW w:w="1064"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7.671</w:t>
            </w:r>
          </w:p>
        </w:tc>
        <w:tc>
          <w:tcPr>
            <w:tcW w:w="105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5.68</w:t>
            </w:r>
          </w:p>
        </w:tc>
        <w:tc>
          <w:tcPr>
            <w:tcW w:w="1119"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3.082</w:t>
            </w:r>
          </w:p>
        </w:tc>
        <w:tc>
          <w:tcPr>
            <w:tcW w:w="89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2.655</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1994</w:t>
            </w:r>
          </w:p>
        </w:tc>
        <w:tc>
          <w:tcPr>
            <w:tcW w:w="99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0.392</w:t>
            </w:r>
          </w:p>
        </w:tc>
        <w:tc>
          <w:tcPr>
            <w:tcW w:w="9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0.381</w:t>
            </w:r>
          </w:p>
        </w:tc>
        <w:tc>
          <w:tcPr>
            <w:tcW w:w="1037"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55.76</w:t>
            </w:r>
          </w:p>
        </w:tc>
        <w:tc>
          <w:tcPr>
            <w:tcW w:w="106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59.4</w:t>
            </w:r>
          </w:p>
        </w:tc>
        <w:tc>
          <w:tcPr>
            <w:tcW w:w="1064"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7.785</w:t>
            </w:r>
          </w:p>
        </w:tc>
        <w:tc>
          <w:tcPr>
            <w:tcW w:w="105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5.765</w:t>
            </w:r>
          </w:p>
        </w:tc>
        <w:tc>
          <w:tcPr>
            <w:tcW w:w="1119"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3.138</w:t>
            </w:r>
          </w:p>
        </w:tc>
        <w:tc>
          <w:tcPr>
            <w:tcW w:w="89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2.704</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1995</w:t>
            </w:r>
          </w:p>
        </w:tc>
        <w:tc>
          <w:tcPr>
            <w:tcW w:w="99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0.399</w:t>
            </w:r>
          </w:p>
        </w:tc>
        <w:tc>
          <w:tcPr>
            <w:tcW w:w="9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0.387</w:t>
            </w:r>
          </w:p>
        </w:tc>
        <w:tc>
          <w:tcPr>
            <w:tcW w:w="1037"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56.04</w:t>
            </w:r>
          </w:p>
        </w:tc>
        <w:tc>
          <w:tcPr>
            <w:tcW w:w="106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59.69</w:t>
            </w:r>
          </w:p>
        </w:tc>
        <w:tc>
          <w:tcPr>
            <w:tcW w:w="1064"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7.9</w:t>
            </w:r>
          </w:p>
        </w:tc>
        <w:tc>
          <w:tcPr>
            <w:tcW w:w="105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5.85</w:t>
            </w:r>
          </w:p>
        </w:tc>
        <w:tc>
          <w:tcPr>
            <w:tcW w:w="1119"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3.195</w:t>
            </w:r>
          </w:p>
        </w:tc>
        <w:tc>
          <w:tcPr>
            <w:tcW w:w="89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2.752</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1996</w:t>
            </w:r>
          </w:p>
        </w:tc>
        <w:tc>
          <w:tcPr>
            <w:tcW w:w="99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0.402</w:t>
            </w:r>
          </w:p>
        </w:tc>
        <w:tc>
          <w:tcPr>
            <w:tcW w:w="9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0.391</w:t>
            </w:r>
          </w:p>
        </w:tc>
        <w:tc>
          <w:tcPr>
            <w:tcW w:w="1037"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56.07</w:t>
            </w:r>
          </w:p>
        </w:tc>
        <w:tc>
          <w:tcPr>
            <w:tcW w:w="106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59.73</w:t>
            </w:r>
          </w:p>
        </w:tc>
        <w:tc>
          <w:tcPr>
            <w:tcW w:w="1064"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8.014</w:t>
            </w:r>
          </w:p>
        </w:tc>
        <w:tc>
          <w:tcPr>
            <w:tcW w:w="105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5.934</w:t>
            </w:r>
          </w:p>
        </w:tc>
        <w:tc>
          <w:tcPr>
            <w:tcW w:w="1119"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3.253</w:t>
            </w:r>
          </w:p>
        </w:tc>
        <w:tc>
          <w:tcPr>
            <w:tcW w:w="89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2.803</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1997</w:t>
            </w:r>
          </w:p>
        </w:tc>
        <w:tc>
          <w:tcPr>
            <w:tcW w:w="99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0.407</w:t>
            </w:r>
          </w:p>
        </w:tc>
        <w:tc>
          <w:tcPr>
            <w:tcW w:w="9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0.396</w:t>
            </w:r>
          </w:p>
        </w:tc>
        <w:tc>
          <w:tcPr>
            <w:tcW w:w="1037"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56.47</w:t>
            </w:r>
          </w:p>
        </w:tc>
        <w:tc>
          <w:tcPr>
            <w:tcW w:w="106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60.15</w:t>
            </w:r>
          </w:p>
        </w:tc>
        <w:tc>
          <w:tcPr>
            <w:tcW w:w="1064"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8.129</w:t>
            </w:r>
          </w:p>
        </w:tc>
        <w:tc>
          <w:tcPr>
            <w:tcW w:w="105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6.019</w:t>
            </w:r>
          </w:p>
        </w:tc>
        <w:tc>
          <w:tcPr>
            <w:tcW w:w="1119"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3.311</w:t>
            </w:r>
          </w:p>
        </w:tc>
        <w:tc>
          <w:tcPr>
            <w:tcW w:w="89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2.853</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1998</w:t>
            </w:r>
          </w:p>
        </w:tc>
        <w:tc>
          <w:tcPr>
            <w:tcW w:w="99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0.412</w:t>
            </w:r>
          </w:p>
        </w:tc>
        <w:tc>
          <w:tcPr>
            <w:tcW w:w="9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0.4</w:t>
            </w:r>
          </w:p>
        </w:tc>
        <w:tc>
          <w:tcPr>
            <w:tcW w:w="1037"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56.75</w:t>
            </w:r>
          </w:p>
        </w:tc>
        <w:tc>
          <w:tcPr>
            <w:tcW w:w="106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60.45</w:t>
            </w:r>
          </w:p>
        </w:tc>
        <w:tc>
          <w:tcPr>
            <w:tcW w:w="1064"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8.243</w:t>
            </w:r>
          </w:p>
        </w:tc>
        <w:tc>
          <w:tcPr>
            <w:tcW w:w="105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6.104</w:t>
            </w:r>
          </w:p>
        </w:tc>
        <w:tc>
          <w:tcPr>
            <w:tcW w:w="1119"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3.37</w:t>
            </w:r>
          </w:p>
        </w:tc>
        <w:tc>
          <w:tcPr>
            <w:tcW w:w="89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2.904</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1999</w:t>
            </w:r>
          </w:p>
        </w:tc>
        <w:tc>
          <w:tcPr>
            <w:tcW w:w="99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0.421</w:t>
            </w:r>
          </w:p>
        </w:tc>
        <w:tc>
          <w:tcPr>
            <w:tcW w:w="9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0.409</w:t>
            </w:r>
          </w:p>
        </w:tc>
        <w:tc>
          <w:tcPr>
            <w:tcW w:w="1037"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57.41</w:t>
            </w:r>
          </w:p>
        </w:tc>
        <w:tc>
          <w:tcPr>
            <w:tcW w:w="106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61.15</w:t>
            </w:r>
          </w:p>
        </w:tc>
        <w:tc>
          <w:tcPr>
            <w:tcW w:w="1064"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8.357</w:t>
            </w:r>
          </w:p>
        </w:tc>
        <w:tc>
          <w:tcPr>
            <w:tcW w:w="105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6.189</w:t>
            </w:r>
          </w:p>
        </w:tc>
        <w:tc>
          <w:tcPr>
            <w:tcW w:w="1119"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3.428</w:t>
            </w:r>
          </w:p>
        </w:tc>
        <w:tc>
          <w:tcPr>
            <w:tcW w:w="89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2.954</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2000</w:t>
            </w:r>
          </w:p>
        </w:tc>
        <w:tc>
          <w:tcPr>
            <w:tcW w:w="99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0.431</w:t>
            </w:r>
          </w:p>
        </w:tc>
        <w:tc>
          <w:tcPr>
            <w:tcW w:w="9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0.418</w:t>
            </w:r>
          </w:p>
        </w:tc>
        <w:tc>
          <w:tcPr>
            <w:tcW w:w="1037"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58.34</w:t>
            </w:r>
          </w:p>
        </w:tc>
        <w:tc>
          <w:tcPr>
            <w:tcW w:w="106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62.14</w:t>
            </w:r>
          </w:p>
        </w:tc>
        <w:tc>
          <w:tcPr>
            <w:tcW w:w="1064"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8.472</w:t>
            </w:r>
          </w:p>
        </w:tc>
        <w:tc>
          <w:tcPr>
            <w:tcW w:w="105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6.273</w:t>
            </w:r>
          </w:p>
        </w:tc>
        <w:tc>
          <w:tcPr>
            <w:tcW w:w="1119"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3.487</w:t>
            </w:r>
          </w:p>
        </w:tc>
        <w:tc>
          <w:tcPr>
            <w:tcW w:w="89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3.004</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2001</w:t>
            </w:r>
          </w:p>
        </w:tc>
        <w:tc>
          <w:tcPr>
            <w:tcW w:w="99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0.448</w:t>
            </w:r>
          </w:p>
        </w:tc>
        <w:tc>
          <w:tcPr>
            <w:tcW w:w="9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0.432</w:t>
            </w:r>
          </w:p>
        </w:tc>
        <w:tc>
          <w:tcPr>
            <w:tcW w:w="1037"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60.11</w:t>
            </w:r>
          </w:p>
        </w:tc>
        <w:tc>
          <w:tcPr>
            <w:tcW w:w="106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63.27</w:t>
            </w:r>
          </w:p>
        </w:tc>
        <w:tc>
          <w:tcPr>
            <w:tcW w:w="1064"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9.173</w:t>
            </w:r>
          </w:p>
        </w:tc>
        <w:tc>
          <w:tcPr>
            <w:tcW w:w="105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6.749</w:t>
            </w:r>
          </w:p>
        </w:tc>
        <w:tc>
          <w:tcPr>
            <w:tcW w:w="1119"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3.49</w:t>
            </w:r>
          </w:p>
        </w:tc>
        <w:tc>
          <w:tcPr>
            <w:tcW w:w="89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3.009</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2002</w:t>
            </w:r>
          </w:p>
        </w:tc>
        <w:tc>
          <w:tcPr>
            <w:tcW w:w="99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0.471</w:t>
            </w:r>
          </w:p>
        </w:tc>
        <w:tc>
          <w:tcPr>
            <w:tcW w:w="9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0.45</w:t>
            </w:r>
          </w:p>
        </w:tc>
        <w:tc>
          <w:tcPr>
            <w:tcW w:w="1037"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61.8</w:t>
            </w:r>
          </w:p>
        </w:tc>
        <w:tc>
          <w:tcPr>
            <w:tcW w:w="106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64.31</w:t>
            </w:r>
          </w:p>
        </w:tc>
        <w:tc>
          <w:tcPr>
            <w:tcW w:w="1064"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10.46</w:t>
            </w:r>
          </w:p>
        </w:tc>
        <w:tc>
          <w:tcPr>
            <w:tcW w:w="105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7.65</w:t>
            </w:r>
          </w:p>
        </w:tc>
        <w:tc>
          <w:tcPr>
            <w:tcW w:w="1119"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3.494</w:t>
            </w:r>
          </w:p>
        </w:tc>
        <w:tc>
          <w:tcPr>
            <w:tcW w:w="89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3.015</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2003</w:t>
            </w:r>
          </w:p>
        </w:tc>
        <w:tc>
          <w:tcPr>
            <w:tcW w:w="99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0.488</w:t>
            </w:r>
          </w:p>
        </w:tc>
        <w:tc>
          <w:tcPr>
            <w:tcW w:w="9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0.463</w:t>
            </w:r>
          </w:p>
        </w:tc>
        <w:tc>
          <w:tcPr>
            <w:tcW w:w="1037"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63.55</w:t>
            </w:r>
          </w:p>
        </w:tc>
        <w:tc>
          <w:tcPr>
            <w:tcW w:w="106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65.37</w:t>
            </w:r>
          </w:p>
        </w:tc>
        <w:tc>
          <w:tcPr>
            <w:tcW w:w="1064"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11.07</w:t>
            </w:r>
          </w:p>
        </w:tc>
        <w:tc>
          <w:tcPr>
            <w:tcW w:w="105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8.052</w:t>
            </w:r>
          </w:p>
        </w:tc>
        <w:tc>
          <w:tcPr>
            <w:tcW w:w="1119"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3.499</w:t>
            </w:r>
          </w:p>
        </w:tc>
        <w:tc>
          <w:tcPr>
            <w:tcW w:w="89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3.021</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2004</w:t>
            </w:r>
          </w:p>
        </w:tc>
        <w:tc>
          <w:tcPr>
            <w:tcW w:w="99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0.504</w:t>
            </w:r>
          </w:p>
        </w:tc>
        <w:tc>
          <w:tcPr>
            <w:tcW w:w="9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0.475</w:t>
            </w:r>
          </w:p>
        </w:tc>
        <w:tc>
          <w:tcPr>
            <w:tcW w:w="1037"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65.03</w:t>
            </w:r>
          </w:p>
        </w:tc>
        <w:tc>
          <w:tcPr>
            <w:tcW w:w="106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66.15</w:t>
            </w:r>
          </w:p>
        </w:tc>
        <w:tc>
          <w:tcPr>
            <w:tcW w:w="1064"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11.65</w:t>
            </w:r>
          </w:p>
        </w:tc>
        <w:tc>
          <w:tcPr>
            <w:tcW w:w="105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8.431</w:t>
            </w:r>
          </w:p>
        </w:tc>
        <w:tc>
          <w:tcPr>
            <w:tcW w:w="1119"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3.503</w:t>
            </w:r>
          </w:p>
        </w:tc>
        <w:tc>
          <w:tcPr>
            <w:tcW w:w="89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3.027</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2005</w:t>
            </w:r>
          </w:p>
        </w:tc>
        <w:tc>
          <w:tcPr>
            <w:tcW w:w="99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0.517</w:t>
            </w:r>
          </w:p>
        </w:tc>
        <w:tc>
          <w:tcPr>
            <w:tcW w:w="9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0.484</w:t>
            </w:r>
          </w:p>
        </w:tc>
        <w:tc>
          <w:tcPr>
            <w:tcW w:w="1037"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66.22</w:t>
            </w:r>
          </w:p>
        </w:tc>
        <w:tc>
          <w:tcPr>
            <w:tcW w:w="106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66.63</w:t>
            </w:r>
          </w:p>
        </w:tc>
        <w:tc>
          <w:tcPr>
            <w:tcW w:w="1064"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11.84</w:t>
            </w:r>
          </w:p>
        </w:tc>
        <w:tc>
          <w:tcPr>
            <w:tcW w:w="105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8.529</w:t>
            </w:r>
          </w:p>
        </w:tc>
        <w:tc>
          <w:tcPr>
            <w:tcW w:w="1119"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3.508</w:t>
            </w:r>
          </w:p>
        </w:tc>
        <w:tc>
          <w:tcPr>
            <w:tcW w:w="89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3.033</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2006</w:t>
            </w:r>
          </w:p>
        </w:tc>
        <w:tc>
          <w:tcPr>
            <w:tcW w:w="99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0.526</w:t>
            </w:r>
          </w:p>
        </w:tc>
        <w:tc>
          <w:tcPr>
            <w:tcW w:w="9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0.499</w:t>
            </w:r>
          </w:p>
        </w:tc>
        <w:tc>
          <w:tcPr>
            <w:tcW w:w="1037"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66.54</w:t>
            </w:r>
          </w:p>
        </w:tc>
        <w:tc>
          <w:tcPr>
            <w:tcW w:w="106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66.84</w:t>
            </w:r>
          </w:p>
        </w:tc>
        <w:tc>
          <w:tcPr>
            <w:tcW w:w="1064"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11.95</w:t>
            </w:r>
          </w:p>
        </w:tc>
        <w:tc>
          <w:tcPr>
            <w:tcW w:w="105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9.077</w:t>
            </w:r>
          </w:p>
        </w:tc>
        <w:tc>
          <w:tcPr>
            <w:tcW w:w="1119"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3.637</w:t>
            </w:r>
          </w:p>
        </w:tc>
        <w:tc>
          <w:tcPr>
            <w:tcW w:w="89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3.148</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2007</w:t>
            </w:r>
          </w:p>
        </w:tc>
        <w:tc>
          <w:tcPr>
            <w:tcW w:w="99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0.532</w:t>
            </w:r>
          </w:p>
        </w:tc>
        <w:tc>
          <w:tcPr>
            <w:tcW w:w="9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0.513</w:t>
            </w:r>
          </w:p>
        </w:tc>
        <w:tc>
          <w:tcPr>
            <w:tcW w:w="1037"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66.78</w:t>
            </w:r>
          </w:p>
        </w:tc>
        <w:tc>
          <w:tcPr>
            <w:tcW w:w="106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66.97</w:t>
            </w:r>
          </w:p>
        </w:tc>
        <w:tc>
          <w:tcPr>
            <w:tcW w:w="1064"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11.89</w:t>
            </w:r>
          </w:p>
        </w:tc>
        <w:tc>
          <w:tcPr>
            <w:tcW w:w="105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9.491</w:t>
            </w:r>
          </w:p>
        </w:tc>
        <w:tc>
          <w:tcPr>
            <w:tcW w:w="1119"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3.765</w:t>
            </w:r>
          </w:p>
        </w:tc>
        <w:tc>
          <w:tcPr>
            <w:tcW w:w="89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3.263</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2008</w:t>
            </w:r>
          </w:p>
        </w:tc>
        <w:tc>
          <w:tcPr>
            <w:tcW w:w="99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0.535</w:t>
            </w:r>
          </w:p>
        </w:tc>
        <w:tc>
          <w:tcPr>
            <w:tcW w:w="9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0.522</w:t>
            </w:r>
          </w:p>
        </w:tc>
        <w:tc>
          <w:tcPr>
            <w:tcW w:w="1037"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67.08</w:t>
            </w:r>
          </w:p>
        </w:tc>
        <w:tc>
          <w:tcPr>
            <w:tcW w:w="106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67.17</w:t>
            </w:r>
          </w:p>
        </w:tc>
        <w:tc>
          <w:tcPr>
            <w:tcW w:w="1064"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11.71</w:t>
            </w:r>
          </w:p>
        </w:tc>
        <w:tc>
          <w:tcPr>
            <w:tcW w:w="105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9.795</w:t>
            </w:r>
          </w:p>
        </w:tc>
        <w:tc>
          <w:tcPr>
            <w:tcW w:w="1119"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3.878</w:t>
            </w:r>
          </w:p>
        </w:tc>
        <w:tc>
          <w:tcPr>
            <w:tcW w:w="89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3.365</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2009</w:t>
            </w:r>
          </w:p>
        </w:tc>
        <w:tc>
          <w:tcPr>
            <w:tcW w:w="99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0.535</w:t>
            </w:r>
          </w:p>
        </w:tc>
        <w:tc>
          <w:tcPr>
            <w:tcW w:w="9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0.528</w:t>
            </w:r>
          </w:p>
        </w:tc>
        <w:tc>
          <w:tcPr>
            <w:tcW w:w="1037"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67.63</w:t>
            </w:r>
          </w:p>
        </w:tc>
        <w:tc>
          <w:tcPr>
            <w:tcW w:w="106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67.62</w:t>
            </w:r>
          </w:p>
        </w:tc>
        <w:tc>
          <w:tcPr>
            <w:tcW w:w="1064"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11.7</w:t>
            </w:r>
          </w:p>
        </w:tc>
        <w:tc>
          <w:tcPr>
            <w:tcW w:w="105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10.23</w:t>
            </w:r>
          </w:p>
        </w:tc>
        <w:tc>
          <w:tcPr>
            <w:tcW w:w="1119"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3.8</w:t>
            </w:r>
          </w:p>
        </w:tc>
        <w:tc>
          <w:tcPr>
            <w:tcW w:w="89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3.3</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2010</w:t>
            </w:r>
          </w:p>
        </w:tc>
        <w:tc>
          <w:tcPr>
            <w:tcW w:w="99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0.537</w:t>
            </w:r>
          </w:p>
        </w:tc>
        <w:tc>
          <w:tcPr>
            <w:tcW w:w="9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0.536</w:t>
            </w:r>
          </w:p>
        </w:tc>
        <w:tc>
          <w:tcPr>
            <w:tcW w:w="1037"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67.47</w:t>
            </w:r>
          </w:p>
        </w:tc>
        <w:tc>
          <w:tcPr>
            <w:tcW w:w="106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67.36</w:t>
            </w:r>
          </w:p>
        </w:tc>
        <w:tc>
          <w:tcPr>
            <w:tcW w:w="1064"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11.7</w:t>
            </w:r>
          </w:p>
        </w:tc>
        <w:tc>
          <w:tcPr>
            <w:tcW w:w="105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10.65</w:t>
            </w:r>
          </w:p>
        </w:tc>
        <w:tc>
          <w:tcPr>
            <w:tcW w:w="1119"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3.745</w:t>
            </w:r>
          </w:p>
        </w:tc>
        <w:tc>
          <w:tcPr>
            <w:tcW w:w="89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3.256</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2011</w:t>
            </w:r>
          </w:p>
        </w:tc>
        <w:tc>
          <w:tcPr>
            <w:tcW w:w="99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0.544</w:t>
            </w:r>
          </w:p>
        </w:tc>
        <w:tc>
          <w:tcPr>
            <w:tcW w:w="9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0.549</w:t>
            </w:r>
          </w:p>
        </w:tc>
        <w:tc>
          <w:tcPr>
            <w:tcW w:w="1037"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68.45</w:t>
            </w:r>
          </w:p>
        </w:tc>
        <w:tc>
          <w:tcPr>
            <w:tcW w:w="106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68.08</w:t>
            </w:r>
          </w:p>
        </w:tc>
        <w:tc>
          <w:tcPr>
            <w:tcW w:w="1064"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11.72</w:t>
            </w:r>
          </w:p>
        </w:tc>
        <w:tc>
          <w:tcPr>
            <w:tcW w:w="105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11.08</w:t>
            </w:r>
          </w:p>
        </w:tc>
        <w:tc>
          <w:tcPr>
            <w:tcW w:w="1119"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3.763</w:t>
            </w:r>
          </w:p>
        </w:tc>
        <w:tc>
          <w:tcPr>
            <w:tcW w:w="89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3.419</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2012</w:t>
            </w:r>
          </w:p>
        </w:tc>
        <w:tc>
          <w:tcPr>
            <w:tcW w:w="99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0.55</w:t>
            </w:r>
          </w:p>
        </w:tc>
        <w:tc>
          <w:tcPr>
            <w:tcW w:w="9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0.561</w:t>
            </w:r>
          </w:p>
        </w:tc>
        <w:tc>
          <w:tcPr>
            <w:tcW w:w="1037"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69.23</w:t>
            </w:r>
          </w:p>
        </w:tc>
        <w:tc>
          <w:tcPr>
            <w:tcW w:w="106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68.6</w:t>
            </w:r>
          </w:p>
        </w:tc>
        <w:tc>
          <w:tcPr>
            <w:tcW w:w="1064"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11.74</w:t>
            </w:r>
          </w:p>
        </w:tc>
        <w:tc>
          <w:tcPr>
            <w:tcW w:w="105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11.53</w:t>
            </w:r>
          </w:p>
        </w:tc>
        <w:tc>
          <w:tcPr>
            <w:tcW w:w="1119"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3.775</w:t>
            </w:r>
          </w:p>
        </w:tc>
        <w:tc>
          <w:tcPr>
            <w:tcW w:w="89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3.568</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2013</w:t>
            </w:r>
          </w:p>
        </w:tc>
        <w:tc>
          <w:tcPr>
            <w:tcW w:w="99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0.556</w:t>
            </w:r>
          </w:p>
        </w:tc>
        <w:tc>
          <w:tcPr>
            <w:tcW w:w="9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0.573</w:t>
            </w:r>
          </w:p>
        </w:tc>
        <w:tc>
          <w:tcPr>
            <w:tcW w:w="1037"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69.89</w:t>
            </w:r>
          </w:p>
        </w:tc>
        <w:tc>
          <w:tcPr>
            <w:tcW w:w="106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69.01</w:t>
            </w:r>
          </w:p>
        </w:tc>
        <w:tc>
          <w:tcPr>
            <w:tcW w:w="1064"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11.75</w:t>
            </w:r>
          </w:p>
        </w:tc>
        <w:tc>
          <w:tcPr>
            <w:tcW w:w="105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11.98</w:t>
            </w:r>
          </w:p>
        </w:tc>
        <w:tc>
          <w:tcPr>
            <w:tcW w:w="1119"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3.782</w:t>
            </w:r>
          </w:p>
        </w:tc>
        <w:tc>
          <w:tcPr>
            <w:tcW w:w="89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3.702</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2014</w:t>
            </w:r>
          </w:p>
        </w:tc>
        <w:tc>
          <w:tcPr>
            <w:tcW w:w="99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0.562</w:t>
            </w:r>
          </w:p>
        </w:tc>
        <w:tc>
          <w:tcPr>
            <w:tcW w:w="9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0.585</w:t>
            </w:r>
          </w:p>
        </w:tc>
        <w:tc>
          <w:tcPr>
            <w:tcW w:w="1037"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70.59</w:t>
            </w:r>
          </w:p>
        </w:tc>
        <w:tc>
          <w:tcPr>
            <w:tcW w:w="106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69.46</w:t>
            </w:r>
          </w:p>
        </w:tc>
        <w:tc>
          <w:tcPr>
            <w:tcW w:w="1064"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11.77</w:t>
            </w:r>
          </w:p>
        </w:tc>
        <w:tc>
          <w:tcPr>
            <w:tcW w:w="105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12.46</w:t>
            </w:r>
          </w:p>
        </w:tc>
        <w:tc>
          <w:tcPr>
            <w:tcW w:w="1119"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3.784</w:t>
            </w:r>
          </w:p>
        </w:tc>
        <w:tc>
          <w:tcPr>
            <w:tcW w:w="89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3.823</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2015</w:t>
            </w:r>
          </w:p>
        </w:tc>
        <w:tc>
          <w:tcPr>
            <w:tcW w:w="99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0.563</w:t>
            </w:r>
          </w:p>
        </w:tc>
        <w:tc>
          <w:tcPr>
            <w:tcW w:w="9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0.58</w:t>
            </w:r>
          </w:p>
        </w:tc>
        <w:tc>
          <w:tcPr>
            <w:tcW w:w="1037"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70.37</w:t>
            </w:r>
          </w:p>
        </w:tc>
        <w:tc>
          <w:tcPr>
            <w:tcW w:w="106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69.73</w:t>
            </w:r>
          </w:p>
        </w:tc>
        <w:tc>
          <w:tcPr>
            <w:tcW w:w="1064"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11.56</w:t>
            </w:r>
          </w:p>
        </w:tc>
        <w:tc>
          <w:tcPr>
            <w:tcW w:w="105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11.94</w:t>
            </w:r>
          </w:p>
        </w:tc>
        <w:tc>
          <w:tcPr>
            <w:tcW w:w="1119"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3.835</w:t>
            </w:r>
          </w:p>
        </w:tc>
        <w:tc>
          <w:tcPr>
            <w:tcW w:w="89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3.797</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2016</w:t>
            </w:r>
          </w:p>
        </w:tc>
        <w:tc>
          <w:tcPr>
            <w:tcW w:w="99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0.568</w:t>
            </w:r>
          </w:p>
        </w:tc>
        <w:tc>
          <w:tcPr>
            <w:tcW w:w="9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0.578</w:t>
            </w:r>
          </w:p>
        </w:tc>
        <w:tc>
          <w:tcPr>
            <w:tcW w:w="1037"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70.38</w:t>
            </w:r>
          </w:p>
        </w:tc>
        <w:tc>
          <w:tcPr>
            <w:tcW w:w="106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70.2</w:t>
            </w:r>
          </w:p>
        </w:tc>
        <w:tc>
          <w:tcPr>
            <w:tcW w:w="1064"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11.34</w:t>
            </w:r>
          </w:p>
        </w:tc>
        <w:tc>
          <w:tcPr>
            <w:tcW w:w="105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11.4</w:t>
            </w:r>
          </w:p>
        </w:tc>
        <w:tc>
          <w:tcPr>
            <w:tcW w:w="1119"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4.098</w:t>
            </w:r>
          </w:p>
        </w:tc>
        <w:tc>
          <w:tcPr>
            <w:tcW w:w="89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3.977</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2017</w:t>
            </w:r>
          </w:p>
        </w:tc>
        <w:tc>
          <w:tcPr>
            <w:tcW w:w="99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0.572</w:t>
            </w:r>
          </w:p>
        </w:tc>
        <w:tc>
          <w:tcPr>
            <w:tcW w:w="9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0.576</w:t>
            </w:r>
          </w:p>
        </w:tc>
        <w:tc>
          <w:tcPr>
            <w:tcW w:w="1037"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70.33</w:t>
            </w:r>
          </w:p>
        </w:tc>
        <w:tc>
          <w:tcPr>
            <w:tcW w:w="106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70.62</w:t>
            </w:r>
          </w:p>
        </w:tc>
        <w:tc>
          <w:tcPr>
            <w:tcW w:w="1064"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11.11</w:t>
            </w:r>
          </w:p>
        </w:tc>
        <w:tc>
          <w:tcPr>
            <w:tcW w:w="105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10.85</w:t>
            </w:r>
          </w:p>
        </w:tc>
        <w:tc>
          <w:tcPr>
            <w:tcW w:w="1119"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4.358</w:t>
            </w:r>
          </w:p>
        </w:tc>
        <w:tc>
          <w:tcPr>
            <w:tcW w:w="89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4.146</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2018</w:t>
            </w:r>
          </w:p>
        </w:tc>
        <w:tc>
          <w:tcPr>
            <w:tcW w:w="99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0.575</w:t>
            </w:r>
          </w:p>
        </w:tc>
        <w:tc>
          <w:tcPr>
            <w:tcW w:w="9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0.572</w:t>
            </w:r>
          </w:p>
        </w:tc>
        <w:tc>
          <w:tcPr>
            <w:tcW w:w="1037"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70.03</w:t>
            </w:r>
          </w:p>
        </w:tc>
        <w:tc>
          <w:tcPr>
            <w:tcW w:w="106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70.79</w:t>
            </w:r>
          </w:p>
        </w:tc>
        <w:tc>
          <w:tcPr>
            <w:tcW w:w="1064"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10.84</w:t>
            </w:r>
          </w:p>
        </w:tc>
        <w:tc>
          <w:tcPr>
            <w:tcW w:w="105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10.25</w:t>
            </w:r>
          </w:p>
        </w:tc>
        <w:tc>
          <w:tcPr>
            <w:tcW w:w="1119"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4.615</w:t>
            </w:r>
          </w:p>
        </w:tc>
        <w:tc>
          <w:tcPr>
            <w:tcW w:w="89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4.305</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2019</w:t>
            </w:r>
          </w:p>
        </w:tc>
        <w:tc>
          <w:tcPr>
            <w:tcW w:w="99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0.578</w:t>
            </w:r>
          </w:p>
        </w:tc>
        <w:tc>
          <w:tcPr>
            <w:tcW w:w="9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0.568</w:t>
            </w:r>
          </w:p>
        </w:tc>
        <w:tc>
          <w:tcPr>
            <w:tcW w:w="1037"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69.83</w:t>
            </w:r>
          </w:p>
        </w:tc>
        <w:tc>
          <w:tcPr>
            <w:tcW w:w="106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71.04</w:t>
            </w:r>
          </w:p>
        </w:tc>
        <w:tc>
          <w:tcPr>
            <w:tcW w:w="1064"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10.57</w:t>
            </w:r>
          </w:p>
        </w:tc>
        <w:tc>
          <w:tcPr>
            <w:tcW w:w="105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9.638</w:t>
            </w:r>
          </w:p>
        </w:tc>
        <w:tc>
          <w:tcPr>
            <w:tcW w:w="1119"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4.87</w:t>
            </w:r>
          </w:p>
        </w:tc>
        <w:tc>
          <w:tcPr>
            <w:tcW w:w="89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4.453</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2020</w:t>
            </w:r>
          </w:p>
        </w:tc>
        <w:tc>
          <w:tcPr>
            <w:tcW w:w="99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0.574</w:t>
            </w:r>
          </w:p>
        </w:tc>
        <w:tc>
          <w:tcPr>
            <w:tcW w:w="9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0.557</w:t>
            </w:r>
          </w:p>
        </w:tc>
        <w:tc>
          <w:tcPr>
            <w:tcW w:w="1037"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69.24</w:t>
            </w:r>
          </w:p>
        </w:tc>
        <w:tc>
          <w:tcPr>
            <w:tcW w:w="106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70.88</w:t>
            </w:r>
          </w:p>
        </w:tc>
        <w:tc>
          <w:tcPr>
            <w:tcW w:w="1064"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10.29</w:t>
            </w:r>
          </w:p>
        </w:tc>
        <w:tc>
          <w:tcPr>
            <w:tcW w:w="105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9.009</w:t>
            </w:r>
          </w:p>
        </w:tc>
        <w:tc>
          <w:tcPr>
            <w:tcW w:w="1119"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5.039</w:t>
            </w:r>
          </w:p>
        </w:tc>
        <w:tc>
          <w:tcPr>
            <w:tcW w:w="89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4.518</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2021</w:t>
            </w:r>
          </w:p>
        </w:tc>
        <w:tc>
          <w:tcPr>
            <w:tcW w:w="995"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0.57</w:t>
            </w:r>
          </w:p>
        </w:tc>
        <w:tc>
          <w:tcPr>
            <w:tcW w:w="9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0.545</w:t>
            </w:r>
          </w:p>
        </w:tc>
        <w:tc>
          <w:tcPr>
            <w:tcW w:w="1037"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68.11</w:t>
            </w:r>
          </w:p>
        </w:tc>
        <w:tc>
          <w:tcPr>
            <w:tcW w:w="106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70.16</w:t>
            </w:r>
          </w:p>
        </w:tc>
        <w:tc>
          <w:tcPr>
            <w:tcW w:w="1064"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9.982</w:t>
            </w:r>
          </w:p>
        </w:tc>
        <w:tc>
          <w:tcPr>
            <w:tcW w:w="105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8.353</w:t>
            </w:r>
          </w:p>
        </w:tc>
        <w:tc>
          <w:tcPr>
            <w:tcW w:w="1119"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5.207</w:t>
            </w:r>
          </w:p>
        </w:tc>
        <w:tc>
          <w:tcPr>
            <w:tcW w:w="891"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4.577</w:t>
            </w:r>
          </w:p>
        </w:tc>
      </w:tr>
      <w:tr w:rsidR="00BF4AA8" w:rsidRPr="00BF4AA8" w:rsidTr="005F1F5C">
        <w:trPr>
          <w:trHeight w:val="340"/>
        </w:trPr>
        <w:tc>
          <w:tcPr>
            <w:cnfStyle w:val="001000000000" w:firstRow="0" w:lastRow="0" w:firstColumn="1" w:lastColumn="0" w:oddVBand="0" w:evenVBand="0" w:oddHBand="0" w:evenHBand="0" w:firstRowFirstColumn="0" w:firstRowLastColumn="0" w:lastRowFirstColumn="0" w:lastRowLastColumn="0"/>
            <w:tcW w:w="841"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2022</w:t>
            </w:r>
          </w:p>
        </w:tc>
        <w:tc>
          <w:tcPr>
            <w:tcW w:w="995"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0.573</w:t>
            </w:r>
          </w:p>
        </w:tc>
        <w:tc>
          <w:tcPr>
            <w:tcW w:w="9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0.548</w:t>
            </w:r>
          </w:p>
        </w:tc>
        <w:tc>
          <w:tcPr>
            <w:tcW w:w="1037"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68.41</w:t>
            </w:r>
          </w:p>
        </w:tc>
        <w:tc>
          <w:tcPr>
            <w:tcW w:w="106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70.47</w:t>
            </w:r>
          </w:p>
        </w:tc>
        <w:tc>
          <w:tcPr>
            <w:tcW w:w="1064"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9.982</w:t>
            </w:r>
          </w:p>
        </w:tc>
        <w:tc>
          <w:tcPr>
            <w:tcW w:w="105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8.353</w:t>
            </w:r>
          </w:p>
        </w:tc>
        <w:tc>
          <w:tcPr>
            <w:tcW w:w="1119"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5.207</w:t>
            </w:r>
          </w:p>
        </w:tc>
        <w:tc>
          <w:tcPr>
            <w:tcW w:w="891"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4.577</w:t>
            </w:r>
          </w:p>
        </w:tc>
      </w:tr>
    </w:tbl>
    <w:p w:rsidR="00BF4AA8" w:rsidRPr="00BF4AA8" w:rsidRDefault="00BF4AA8" w:rsidP="00BF4AA8">
      <w:pPr>
        <w:spacing w:after="120"/>
        <w:rPr>
          <w:rFonts w:ascii="Arial" w:hAnsi="Arial" w:cs="Arial"/>
          <w:i/>
          <w:iCs/>
          <w:sz w:val="22"/>
          <w:szCs w:val="22"/>
        </w:rPr>
      </w:pPr>
      <w:r w:rsidRPr="00BF4AA8">
        <w:rPr>
          <w:rFonts w:ascii="Arial" w:hAnsi="Arial" w:cs="Arial"/>
          <w:b/>
          <w:bCs/>
          <w:i/>
          <w:iCs/>
          <w:sz w:val="22"/>
          <w:szCs w:val="22"/>
        </w:rPr>
        <w:t>Source:</w:t>
      </w:r>
      <w:r w:rsidRPr="00BF4AA8">
        <w:rPr>
          <w:rFonts w:ascii="Arial" w:hAnsi="Arial" w:cs="Arial"/>
          <w:i/>
          <w:iCs/>
          <w:sz w:val="22"/>
          <w:szCs w:val="22"/>
        </w:rPr>
        <w:t xml:space="preserve"> Global Data Lab, 2025.</w:t>
      </w:r>
    </w:p>
    <w:p w:rsidR="00BF4AA8" w:rsidRPr="00BF4AA8" w:rsidRDefault="00BF4AA8" w:rsidP="00BF4AA8">
      <w:pPr>
        <w:pStyle w:val="Caption"/>
        <w:keepNext/>
        <w:jc w:val="both"/>
        <w:rPr>
          <w:rFonts w:ascii="Arial" w:eastAsiaTheme="minorHAnsi" w:hAnsi="Arial" w:cs="Arial"/>
          <w:b/>
          <w:bCs/>
          <w:i w:val="0"/>
          <w:iCs w:val="0"/>
          <w:color w:val="0070C0"/>
          <w:kern w:val="2"/>
          <w:sz w:val="22"/>
          <w:szCs w:val="22"/>
          <w14:ligatures w14:val="standardContextual"/>
        </w:rPr>
      </w:pPr>
      <w:r w:rsidRPr="00BF4AA8">
        <w:rPr>
          <w:rFonts w:ascii="Arial" w:eastAsiaTheme="minorHAnsi" w:hAnsi="Arial" w:cs="Arial"/>
          <w:b/>
          <w:bCs/>
          <w:i w:val="0"/>
          <w:iCs w:val="0"/>
          <w:color w:val="0070C0"/>
          <w:kern w:val="2"/>
          <w:sz w:val="22"/>
          <w:szCs w:val="22"/>
          <w14:ligatures w14:val="standardContextual"/>
        </w:rPr>
        <w:t>C. Economic activities</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Economic indicators describe the structure and dynamics of Cambodia’s economy, with emphasis on sectors that are important for coastal livelihoods. Key variables include GDP per capita (current and constant prices), sectoral shares of GDP (agriculture, industry, services), and, where data permit, the contribution of fisheries, tourism, </w:t>
      </w:r>
      <w:proofErr w:type="gramStart"/>
      <w:r w:rsidRPr="00BF4AA8">
        <w:rPr>
          <w:rFonts w:ascii="Arial" w:hAnsi="Arial" w:cs="Arial"/>
          <w:sz w:val="22"/>
          <w:szCs w:val="22"/>
        </w:rPr>
        <w:t>ports</w:t>
      </w:r>
      <w:proofErr w:type="gramEnd"/>
      <w:r w:rsidRPr="00BF4AA8">
        <w:rPr>
          <w:rFonts w:ascii="Arial" w:hAnsi="Arial" w:cs="Arial"/>
          <w:sz w:val="22"/>
          <w:szCs w:val="22"/>
        </w:rPr>
        <w:t xml:space="preserve"> and related coastal activities. National series are taken from World Bank World Development Indicators and national accounts; coastal insights draw on sector studies, blue-economy </w:t>
      </w:r>
      <w:proofErr w:type="gramStart"/>
      <w:r w:rsidRPr="00BF4AA8">
        <w:rPr>
          <w:rFonts w:ascii="Arial" w:hAnsi="Arial" w:cs="Arial"/>
          <w:sz w:val="22"/>
          <w:szCs w:val="22"/>
        </w:rPr>
        <w:t>assessments</w:t>
      </w:r>
      <w:proofErr w:type="gramEnd"/>
      <w:r w:rsidRPr="00BF4AA8">
        <w:rPr>
          <w:rFonts w:ascii="Arial" w:hAnsi="Arial" w:cs="Arial"/>
          <w:sz w:val="22"/>
          <w:szCs w:val="22"/>
        </w:rPr>
        <w:t xml:space="preserve"> and project documents. The annex documents how current-price values </w:t>
      </w:r>
      <w:proofErr w:type="gramStart"/>
      <w:r w:rsidRPr="00BF4AA8">
        <w:rPr>
          <w:rFonts w:ascii="Arial" w:hAnsi="Arial" w:cs="Arial"/>
          <w:sz w:val="22"/>
          <w:szCs w:val="22"/>
        </w:rPr>
        <w:t>are converted</w:t>
      </w:r>
      <w:proofErr w:type="gramEnd"/>
      <w:r w:rsidRPr="00BF4AA8">
        <w:rPr>
          <w:rFonts w:ascii="Arial" w:hAnsi="Arial" w:cs="Arial"/>
          <w:sz w:val="22"/>
          <w:szCs w:val="22"/>
        </w:rPr>
        <w:t xml:space="preserve"> to constant terms, how growth rates are calculated, and how qualitative statements on coastal economic importance are derived from available evidence.</w:t>
      </w:r>
    </w:p>
    <w:p w:rsidR="00BF4AA8" w:rsidRPr="00BF4AA8" w:rsidRDefault="00BF4AA8" w:rsidP="00BF4AA8">
      <w:pPr>
        <w:pStyle w:val="Caption"/>
        <w:keepNext/>
        <w:spacing w:before="240" w:after="120"/>
        <w:rPr>
          <w:rFonts w:ascii="Arial" w:eastAsiaTheme="minorHAnsi" w:hAnsi="Arial" w:cs="Arial"/>
          <w:color w:val="002060"/>
          <w:kern w:val="2"/>
          <w:sz w:val="22"/>
          <w:szCs w:val="22"/>
          <w14:ligatures w14:val="standardContextual"/>
        </w:rPr>
      </w:pPr>
      <w:r w:rsidRPr="00BF4AA8">
        <w:rPr>
          <w:rFonts w:ascii="Arial" w:eastAsiaTheme="minorHAnsi" w:hAnsi="Arial" w:cs="Arial"/>
          <w:color w:val="002060"/>
          <w:kern w:val="2"/>
          <w:sz w:val="22"/>
          <w:szCs w:val="22"/>
          <w14:ligatures w14:val="standardContextual"/>
        </w:rPr>
        <w:t>Annex Table 2-</w:t>
      </w:r>
      <w:r w:rsidRPr="00BF4AA8">
        <w:rPr>
          <w:rFonts w:ascii="Arial" w:eastAsiaTheme="minorHAnsi" w:hAnsi="Arial" w:cs="Arial"/>
          <w:color w:val="002060"/>
          <w:kern w:val="2"/>
          <w:sz w:val="22"/>
          <w:szCs w:val="22"/>
          <w14:ligatures w14:val="standardContextual"/>
        </w:rPr>
        <w:fldChar w:fldCharType="begin"/>
      </w:r>
      <w:r w:rsidRPr="00BF4AA8">
        <w:rPr>
          <w:rFonts w:ascii="Arial" w:eastAsiaTheme="minorHAnsi" w:hAnsi="Arial" w:cs="Arial"/>
          <w:color w:val="002060"/>
          <w:kern w:val="2"/>
          <w:sz w:val="22"/>
          <w:szCs w:val="22"/>
          <w14:ligatures w14:val="standardContextual"/>
        </w:rPr>
        <w:instrText xml:space="preserve"> SEQ Annex_Table_2- \* ARABIC </w:instrText>
      </w:r>
      <w:r w:rsidRPr="00BF4AA8">
        <w:rPr>
          <w:rFonts w:ascii="Arial" w:eastAsiaTheme="minorHAnsi" w:hAnsi="Arial" w:cs="Arial"/>
          <w:color w:val="002060"/>
          <w:kern w:val="2"/>
          <w:sz w:val="22"/>
          <w:szCs w:val="22"/>
          <w14:ligatures w14:val="standardContextual"/>
        </w:rPr>
        <w:fldChar w:fldCharType="separate"/>
      </w:r>
      <w:r w:rsidR="00836984">
        <w:rPr>
          <w:rFonts w:ascii="Arial" w:eastAsiaTheme="minorHAnsi" w:hAnsi="Arial" w:cs="Arial"/>
          <w:noProof/>
          <w:color w:val="002060"/>
          <w:kern w:val="2"/>
          <w:sz w:val="22"/>
          <w:szCs w:val="22"/>
          <w14:ligatures w14:val="standardContextual"/>
        </w:rPr>
        <w:t>8</w:t>
      </w:r>
      <w:r w:rsidRPr="00BF4AA8">
        <w:rPr>
          <w:rFonts w:ascii="Arial" w:eastAsiaTheme="minorHAnsi" w:hAnsi="Arial" w:cs="Arial"/>
          <w:color w:val="002060"/>
          <w:kern w:val="2"/>
          <w:sz w:val="22"/>
          <w:szCs w:val="22"/>
          <w14:ligatures w14:val="standardContextual"/>
        </w:rPr>
        <w:fldChar w:fldCharType="end"/>
      </w:r>
      <w:r w:rsidRPr="00BF4AA8">
        <w:rPr>
          <w:rFonts w:ascii="Arial" w:eastAsiaTheme="minorHAnsi" w:hAnsi="Arial" w:cs="Arial"/>
          <w:color w:val="002060"/>
          <w:kern w:val="2"/>
          <w:sz w:val="22"/>
          <w:szCs w:val="22"/>
          <w14:ligatures w14:val="standardContextual"/>
        </w:rPr>
        <w:t xml:space="preserve"> Economic activity indicators: data sources, metadata, &amp; </w:t>
      </w:r>
      <w:proofErr w:type="spellStart"/>
      <w:r w:rsidRPr="00BF4AA8">
        <w:rPr>
          <w:rFonts w:ascii="Arial" w:eastAsiaTheme="minorHAnsi" w:hAnsi="Arial" w:cs="Arial"/>
          <w:color w:val="002060"/>
          <w:kern w:val="2"/>
          <w:sz w:val="22"/>
          <w:szCs w:val="22"/>
          <w14:ligatures w14:val="standardContextual"/>
        </w:rPr>
        <w:t>aeesement</w:t>
      </w:r>
      <w:proofErr w:type="spellEnd"/>
      <w:r w:rsidRPr="00BF4AA8">
        <w:rPr>
          <w:rFonts w:ascii="Arial" w:eastAsiaTheme="minorHAnsi" w:hAnsi="Arial" w:cs="Arial"/>
          <w:color w:val="002060"/>
          <w:kern w:val="2"/>
          <w:sz w:val="22"/>
          <w:szCs w:val="22"/>
          <w14:ligatures w14:val="standardContextual"/>
        </w:rPr>
        <w:t xml:space="preserve"> methods</w:t>
      </w:r>
    </w:p>
    <w:tbl>
      <w:tblPr>
        <w:tblStyle w:val="GridTable4-Accent5"/>
        <w:tblW w:w="0" w:type="auto"/>
        <w:tblLook w:val="04A0" w:firstRow="1" w:lastRow="0" w:firstColumn="1" w:lastColumn="0" w:noHBand="0" w:noVBand="1"/>
      </w:tblPr>
      <w:tblGrid>
        <w:gridCol w:w="1556"/>
        <w:gridCol w:w="1451"/>
        <w:gridCol w:w="1266"/>
        <w:gridCol w:w="1411"/>
        <w:gridCol w:w="1169"/>
        <w:gridCol w:w="1635"/>
      </w:tblGrid>
      <w:tr w:rsidR="00BF4AA8"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Indicator</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Definition &amp; Unit</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Spatial Coverage</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Time Series Availability</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Data Sources</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Computation / Notes</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GDP per capita</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US$/person (current + constant)</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BF4AA8">
              <w:rPr>
                <w:rStyle w:val="Strong"/>
                <w:rFonts w:ascii="Arial" w:eastAsiaTheme="majorEastAsia" w:hAnsi="Arial" w:cs="Arial"/>
                <w:sz w:val="22"/>
                <w:szCs w:val="22"/>
              </w:rPr>
              <w:t>1995–2024</w:t>
            </w:r>
            <w:r w:rsidRPr="00BF4AA8">
              <w:rPr>
                <w:rFonts w:ascii="Arial" w:hAnsi="Arial" w:cs="Arial"/>
                <w:b/>
                <w:bCs/>
                <w:sz w:val="22"/>
                <w:szCs w:val="22"/>
              </w:rPr>
              <w:t xml:space="preserve"> </w:t>
            </w:r>
            <w:r w:rsidRPr="00BF4AA8">
              <w:rPr>
                <w:rFonts w:ascii="Arial" w:hAnsi="Arial" w:cs="Arial"/>
                <w:sz w:val="22"/>
                <w:szCs w:val="22"/>
              </w:rPr>
              <w:t>(annual)</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World Bank WDI</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Constant series used for long-term trends; current for comparison.</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Sectoral GDP shares</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of GDP from agriculture, industry, services</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BF4AA8">
              <w:rPr>
                <w:rStyle w:val="Strong"/>
                <w:rFonts w:ascii="Arial" w:eastAsiaTheme="majorEastAsia" w:hAnsi="Arial" w:cs="Arial"/>
                <w:sz w:val="22"/>
                <w:szCs w:val="22"/>
              </w:rPr>
              <w:t>1995–2024</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WDI; National Accounts</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Interpreted for coastal economy via sector profiles (tourism, fisheries).</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Fisheries contribution</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GDP or value added</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(coastal relevance)</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Varies by study</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World Bank CCDR; </w:t>
            </w:r>
            <w:proofErr w:type="spellStart"/>
            <w:r w:rsidRPr="00BF4AA8">
              <w:rPr>
                <w:rFonts w:ascii="Arial" w:hAnsi="Arial" w:cs="Arial"/>
                <w:sz w:val="22"/>
                <w:szCs w:val="22"/>
              </w:rPr>
              <w:t>FiA</w:t>
            </w:r>
            <w:proofErr w:type="spellEnd"/>
            <w:r w:rsidRPr="00BF4AA8">
              <w:rPr>
                <w:rFonts w:ascii="Arial" w:hAnsi="Arial" w:cs="Arial"/>
                <w:sz w:val="22"/>
                <w:szCs w:val="22"/>
              </w:rPr>
              <w:t xml:space="preserve">; PEMSEA &amp; </w:t>
            </w:r>
            <w:proofErr w:type="spellStart"/>
            <w:r w:rsidRPr="00BF4AA8">
              <w:rPr>
                <w:rFonts w:ascii="Arial" w:hAnsi="Arial" w:cs="Arial"/>
                <w:sz w:val="22"/>
                <w:szCs w:val="22"/>
              </w:rPr>
              <w:t>MoE</w:t>
            </w:r>
            <w:proofErr w:type="spellEnd"/>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Not annual; compiled from specialized assessments.</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Tourism activity</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Arrivals, receipts</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coastal inference</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1995–2024</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MoT</w:t>
            </w:r>
            <w:proofErr w:type="spellEnd"/>
            <w:r w:rsidRPr="00BF4AA8">
              <w:rPr>
                <w:rFonts w:ascii="Arial" w:hAnsi="Arial" w:cs="Arial"/>
                <w:sz w:val="22"/>
                <w:szCs w:val="22"/>
              </w:rPr>
              <w:t>; project reports</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Coastal-specific tourism data limited; interpret qualitatively.</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Port &amp; SEZ activity</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Cargo volumes, employment</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Preah Sihanouk; Phnom Penh</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2010–2024 (irregular)</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MPWT; SEZ reports</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Used to contextualize coastal economic structure.</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Employment structure</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employment by sector</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limited coastal</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LFS years: </w:t>
            </w:r>
            <w:r w:rsidRPr="00BF4AA8">
              <w:rPr>
                <w:rStyle w:val="Strong"/>
                <w:rFonts w:ascii="Arial" w:eastAsiaTheme="majorEastAsia" w:hAnsi="Arial" w:cs="Arial"/>
                <w:sz w:val="22"/>
                <w:szCs w:val="22"/>
              </w:rPr>
              <w:t>2012, 2015, 2019, 2021–2023</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NIS </w:t>
            </w:r>
            <w:proofErr w:type="spellStart"/>
            <w:r w:rsidRPr="00BF4AA8">
              <w:rPr>
                <w:rFonts w:ascii="Arial" w:hAnsi="Arial" w:cs="Arial"/>
                <w:sz w:val="22"/>
                <w:szCs w:val="22"/>
              </w:rPr>
              <w:t>Labour</w:t>
            </w:r>
            <w:proofErr w:type="spellEnd"/>
            <w:r w:rsidRPr="00BF4AA8">
              <w:rPr>
                <w:rFonts w:ascii="Arial" w:hAnsi="Arial" w:cs="Arial"/>
                <w:sz w:val="22"/>
                <w:szCs w:val="22"/>
              </w:rPr>
              <w:t xml:space="preserve"> Force Survey</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Used qualitatively to describe livelihood dependency.</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Informality &amp; migration flows</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Share of informal workers; migration volumes</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Intermittent</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ILO; World Bank</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No consistent coastal time-series; used as narrative support.</w:t>
            </w:r>
          </w:p>
        </w:tc>
      </w:tr>
    </w:tbl>
    <w:p w:rsidR="00BF4AA8" w:rsidRPr="00BF4AA8" w:rsidRDefault="00BF4AA8" w:rsidP="00BF4AA8">
      <w:pPr>
        <w:pStyle w:val="Caption"/>
        <w:keepNext/>
        <w:spacing w:before="240" w:after="120"/>
        <w:rPr>
          <w:rFonts w:ascii="Arial" w:eastAsiaTheme="minorHAnsi" w:hAnsi="Arial" w:cs="Arial"/>
          <w:color w:val="002060"/>
          <w:kern w:val="2"/>
          <w:sz w:val="22"/>
          <w:szCs w:val="22"/>
          <w14:ligatures w14:val="standardContextual"/>
        </w:rPr>
      </w:pPr>
      <w:bookmarkStart w:id="16" w:name="_Ref215218876"/>
      <w:r w:rsidRPr="00BF4AA8">
        <w:rPr>
          <w:rFonts w:ascii="Arial" w:eastAsiaTheme="minorHAnsi" w:hAnsi="Arial" w:cs="Arial"/>
          <w:color w:val="002060"/>
          <w:kern w:val="2"/>
          <w:sz w:val="22"/>
          <w:szCs w:val="22"/>
          <w14:ligatures w14:val="standardContextual"/>
        </w:rPr>
        <w:t>Annex Table 2-</w:t>
      </w:r>
      <w:r w:rsidRPr="00BF4AA8">
        <w:rPr>
          <w:rFonts w:ascii="Arial" w:eastAsiaTheme="minorHAnsi" w:hAnsi="Arial" w:cs="Arial"/>
          <w:color w:val="002060"/>
          <w:kern w:val="2"/>
          <w:sz w:val="22"/>
          <w:szCs w:val="22"/>
          <w14:ligatures w14:val="standardContextual"/>
        </w:rPr>
        <w:fldChar w:fldCharType="begin"/>
      </w:r>
      <w:r w:rsidRPr="00BF4AA8">
        <w:rPr>
          <w:rFonts w:ascii="Arial" w:eastAsiaTheme="minorHAnsi" w:hAnsi="Arial" w:cs="Arial"/>
          <w:color w:val="002060"/>
          <w:kern w:val="2"/>
          <w:sz w:val="22"/>
          <w:szCs w:val="22"/>
          <w14:ligatures w14:val="standardContextual"/>
        </w:rPr>
        <w:instrText xml:space="preserve"> SEQ Annex_Table_2- \* ARABIC </w:instrText>
      </w:r>
      <w:r w:rsidRPr="00BF4AA8">
        <w:rPr>
          <w:rFonts w:ascii="Arial" w:eastAsiaTheme="minorHAnsi" w:hAnsi="Arial" w:cs="Arial"/>
          <w:color w:val="002060"/>
          <w:kern w:val="2"/>
          <w:sz w:val="22"/>
          <w:szCs w:val="22"/>
          <w14:ligatures w14:val="standardContextual"/>
        </w:rPr>
        <w:fldChar w:fldCharType="separate"/>
      </w:r>
      <w:r w:rsidR="00836984">
        <w:rPr>
          <w:rFonts w:ascii="Arial" w:eastAsiaTheme="minorHAnsi" w:hAnsi="Arial" w:cs="Arial"/>
          <w:noProof/>
          <w:color w:val="002060"/>
          <w:kern w:val="2"/>
          <w:sz w:val="22"/>
          <w:szCs w:val="22"/>
          <w14:ligatures w14:val="standardContextual"/>
        </w:rPr>
        <w:t>9</w:t>
      </w:r>
      <w:r w:rsidRPr="00BF4AA8">
        <w:rPr>
          <w:rFonts w:ascii="Arial" w:eastAsiaTheme="minorHAnsi" w:hAnsi="Arial" w:cs="Arial"/>
          <w:color w:val="002060"/>
          <w:kern w:val="2"/>
          <w:sz w:val="22"/>
          <w:szCs w:val="22"/>
          <w14:ligatures w14:val="standardContextual"/>
        </w:rPr>
        <w:fldChar w:fldCharType="end"/>
      </w:r>
      <w:bookmarkEnd w:id="16"/>
      <w:r w:rsidRPr="00BF4AA8">
        <w:rPr>
          <w:rFonts w:ascii="Arial" w:eastAsiaTheme="minorHAnsi" w:hAnsi="Arial" w:cs="Arial"/>
          <w:color w:val="002060"/>
          <w:kern w:val="2"/>
          <w:sz w:val="22"/>
          <w:szCs w:val="22"/>
          <w14:ligatures w14:val="standardContextual"/>
        </w:rPr>
        <w:t xml:space="preserve"> Cambodia’s economic key indicators (1995-2024)</w:t>
      </w:r>
    </w:p>
    <w:tbl>
      <w:tblPr>
        <w:tblStyle w:val="GridTable4-Accent5"/>
        <w:tblW w:w="8926" w:type="dxa"/>
        <w:tblLook w:val="04A0" w:firstRow="1" w:lastRow="0" w:firstColumn="1" w:lastColumn="0" w:noHBand="0" w:noVBand="1"/>
      </w:tblPr>
      <w:tblGrid>
        <w:gridCol w:w="1300"/>
        <w:gridCol w:w="1300"/>
        <w:gridCol w:w="1300"/>
        <w:gridCol w:w="1300"/>
        <w:gridCol w:w="1300"/>
        <w:gridCol w:w="1300"/>
        <w:gridCol w:w="1126"/>
      </w:tblGrid>
      <w:tr w:rsidR="00BF4AA8" w:rsidRPr="00BF4AA8" w:rsidTr="005F1F5C">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vMerge w:val="restart"/>
            <w:vAlign w:val="center"/>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Year</w:t>
            </w:r>
          </w:p>
        </w:tc>
        <w:tc>
          <w:tcPr>
            <w:tcW w:w="2600" w:type="dxa"/>
            <w:gridSpan w:val="2"/>
            <w:noWrap/>
            <w:vAlign w:val="center"/>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GDP per capita</w:t>
            </w:r>
          </w:p>
        </w:tc>
        <w:tc>
          <w:tcPr>
            <w:tcW w:w="2600" w:type="dxa"/>
            <w:gridSpan w:val="2"/>
            <w:noWrap/>
            <w:vAlign w:val="center"/>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Agriculture, forestry, and fishing, value added</w:t>
            </w:r>
          </w:p>
        </w:tc>
        <w:tc>
          <w:tcPr>
            <w:tcW w:w="2426" w:type="dxa"/>
            <w:gridSpan w:val="2"/>
            <w:noWrap/>
            <w:vAlign w:val="center"/>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Services value added</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83"/>
        </w:trPr>
        <w:tc>
          <w:tcPr>
            <w:cnfStyle w:val="001000000000" w:firstRow="0" w:lastRow="0" w:firstColumn="1" w:lastColumn="0" w:oddVBand="0" w:evenVBand="0" w:oddHBand="0" w:evenHBand="0" w:firstRowFirstColumn="0" w:firstRowLastColumn="0" w:lastRowFirstColumn="0" w:lastRowLastColumn="0"/>
            <w:tcW w:w="1300" w:type="dxa"/>
            <w:vMerge/>
            <w:hideMark/>
          </w:tcPr>
          <w:p w:rsidR="00BF4AA8" w:rsidRPr="00BF4AA8" w:rsidRDefault="00BF4AA8" w:rsidP="005F1F5C">
            <w:pPr>
              <w:rPr>
                <w:rFonts w:ascii="Arial" w:hAnsi="Arial" w:cs="Arial"/>
                <w:color w:val="FFFFFF" w:themeColor="background1"/>
                <w:sz w:val="22"/>
                <w:szCs w:val="22"/>
              </w:rPr>
            </w:pPr>
          </w:p>
        </w:tc>
        <w:tc>
          <w:tcPr>
            <w:tcW w:w="1300" w:type="dxa"/>
            <w:shd w:val="clear" w:color="auto" w:fill="8496B0" w:themeFill="text2" w:themeFillTint="99"/>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2"/>
                <w:szCs w:val="22"/>
              </w:rPr>
            </w:pPr>
            <w:r w:rsidRPr="00BF4AA8">
              <w:rPr>
                <w:rFonts w:ascii="Arial" w:hAnsi="Arial" w:cs="Arial"/>
                <w:color w:val="FFFFFF" w:themeColor="background1"/>
                <w:sz w:val="22"/>
                <w:szCs w:val="22"/>
              </w:rPr>
              <w:t>Current US$</w:t>
            </w:r>
          </w:p>
        </w:tc>
        <w:tc>
          <w:tcPr>
            <w:tcW w:w="1300" w:type="dxa"/>
            <w:shd w:val="clear" w:color="auto" w:fill="8496B0" w:themeFill="text2" w:themeFillTint="99"/>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2"/>
                <w:szCs w:val="22"/>
              </w:rPr>
            </w:pPr>
            <w:r w:rsidRPr="00BF4AA8">
              <w:rPr>
                <w:rFonts w:ascii="Arial" w:hAnsi="Arial" w:cs="Arial"/>
                <w:color w:val="FFFFFF" w:themeColor="background1"/>
                <w:sz w:val="22"/>
                <w:szCs w:val="22"/>
              </w:rPr>
              <w:t>2015 US$</w:t>
            </w:r>
          </w:p>
        </w:tc>
        <w:tc>
          <w:tcPr>
            <w:tcW w:w="1300" w:type="dxa"/>
            <w:shd w:val="clear" w:color="auto" w:fill="8496B0" w:themeFill="text2" w:themeFillTint="99"/>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2"/>
                <w:szCs w:val="22"/>
              </w:rPr>
            </w:pPr>
            <w:r w:rsidRPr="00BF4AA8">
              <w:rPr>
                <w:rFonts w:ascii="Arial" w:hAnsi="Arial" w:cs="Arial"/>
                <w:color w:val="FFFFFF" w:themeColor="background1"/>
                <w:sz w:val="22"/>
                <w:szCs w:val="22"/>
              </w:rPr>
              <w:t>Constant 2015 US$ - Billion</w:t>
            </w:r>
          </w:p>
        </w:tc>
        <w:tc>
          <w:tcPr>
            <w:tcW w:w="1300" w:type="dxa"/>
            <w:shd w:val="clear" w:color="auto" w:fill="8496B0" w:themeFill="text2" w:themeFillTint="99"/>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2"/>
                <w:szCs w:val="22"/>
              </w:rPr>
            </w:pPr>
            <w:r w:rsidRPr="00BF4AA8">
              <w:rPr>
                <w:rFonts w:ascii="Arial" w:hAnsi="Arial" w:cs="Arial"/>
                <w:color w:val="FFFFFF" w:themeColor="background1"/>
                <w:sz w:val="22"/>
                <w:szCs w:val="22"/>
              </w:rPr>
              <w:t>% of GDP</w:t>
            </w:r>
          </w:p>
        </w:tc>
        <w:tc>
          <w:tcPr>
            <w:tcW w:w="1300" w:type="dxa"/>
            <w:shd w:val="clear" w:color="auto" w:fill="8496B0" w:themeFill="text2" w:themeFillTint="99"/>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2"/>
                <w:szCs w:val="22"/>
              </w:rPr>
            </w:pPr>
            <w:r w:rsidRPr="00BF4AA8">
              <w:rPr>
                <w:rFonts w:ascii="Arial" w:hAnsi="Arial" w:cs="Arial"/>
                <w:color w:val="FFFFFF" w:themeColor="background1"/>
                <w:sz w:val="22"/>
                <w:szCs w:val="22"/>
              </w:rPr>
              <w:t>Constant 2015 US$ - Billion</w:t>
            </w:r>
          </w:p>
        </w:tc>
        <w:tc>
          <w:tcPr>
            <w:tcW w:w="1126" w:type="dxa"/>
            <w:shd w:val="clear" w:color="auto" w:fill="8496B0" w:themeFill="text2" w:themeFillTint="99"/>
            <w:noWrap/>
            <w:vAlign w:val="center"/>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FFFFFF" w:themeColor="background1"/>
                <w:sz w:val="22"/>
                <w:szCs w:val="22"/>
              </w:rPr>
            </w:pPr>
            <w:r w:rsidRPr="00BF4AA8">
              <w:rPr>
                <w:rFonts w:ascii="Arial" w:hAnsi="Arial" w:cs="Arial"/>
                <w:color w:val="FFFFFF" w:themeColor="background1"/>
                <w:sz w:val="22"/>
                <w:szCs w:val="22"/>
              </w:rPr>
              <w:t>% of GDP</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1995</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343.49</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520.93</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2.26</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47.72</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1.95</w:t>
            </w:r>
          </w:p>
        </w:tc>
        <w:tc>
          <w:tcPr>
            <w:tcW w:w="11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34.192</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1996</w:t>
            </w:r>
          </w:p>
        </w:tc>
        <w:tc>
          <w:tcPr>
            <w:tcW w:w="1300"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324.66</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511.67</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2.32</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44.46</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2.13</w:t>
            </w:r>
          </w:p>
        </w:tc>
        <w:tc>
          <w:tcPr>
            <w:tcW w:w="11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35.981</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1997</w:t>
            </w:r>
          </w:p>
        </w:tc>
        <w:tc>
          <w:tcPr>
            <w:tcW w:w="1300"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297.59</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496.77</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2.35</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44.45</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2.19</w:t>
            </w:r>
          </w:p>
        </w:tc>
        <w:tc>
          <w:tcPr>
            <w:tcW w:w="11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35.088</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1998</w:t>
            </w:r>
          </w:p>
        </w:tc>
        <w:tc>
          <w:tcPr>
            <w:tcW w:w="1300"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258.78</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499.02</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2.46</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44.48</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2.30</w:t>
            </w:r>
          </w:p>
        </w:tc>
        <w:tc>
          <w:tcPr>
            <w:tcW w:w="11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34.804</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1999</w:t>
            </w:r>
          </w:p>
        </w:tc>
        <w:tc>
          <w:tcPr>
            <w:tcW w:w="1300"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286.75</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552.90</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2.55</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40.90</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2.63</w:t>
            </w:r>
          </w:p>
        </w:tc>
        <w:tc>
          <w:tcPr>
            <w:tcW w:w="11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35.442</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2000</w:t>
            </w:r>
          </w:p>
        </w:tc>
        <w:tc>
          <w:tcPr>
            <w:tcW w:w="1300"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296.43</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598.56</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2.61</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35.53</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2.87</w:t>
            </w:r>
          </w:p>
        </w:tc>
        <w:tc>
          <w:tcPr>
            <w:tcW w:w="11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36.715</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2001</w:t>
            </w:r>
          </w:p>
        </w:tc>
        <w:tc>
          <w:tcPr>
            <w:tcW w:w="1300"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327.50</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632.83</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2.70</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32.97</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3.15</w:t>
            </w:r>
          </w:p>
        </w:tc>
        <w:tc>
          <w:tcPr>
            <w:tcW w:w="11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38.058</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2002</w:t>
            </w:r>
          </w:p>
        </w:tc>
        <w:tc>
          <w:tcPr>
            <w:tcW w:w="1300"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350.15</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662.19</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2.63</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29.61</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3.41</w:t>
            </w:r>
          </w:p>
        </w:tc>
        <w:tc>
          <w:tcPr>
            <w:tcW w:w="11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38.999</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2003</w:t>
            </w:r>
          </w:p>
        </w:tc>
        <w:tc>
          <w:tcPr>
            <w:tcW w:w="1300"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386.69</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719.33</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2.95</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29.47</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3.72</w:t>
            </w:r>
          </w:p>
        </w:tc>
        <w:tc>
          <w:tcPr>
            <w:tcW w:w="11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38.730</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2004</w:t>
            </w:r>
          </w:p>
        </w:tc>
        <w:tc>
          <w:tcPr>
            <w:tcW w:w="1300"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444.20</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775.85</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2.94</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26.63</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4.16</w:t>
            </w:r>
          </w:p>
        </w:tc>
        <w:tc>
          <w:tcPr>
            <w:tcW w:w="11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39.444</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2005</w:t>
            </w:r>
          </w:p>
        </w:tc>
        <w:tc>
          <w:tcPr>
            <w:tcW w:w="1300"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525.80</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866.34</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3.42</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27.45</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4.66</w:t>
            </w:r>
          </w:p>
        </w:tc>
        <w:tc>
          <w:tcPr>
            <w:tcW w:w="11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39.354</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2006</w:t>
            </w:r>
          </w:p>
        </w:tc>
        <w:tc>
          <w:tcPr>
            <w:tcW w:w="1300"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612.25</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947.07</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3.62</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26.29</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5.17</w:t>
            </w:r>
          </w:p>
        </w:tc>
        <w:tc>
          <w:tcPr>
            <w:tcW w:w="11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39.113</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2007</w:t>
            </w:r>
          </w:p>
        </w:tc>
        <w:tc>
          <w:tcPr>
            <w:tcW w:w="1300"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731.69</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1,030.23</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3.83</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25.47</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5.72</w:t>
            </w:r>
          </w:p>
        </w:tc>
        <w:tc>
          <w:tcPr>
            <w:tcW w:w="11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39.167</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2008</w:t>
            </w:r>
          </w:p>
        </w:tc>
        <w:tc>
          <w:tcPr>
            <w:tcW w:w="1300"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866.28</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1,090.57</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4.06</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28.03</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6.25</w:t>
            </w:r>
          </w:p>
        </w:tc>
        <w:tc>
          <w:tcPr>
            <w:tcW w:w="11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39.486</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2009</w:t>
            </w:r>
          </w:p>
        </w:tc>
        <w:tc>
          <w:tcPr>
            <w:tcW w:w="1300"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875.75</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1,117.26</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4.28</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28.09</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6.52</w:t>
            </w:r>
          </w:p>
        </w:tc>
        <w:tc>
          <w:tcPr>
            <w:tcW w:w="11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39.788</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2010</w:t>
            </w:r>
          </w:p>
        </w:tc>
        <w:tc>
          <w:tcPr>
            <w:tcW w:w="1300"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952.27</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1,155.85</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4.47</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27.87</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6.85</w:t>
            </w:r>
          </w:p>
        </w:tc>
        <w:tc>
          <w:tcPr>
            <w:tcW w:w="11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39.721</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2011</w:t>
            </w:r>
          </w:p>
        </w:tc>
        <w:tc>
          <w:tcPr>
            <w:tcW w:w="1300"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1,088.98</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1,221.39</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4.58</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28.04</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7.31</w:t>
            </w:r>
          </w:p>
        </w:tc>
        <w:tc>
          <w:tcPr>
            <w:tcW w:w="11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39.083</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2012</w:t>
            </w:r>
          </w:p>
        </w:tc>
        <w:tc>
          <w:tcPr>
            <w:tcW w:w="1300"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1,192.80</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1,295.25</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4.78</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26.80</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7.93</w:t>
            </w:r>
          </w:p>
        </w:tc>
        <w:tc>
          <w:tcPr>
            <w:tcW w:w="11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39.400</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2013</w:t>
            </w:r>
          </w:p>
        </w:tc>
        <w:tc>
          <w:tcPr>
            <w:tcW w:w="1300"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1,305.66</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1,376.30</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4.83</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24.45</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8.69</w:t>
            </w:r>
          </w:p>
        </w:tc>
        <w:tc>
          <w:tcPr>
            <w:tcW w:w="11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40.406</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2014</w:t>
            </w:r>
          </w:p>
        </w:tc>
        <w:tc>
          <w:tcPr>
            <w:tcW w:w="1300"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1,431.56</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1,464.53</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4.86</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22.19</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9.54</w:t>
            </w:r>
          </w:p>
        </w:tc>
        <w:tc>
          <w:tcPr>
            <w:tcW w:w="11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41.689</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2015</w:t>
            </w:r>
          </w:p>
        </w:tc>
        <w:tc>
          <w:tcPr>
            <w:tcW w:w="1300"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1,547.32</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1,547.32</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4.87</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20.14</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10.20</w:t>
            </w:r>
          </w:p>
        </w:tc>
        <w:tc>
          <w:tcPr>
            <w:tcW w:w="11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42.206</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2016</w:t>
            </w:r>
          </w:p>
        </w:tc>
        <w:tc>
          <w:tcPr>
            <w:tcW w:w="1300"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1,675.20</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1,645.47</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4.93</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18.91</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10.90</w:t>
            </w:r>
          </w:p>
        </w:tc>
        <w:tc>
          <w:tcPr>
            <w:tcW w:w="11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41.764</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2017</w:t>
            </w:r>
          </w:p>
        </w:tc>
        <w:tc>
          <w:tcPr>
            <w:tcW w:w="1300"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1,826.35</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1,753.94</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5.02</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17.87</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11.66</w:t>
            </w:r>
          </w:p>
        </w:tc>
        <w:tc>
          <w:tcPr>
            <w:tcW w:w="11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41.418</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2018</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2,036.67</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1,884.28</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5.07</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16.50</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12.49</w:t>
            </w:r>
          </w:p>
        </w:tc>
        <w:tc>
          <w:tcPr>
            <w:tcW w:w="11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40.220</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2019</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2,225.88</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2,008.32</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5.05</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15.44</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13.30</w:t>
            </w:r>
          </w:p>
        </w:tc>
        <w:tc>
          <w:tcPr>
            <w:tcW w:w="11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39.138</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2020</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2,081.74</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1,908.63</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5.08</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17.04</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12.42</w:t>
            </w:r>
          </w:p>
        </w:tc>
        <w:tc>
          <w:tcPr>
            <w:tcW w:w="11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39.144</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2021</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2,167.40</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1,938.76</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5.16</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16.90</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12.19</w:t>
            </w:r>
          </w:p>
        </w:tc>
        <w:tc>
          <w:tcPr>
            <w:tcW w:w="11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36.487</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2022</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2,325.03</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2,011.27</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5.19</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16.54</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12.63</w:t>
            </w:r>
          </w:p>
        </w:tc>
        <w:tc>
          <w:tcPr>
            <w:tcW w:w="11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36.385</w:t>
            </w:r>
          </w:p>
        </w:tc>
      </w:tr>
      <w:tr w:rsidR="00BF4AA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2023</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2,429.75</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2,085.06</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5.25</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17.08</w:t>
            </w:r>
          </w:p>
        </w:tc>
        <w:tc>
          <w:tcPr>
            <w:tcW w:w="130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13.39</w:t>
            </w:r>
          </w:p>
        </w:tc>
        <w:tc>
          <w:tcPr>
            <w:tcW w:w="11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36.152</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300" w:type="dxa"/>
            <w:noWrap/>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2024</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2,627.88</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2,183.56</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5.30</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16.58</w:t>
            </w:r>
          </w:p>
        </w:tc>
        <w:tc>
          <w:tcPr>
            <w:tcW w:w="130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13.97</w:t>
            </w:r>
          </w:p>
        </w:tc>
        <w:tc>
          <w:tcPr>
            <w:tcW w:w="11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35.595</w:t>
            </w:r>
          </w:p>
        </w:tc>
      </w:tr>
    </w:tbl>
    <w:p w:rsidR="00BF4AA8" w:rsidRPr="00BF4AA8" w:rsidRDefault="00BF4AA8" w:rsidP="00BF4AA8">
      <w:pPr>
        <w:pStyle w:val="NormalWeb"/>
        <w:spacing w:before="0" w:beforeAutospacing="0"/>
        <w:jc w:val="both"/>
        <w:rPr>
          <w:rFonts w:ascii="Arial" w:hAnsi="Arial" w:cs="Arial"/>
          <w:i/>
          <w:iCs/>
          <w:sz w:val="22"/>
          <w:szCs w:val="22"/>
        </w:rPr>
      </w:pPr>
      <w:r w:rsidRPr="00BF4AA8">
        <w:rPr>
          <w:rFonts w:ascii="Arial" w:hAnsi="Arial" w:cs="Arial"/>
          <w:b/>
          <w:bCs/>
          <w:i/>
          <w:iCs/>
          <w:sz w:val="22"/>
          <w:szCs w:val="22"/>
        </w:rPr>
        <w:t>Source:</w:t>
      </w:r>
      <w:r w:rsidRPr="00BF4AA8">
        <w:rPr>
          <w:rFonts w:ascii="Arial" w:hAnsi="Arial" w:cs="Arial"/>
          <w:i/>
          <w:iCs/>
          <w:sz w:val="22"/>
          <w:szCs w:val="22"/>
        </w:rPr>
        <w:t xml:space="preserve"> World Bank, 2025. World Development Indicators (WDI)</w:t>
      </w:r>
    </w:p>
    <w:p w:rsidR="00BF4AA8" w:rsidRPr="00BF4AA8" w:rsidRDefault="00BF4AA8" w:rsidP="00BF4AA8">
      <w:pPr>
        <w:pStyle w:val="Caption"/>
        <w:jc w:val="both"/>
        <w:rPr>
          <w:rFonts w:ascii="Arial" w:eastAsiaTheme="minorHAnsi" w:hAnsi="Arial" w:cs="Arial"/>
          <w:b/>
          <w:bCs/>
          <w:i w:val="0"/>
          <w:iCs w:val="0"/>
          <w:color w:val="0070C0"/>
          <w:kern w:val="2"/>
          <w:sz w:val="22"/>
          <w:szCs w:val="22"/>
          <w14:ligatures w14:val="standardContextual"/>
        </w:rPr>
      </w:pPr>
      <w:r w:rsidRPr="00BF4AA8">
        <w:rPr>
          <w:rFonts w:ascii="Arial" w:eastAsiaTheme="minorHAnsi" w:hAnsi="Arial" w:cs="Arial"/>
          <w:b/>
          <w:bCs/>
          <w:i w:val="0"/>
          <w:iCs w:val="0"/>
          <w:color w:val="0070C0"/>
          <w:kern w:val="2"/>
          <w:sz w:val="22"/>
          <w:szCs w:val="22"/>
          <w14:ligatures w14:val="standardContextual"/>
        </w:rPr>
        <w:t>D. Climate-related threats</w:t>
      </w:r>
    </w:p>
    <w:p w:rsidR="00BF4AA8" w:rsidRPr="00BF4AA8" w:rsidRDefault="00BF4AA8" w:rsidP="00BF4AA8">
      <w:pPr>
        <w:pStyle w:val="NormalWeb"/>
        <w:jc w:val="both"/>
        <w:rPr>
          <w:rFonts w:ascii="Arial" w:hAnsi="Arial" w:cs="Arial"/>
          <w:sz w:val="22"/>
          <w:szCs w:val="22"/>
        </w:rPr>
      </w:pPr>
      <w:r w:rsidRPr="00BF4AA8">
        <w:rPr>
          <w:rFonts w:ascii="Arial" w:hAnsi="Arial" w:cs="Arial"/>
          <w:sz w:val="22"/>
          <w:szCs w:val="22"/>
        </w:rPr>
        <w:t xml:space="preserve">Climate-related threat indicators summarize the frequency and severity of hazard events and the underlying climate trends affecting coastal communities. They include counts of major floods, </w:t>
      </w:r>
      <w:proofErr w:type="gramStart"/>
      <w:r w:rsidRPr="00BF4AA8">
        <w:rPr>
          <w:rFonts w:ascii="Arial" w:hAnsi="Arial" w:cs="Arial"/>
          <w:sz w:val="22"/>
          <w:szCs w:val="22"/>
        </w:rPr>
        <w:t>droughts</w:t>
      </w:r>
      <w:proofErr w:type="gramEnd"/>
      <w:r w:rsidRPr="00BF4AA8">
        <w:rPr>
          <w:rFonts w:ascii="Arial" w:hAnsi="Arial" w:cs="Arial"/>
          <w:sz w:val="22"/>
          <w:szCs w:val="22"/>
        </w:rPr>
        <w:t xml:space="preserve"> and storms; associated deaths, people affected and economic losses; and long-term trends in temperature, rainfall variability and sea-level rise. Disaster statistics </w:t>
      </w:r>
      <w:proofErr w:type="gramStart"/>
      <w:r w:rsidRPr="00BF4AA8">
        <w:rPr>
          <w:rFonts w:ascii="Arial" w:hAnsi="Arial" w:cs="Arial"/>
          <w:sz w:val="22"/>
          <w:szCs w:val="22"/>
        </w:rPr>
        <w:t>are compiled</w:t>
      </w:r>
      <w:proofErr w:type="gramEnd"/>
      <w:r w:rsidRPr="00BF4AA8">
        <w:rPr>
          <w:rFonts w:ascii="Arial" w:hAnsi="Arial" w:cs="Arial"/>
          <w:sz w:val="22"/>
          <w:szCs w:val="22"/>
        </w:rPr>
        <w:t xml:space="preserve"> from EM-DAT and national disaster-management records, while climate trends and projections use the World Bank Climate Change Knowledge Portal and national hydro-meteorological datasets. Indicators are </w:t>
      </w:r>
      <w:proofErr w:type="spellStart"/>
      <w:r w:rsidRPr="00BF4AA8">
        <w:rPr>
          <w:rFonts w:ascii="Arial" w:hAnsi="Arial" w:cs="Arial"/>
          <w:sz w:val="22"/>
          <w:szCs w:val="22"/>
        </w:rPr>
        <w:t>normalised</w:t>
      </w:r>
      <w:proofErr w:type="spellEnd"/>
      <w:r w:rsidRPr="00BF4AA8">
        <w:rPr>
          <w:rFonts w:ascii="Arial" w:hAnsi="Arial" w:cs="Arial"/>
          <w:sz w:val="22"/>
          <w:szCs w:val="22"/>
        </w:rPr>
        <w:t xml:space="preserve"> where appropriate (</w:t>
      </w:r>
      <w:proofErr w:type="gramStart"/>
      <w:r w:rsidRPr="00BF4AA8">
        <w:rPr>
          <w:rFonts w:ascii="Arial" w:hAnsi="Arial" w:cs="Arial"/>
          <w:sz w:val="22"/>
          <w:szCs w:val="22"/>
        </w:rPr>
        <w:t>e.g.</w:t>
      </w:r>
      <w:proofErr w:type="gramEnd"/>
      <w:r w:rsidRPr="00BF4AA8">
        <w:rPr>
          <w:rFonts w:ascii="Arial" w:hAnsi="Arial" w:cs="Arial"/>
          <w:sz w:val="22"/>
          <w:szCs w:val="22"/>
        </w:rPr>
        <w:t xml:space="preserve"> losses per capita) and, when possible, disaggregated to coastal provinces. The annex explains event classifications, treatment of missing values, and the limitations of historical records when interpreting climate-risk patterns.</w:t>
      </w:r>
    </w:p>
    <w:p w:rsidR="00BF4AA8" w:rsidRPr="00BF4AA8" w:rsidRDefault="00BF4AA8" w:rsidP="00BF4AA8">
      <w:pPr>
        <w:pStyle w:val="Caption"/>
        <w:keepNext/>
        <w:spacing w:before="240" w:after="120"/>
        <w:rPr>
          <w:rFonts w:ascii="Arial" w:eastAsiaTheme="minorHAnsi" w:hAnsi="Arial" w:cs="Arial"/>
          <w:color w:val="002060"/>
          <w:kern w:val="2"/>
          <w:sz w:val="22"/>
          <w:szCs w:val="22"/>
          <w14:ligatures w14:val="standardContextual"/>
        </w:rPr>
      </w:pPr>
      <w:r w:rsidRPr="00BF4AA8">
        <w:rPr>
          <w:rFonts w:ascii="Arial" w:eastAsiaTheme="minorHAnsi" w:hAnsi="Arial" w:cs="Arial"/>
          <w:color w:val="002060"/>
          <w:kern w:val="2"/>
          <w:sz w:val="22"/>
          <w:szCs w:val="22"/>
          <w14:ligatures w14:val="standardContextual"/>
        </w:rPr>
        <w:t>Annex Table 2-</w:t>
      </w:r>
      <w:r w:rsidRPr="00BF4AA8">
        <w:rPr>
          <w:rFonts w:ascii="Arial" w:eastAsiaTheme="minorHAnsi" w:hAnsi="Arial" w:cs="Arial"/>
          <w:color w:val="002060"/>
          <w:kern w:val="2"/>
          <w:sz w:val="22"/>
          <w:szCs w:val="22"/>
          <w14:ligatures w14:val="standardContextual"/>
        </w:rPr>
        <w:fldChar w:fldCharType="begin"/>
      </w:r>
      <w:r w:rsidRPr="00BF4AA8">
        <w:rPr>
          <w:rFonts w:ascii="Arial" w:eastAsiaTheme="minorHAnsi" w:hAnsi="Arial" w:cs="Arial"/>
          <w:color w:val="002060"/>
          <w:kern w:val="2"/>
          <w:sz w:val="22"/>
          <w:szCs w:val="22"/>
          <w14:ligatures w14:val="standardContextual"/>
        </w:rPr>
        <w:instrText xml:space="preserve"> SEQ Annex_Table_2- \* ARABIC </w:instrText>
      </w:r>
      <w:r w:rsidRPr="00BF4AA8">
        <w:rPr>
          <w:rFonts w:ascii="Arial" w:eastAsiaTheme="minorHAnsi" w:hAnsi="Arial" w:cs="Arial"/>
          <w:color w:val="002060"/>
          <w:kern w:val="2"/>
          <w:sz w:val="22"/>
          <w:szCs w:val="22"/>
          <w14:ligatures w14:val="standardContextual"/>
        </w:rPr>
        <w:fldChar w:fldCharType="separate"/>
      </w:r>
      <w:r w:rsidR="00836984">
        <w:rPr>
          <w:rFonts w:ascii="Arial" w:eastAsiaTheme="minorHAnsi" w:hAnsi="Arial" w:cs="Arial"/>
          <w:noProof/>
          <w:color w:val="002060"/>
          <w:kern w:val="2"/>
          <w:sz w:val="22"/>
          <w:szCs w:val="22"/>
          <w14:ligatures w14:val="standardContextual"/>
        </w:rPr>
        <w:t>10</w:t>
      </w:r>
      <w:r w:rsidRPr="00BF4AA8">
        <w:rPr>
          <w:rFonts w:ascii="Arial" w:eastAsiaTheme="minorHAnsi" w:hAnsi="Arial" w:cs="Arial"/>
          <w:color w:val="002060"/>
          <w:kern w:val="2"/>
          <w:sz w:val="22"/>
          <w:szCs w:val="22"/>
          <w14:ligatures w14:val="standardContextual"/>
        </w:rPr>
        <w:fldChar w:fldCharType="end"/>
      </w:r>
      <w:r w:rsidRPr="00BF4AA8">
        <w:rPr>
          <w:rFonts w:ascii="Arial" w:eastAsiaTheme="minorHAnsi" w:hAnsi="Arial" w:cs="Arial"/>
          <w:color w:val="002060"/>
          <w:kern w:val="2"/>
          <w:sz w:val="22"/>
          <w:szCs w:val="22"/>
          <w14:ligatures w14:val="standardContextual"/>
        </w:rPr>
        <w:t xml:space="preserve"> Climate-related threats: data sources, metadata, metadata, &amp; </w:t>
      </w:r>
      <w:proofErr w:type="spellStart"/>
      <w:r w:rsidRPr="00BF4AA8">
        <w:rPr>
          <w:rFonts w:ascii="Arial" w:eastAsiaTheme="minorHAnsi" w:hAnsi="Arial" w:cs="Arial"/>
          <w:color w:val="002060"/>
          <w:kern w:val="2"/>
          <w:sz w:val="22"/>
          <w:szCs w:val="22"/>
          <w14:ligatures w14:val="standardContextual"/>
        </w:rPr>
        <w:t>aeesement</w:t>
      </w:r>
      <w:proofErr w:type="spellEnd"/>
      <w:r w:rsidRPr="00BF4AA8">
        <w:rPr>
          <w:rFonts w:ascii="Arial" w:eastAsiaTheme="minorHAnsi" w:hAnsi="Arial" w:cs="Arial"/>
          <w:color w:val="002060"/>
          <w:kern w:val="2"/>
          <w:sz w:val="22"/>
          <w:szCs w:val="22"/>
          <w14:ligatures w14:val="standardContextual"/>
        </w:rPr>
        <w:t xml:space="preserve"> methods</w:t>
      </w:r>
    </w:p>
    <w:tbl>
      <w:tblPr>
        <w:tblStyle w:val="GridTable4-Accent5"/>
        <w:tblW w:w="0" w:type="auto"/>
        <w:tblLook w:val="04A0" w:firstRow="1" w:lastRow="0" w:firstColumn="1" w:lastColumn="0" w:noHBand="0" w:noVBand="1"/>
      </w:tblPr>
      <w:tblGrid>
        <w:gridCol w:w="1551"/>
        <w:gridCol w:w="1309"/>
        <w:gridCol w:w="1248"/>
        <w:gridCol w:w="1408"/>
        <w:gridCol w:w="1272"/>
        <w:gridCol w:w="1700"/>
      </w:tblGrid>
      <w:tr w:rsidR="00BF4AA8"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Indicator</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Definition &amp; Unit</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Spatial Coverage</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Time Series Availability</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Data Sources</w:t>
            </w:r>
          </w:p>
        </w:tc>
        <w:tc>
          <w:tcPr>
            <w:tcW w:w="0" w:type="auto"/>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Methods / Notes</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Rainfall variability</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Annual &amp; seasonal rainfall (mm)</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1960–2023</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WB CCKP; hydro-met records</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Variability assessed using coefficient of variation and seasonal anomalies.</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Sea-level rise projections</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cm relative to baseline</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Coastal provinces</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Projections to </w:t>
            </w:r>
            <w:r w:rsidRPr="00BF4AA8">
              <w:rPr>
                <w:rStyle w:val="Strong"/>
                <w:rFonts w:ascii="Arial" w:eastAsiaTheme="majorEastAsia" w:hAnsi="Arial" w:cs="Arial"/>
                <w:sz w:val="22"/>
                <w:szCs w:val="22"/>
              </w:rPr>
              <w:t>2050/2100</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WB CCKP (IPCC AR6 pathways)</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Range-based (low–high scenarios); province-level interpretation.</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Flood events</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Number of events; people affected; damage</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&amp; provincial</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Style w:val="Strong"/>
                <w:rFonts w:ascii="Arial" w:eastAsiaTheme="majorEastAsia" w:hAnsi="Arial" w:cs="Arial"/>
                <w:sz w:val="22"/>
                <w:szCs w:val="22"/>
              </w:rPr>
              <w:t>2000–2024</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EM-DAT; NCDM</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Event classification </w:t>
            </w:r>
            <w:proofErr w:type="spellStart"/>
            <w:r w:rsidRPr="00BF4AA8">
              <w:rPr>
                <w:rFonts w:ascii="Arial" w:hAnsi="Arial" w:cs="Arial"/>
                <w:sz w:val="22"/>
                <w:szCs w:val="22"/>
              </w:rPr>
              <w:t>standardised</w:t>
            </w:r>
            <w:proofErr w:type="spellEnd"/>
            <w:r w:rsidRPr="00BF4AA8">
              <w:rPr>
                <w:rFonts w:ascii="Arial" w:hAnsi="Arial" w:cs="Arial"/>
                <w:sz w:val="22"/>
                <w:szCs w:val="22"/>
              </w:rPr>
              <w:t>; damages expressed in ‘000 US$.</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Drought events</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Number of events; affected population</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&amp; provincial</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2000–2024</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EM-DAT; national records</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Data patchy pre-2010; descriptive trend only.</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Storms &amp; coastal hazards</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of events; affected areas</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coastal areas</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2000–2024</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EM-DAT; DRM reports</w:t>
            </w:r>
          </w:p>
        </w:tc>
        <w:tc>
          <w:tcPr>
            <w:tcW w:w="0" w:type="auto"/>
            <w:hideMark/>
          </w:tcPr>
          <w:p w:rsidR="00BF4AA8" w:rsidRPr="00BF4AA8" w:rsidRDefault="00BF4AA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Used to identify exposure hotspots.</w:t>
            </w:r>
          </w:p>
        </w:tc>
      </w:tr>
      <w:tr w:rsidR="00BF4AA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F4AA8" w:rsidRPr="00BF4AA8" w:rsidRDefault="00BF4AA8" w:rsidP="005F1F5C">
            <w:pPr>
              <w:rPr>
                <w:rFonts w:ascii="Arial" w:hAnsi="Arial" w:cs="Arial"/>
                <w:sz w:val="22"/>
                <w:szCs w:val="22"/>
              </w:rPr>
            </w:pPr>
            <w:r w:rsidRPr="00BF4AA8">
              <w:rPr>
                <w:rFonts w:ascii="Arial" w:hAnsi="Arial" w:cs="Arial"/>
                <w:sz w:val="22"/>
                <w:szCs w:val="22"/>
              </w:rPr>
              <w:t>Climate vulnerability factors</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Exposure + sensitivity + adaptive capacity</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provincial</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Cross-sectional</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Derived from multiple indicators</w:t>
            </w:r>
          </w:p>
        </w:tc>
        <w:tc>
          <w:tcPr>
            <w:tcW w:w="0" w:type="auto"/>
            <w:hideMark/>
          </w:tcPr>
          <w:p w:rsidR="00BF4AA8" w:rsidRPr="00BF4AA8" w:rsidRDefault="00BF4AA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Composite index (qualitative); no time-series.</w:t>
            </w:r>
          </w:p>
        </w:tc>
      </w:tr>
    </w:tbl>
    <w:p w:rsidR="00BF4AA8" w:rsidRPr="00BF4AA8" w:rsidRDefault="00BF4AA8" w:rsidP="00BF4AA8">
      <w:pPr>
        <w:pStyle w:val="Caption"/>
        <w:jc w:val="both"/>
        <w:rPr>
          <w:rFonts w:ascii="Arial" w:hAnsi="Arial" w:cs="Arial"/>
          <w:i w:val="0"/>
          <w:iCs w:val="0"/>
          <w:color w:val="0070C0"/>
          <w:sz w:val="22"/>
          <w:szCs w:val="22"/>
        </w:rPr>
      </w:pPr>
    </w:p>
    <w:p w:rsidR="00BF4AA8" w:rsidRPr="00BF4AA8" w:rsidRDefault="00BF4AA8" w:rsidP="00BF4AA8">
      <w:pPr>
        <w:pStyle w:val="Caption"/>
        <w:keepNext/>
        <w:spacing w:before="240" w:after="120"/>
        <w:rPr>
          <w:rFonts w:ascii="Arial" w:eastAsiaTheme="minorHAnsi" w:hAnsi="Arial" w:cs="Arial"/>
          <w:color w:val="002060"/>
          <w:kern w:val="2"/>
          <w:sz w:val="22"/>
          <w:szCs w:val="22"/>
          <w14:ligatures w14:val="standardContextual"/>
        </w:rPr>
      </w:pPr>
      <w:bookmarkStart w:id="17" w:name="_Ref215217014"/>
      <w:r w:rsidRPr="00BF4AA8">
        <w:rPr>
          <w:rFonts w:ascii="Arial" w:eastAsiaTheme="minorHAnsi" w:hAnsi="Arial" w:cs="Arial"/>
          <w:color w:val="002060"/>
          <w:kern w:val="2"/>
          <w:sz w:val="22"/>
          <w:szCs w:val="22"/>
          <w14:ligatures w14:val="standardContextual"/>
        </w:rPr>
        <w:t>Annex Table 2-</w:t>
      </w:r>
      <w:r w:rsidRPr="00BF4AA8">
        <w:rPr>
          <w:rFonts w:ascii="Arial" w:eastAsiaTheme="minorHAnsi" w:hAnsi="Arial" w:cs="Arial"/>
          <w:color w:val="002060"/>
          <w:kern w:val="2"/>
          <w:sz w:val="22"/>
          <w:szCs w:val="22"/>
          <w14:ligatures w14:val="standardContextual"/>
        </w:rPr>
        <w:fldChar w:fldCharType="begin"/>
      </w:r>
      <w:r w:rsidRPr="00BF4AA8">
        <w:rPr>
          <w:rFonts w:ascii="Arial" w:eastAsiaTheme="minorHAnsi" w:hAnsi="Arial" w:cs="Arial"/>
          <w:color w:val="002060"/>
          <w:kern w:val="2"/>
          <w:sz w:val="22"/>
          <w:szCs w:val="22"/>
          <w14:ligatures w14:val="standardContextual"/>
        </w:rPr>
        <w:instrText xml:space="preserve"> SEQ Annex_Table_2- \* ARABIC </w:instrText>
      </w:r>
      <w:r w:rsidRPr="00BF4AA8">
        <w:rPr>
          <w:rFonts w:ascii="Arial" w:eastAsiaTheme="minorHAnsi" w:hAnsi="Arial" w:cs="Arial"/>
          <w:color w:val="002060"/>
          <w:kern w:val="2"/>
          <w:sz w:val="22"/>
          <w:szCs w:val="22"/>
          <w14:ligatures w14:val="standardContextual"/>
        </w:rPr>
        <w:fldChar w:fldCharType="separate"/>
      </w:r>
      <w:r w:rsidR="00836984">
        <w:rPr>
          <w:rFonts w:ascii="Arial" w:eastAsiaTheme="minorHAnsi" w:hAnsi="Arial" w:cs="Arial"/>
          <w:noProof/>
          <w:color w:val="002060"/>
          <w:kern w:val="2"/>
          <w:sz w:val="22"/>
          <w:szCs w:val="22"/>
          <w14:ligatures w14:val="standardContextual"/>
        </w:rPr>
        <w:t>11</w:t>
      </w:r>
      <w:r w:rsidRPr="00BF4AA8">
        <w:rPr>
          <w:rFonts w:ascii="Arial" w:eastAsiaTheme="minorHAnsi" w:hAnsi="Arial" w:cs="Arial"/>
          <w:color w:val="002060"/>
          <w:kern w:val="2"/>
          <w:sz w:val="22"/>
          <w:szCs w:val="22"/>
          <w14:ligatures w14:val="standardContextual"/>
        </w:rPr>
        <w:fldChar w:fldCharType="end"/>
      </w:r>
      <w:bookmarkEnd w:id="17"/>
      <w:r w:rsidRPr="00BF4AA8">
        <w:rPr>
          <w:rFonts w:ascii="Arial" w:eastAsiaTheme="minorHAnsi" w:hAnsi="Arial" w:cs="Arial"/>
          <w:color w:val="002060"/>
          <w:kern w:val="2"/>
          <w:sz w:val="22"/>
          <w:szCs w:val="22"/>
          <w14:ligatures w14:val="standardContextual"/>
        </w:rPr>
        <w:t xml:space="preserve"> Summary of Major Climate- and Weather-Related Disasters in Cambodia, 2000–2023 (EM-DAT and CFE-DMHA Compilation)</w:t>
      </w:r>
    </w:p>
    <w:tbl>
      <w:tblPr>
        <w:tblStyle w:val="GridTable4-Accent5"/>
        <w:tblW w:w="9067" w:type="dxa"/>
        <w:tblLook w:val="04A0" w:firstRow="1" w:lastRow="0" w:firstColumn="1" w:lastColumn="0" w:noHBand="0" w:noVBand="1"/>
      </w:tblPr>
      <w:tblGrid>
        <w:gridCol w:w="1830"/>
        <w:gridCol w:w="1488"/>
        <w:gridCol w:w="706"/>
        <w:gridCol w:w="950"/>
        <w:gridCol w:w="950"/>
        <w:gridCol w:w="1097"/>
        <w:gridCol w:w="1072"/>
        <w:gridCol w:w="1158"/>
      </w:tblGrid>
      <w:tr w:rsidR="00BF4AA8" w:rsidRPr="00BF4AA8" w:rsidTr="005F1F5C">
        <w:trPr>
          <w:cnfStyle w:val="100000000000" w:firstRow="1" w:lastRow="0" w:firstColumn="0" w:lastColumn="0" w:oddVBand="0" w:evenVBand="0" w:oddHBand="0"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1292" w:type="dxa"/>
            <w:noWrap/>
            <w:vAlign w:val="center"/>
            <w:hideMark/>
          </w:tcPr>
          <w:p w:rsidR="00BF4AA8" w:rsidRPr="00BF4AA8" w:rsidRDefault="00BF4AA8" w:rsidP="005F1F5C">
            <w:pPr>
              <w:jc w:val="center"/>
              <w:rPr>
                <w:rFonts w:ascii="Arial" w:hAnsi="Arial" w:cs="Arial"/>
                <w:sz w:val="22"/>
                <w:szCs w:val="22"/>
              </w:rPr>
            </w:pPr>
            <w:r w:rsidRPr="00BF4AA8">
              <w:rPr>
                <w:rFonts w:ascii="Arial" w:hAnsi="Arial" w:cs="Arial"/>
                <w:sz w:val="22"/>
                <w:szCs w:val="22"/>
              </w:rPr>
              <w:t>Disaster Subtype</w:t>
            </w:r>
          </w:p>
        </w:tc>
        <w:tc>
          <w:tcPr>
            <w:tcW w:w="2814" w:type="dxa"/>
            <w:vAlign w:val="center"/>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Locations</w:t>
            </w:r>
          </w:p>
        </w:tc>
        <w:tc>
          <w:tcPr>
            <w:tcW w:w="626" w:type="dxa"/>
            <w:noWrap/>
            <w:vAlign w:val="center"/>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Year</w:t>
            </w:r>
          </w:p>
        </w:tc>
        <w:tc>
          <w:tcPr>
            <w:tcW w:w="750" w:type="dxa"/>
            <w:noWrap/>
            <w:vAlign w:val="center"/>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Total Deaths</w:t>
            </w:r>
          </w:p>
        </w:tc>
        <w:tc>
          <w:tcPr>
            <w:tcW w:w="750" w:type="dxa"/>
            <w:noWrap/>
            <w:vAlign w:val="center"/>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No. Injured</w:t>
            </w:r>
          </w:p>
        </w:tc>
        <w:tc>
          <w:tcPr>
            <w:tcW w:w="993" w:type="dxa"/>
            <w:noWrap/>
            <w:vAlign w:val="center"/>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No. Affected</w:t>
            </w:r>
          </w:p>
        </w:tc>
        <w:tc>
          <w:tcPr>
            <w:tcW w:w="850" w:type="dxa"/>
            <w:noWrap/>
            <w:vAlign w:val="center"/>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Total Damage ('000 US$)</w:t>
            </w:r>
          </w:p>
        </w:tc>
        <w:tc>
          <w:tcPr>
            <w:tcW w:w="992" w:type="dxa"/>
            <w:noWrap/>
            <w:vAlign w:val="center"/>
            <w:hideMark/>
          </w:tcPr>
          <w:p w:rsidR="00BF4AA8" w:rsidRPr="00BF4AA8" w:rsidRDefault="00BF4AA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Total Damage, Adjusted ('000 US$)</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Riverine flood</w:t>
            </w:r>
          </w:p>
        </w:tc>
        <w:tc>
          <w:tcPr>
            <w:tcW w:w="2814"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 xml:space="preserve">Stung </w:t>
            </w:r>
            <w:proofErr w:type="spellStart"/>
            <w:r w:rsidRPr="00BF4AA8">
              <w:rPr>
                <w:rFonts w:ascii="Arial" w:hAnsi="Arial" w:cs="Arial"/>
                <w:color w:val="000000"/>
                <w:sz w:val="22"/>
                <w:szCs w:val="22"/>
              </w:rPr>
              <w:t>Treng</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Kratie</w:t>
            </w:r>
            <w:proofErr w:type="spellEnd"/>
            <w:r w:rsidRPr="00BF4AA8">
              <w:rPr>
                <w:rFonts w:ascii="Arial" w:hAnsi="Arial" w:cs="Arial"/>
                <w:color w:val="000000"/>
                <w:sz w:val="22"/>
                <w:szCs w:val="22"/>
              </w:rPr>
              <w:t xml:space="preserve">, Koh Kong, Kampong Cham, </w:t>
            </w:r>
            <w:proofErr w:type="spellStart"/>
            <w:r w:rsidRPr="00BF4AA8">
              <w:rPr>
                <w:rFonts w:ascii="Arial" w:hAnsi="Arial" w:cs="Arial"/>
                <w:color w:val="000000"/>
                <w:sz w:val="22"/>
                <w:szCs w:val="22"/>
              </w:rPr>
              <w:t>Pursat</w:t>
            </w:r>
            <w:proofErr w:type="spellEnd"/>
            <w:r w:rsidRPr="00BF4AA8">
              <w:rPr>
                <w:rFonts w:ascii="Arial" w:hAnsi="Arial" w:cs="Arial"/>
                <w:color w:val="000000"/>
                <w:sz w:val="22"/>
                <w:szCs w:val="22"/>
              </w:rPr>
              <w:t xml:space="preserve">, Kampong Thom, Takeo, </w:t>
            </w:r>
            <w:proofErr w:type="spellStart"/>
            <w:r w:rsidRPr="00BF4AA8">
              <w:rPr>
                <w:rFonts w:ascii="Arial" w:hAnsi="Arial" w:cs="Arial"/>
                <w:color w:val="000000"/>
                <w:sz w:val="22"/>
                <w:szCs w:val="22"/>
              </w:rPr>
              <w:t>Siem</w:t>
            </w:r>
            <w:proofErr w:type="spellEnd"/>
            <w:r w:rsidRPr="00BF4AA8">
              <w:rPr>
                <w:rFonts w:ascii="Arial" w:hAnsi="Arial" w:cs="Arial"/>
                <w:color w:val="000000"/>
                <w:sz w:val="22"/>
                <w:szCs w:val="22"/>
              </w:rPr>
              <w:t xml:space="preserve"> Reap, </w:t>
            </w:r>
            <w:proofErr w:type="spellStart"/>
            <w:r w:rsidRPr="00BF4AA8">
              <w:rPr>
                <w:rFonts w:ascii="Arial" w:hAnsi="Arial" w:cs="Arial"/>
                <w:color w:val="000000"/>
                <w:sz w:val="22"/>
                <w:szCs w:val="22"/>
              </w:rPr>
              <w:t>Otdar</w:t>
            </w:r>
            <w:proofErr w:type="spellEnd"/>
            <w:r w:rsidRPr="00BF4AA8">
              <w:rPr>
                <w:rFonts w:ascii="Arial" w:hAnsi="Arial" w:cs="Arial"/>
                <w:color w:val="000000"/>
                <w:sz w:val="22"/>
                <w:szCs w:val="22"/>
              </w:rPr>
              <w:t xml:space="preserve"> Meanchey, </w:t>
            </w:r>
            <w:proofErr w:type="spellStart"/>
            <w:r w:rsidRPr="00BF4AA8">
              <w:rPr>
                <w:rFonts w:ascii="Arial" w:hAnsi="Arial" w:cs="Arial"/>
                <w:color w:val="000000"/>
                <w:sz w:val="22"/>
                <w:szCs w:val="22"/>
              </w:rPr>
              <w:t>Kampot</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Svay</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Rieng</w:t>
            </w:r>
            <w:proofErr w:type="spellEnd"/>
            <w:r w:rsidRPr="00BF4AA8">
              <w:rPr>
                <w:rFonts w:ascii="Arial" w:hAnsi="Arial" w:cs="Arial"/>
                <w:color w:val="000000"/>
                <w:sz w:val="22"/>
                <w:szCs w:val="22"/>
              </w:rPr>
              <w:t xml:space="preserve">, Kandal, Phnom Penh, Prey Veng, Kampong Chhnang, </w:t>
            </w:r>
            <w:proofErr w:type="spellStart"/>
            <w:r w:rsidRPr="00BF4AA8">
              <w:rPr>
                <w:rFonts w:ascii="Arial" w:hAnsi="Arial" w:cs="Arial"/>
                <w:color w:val="000000"/>
                <w:sz w:val="22"/>
                <w:szCs w:val="22"/>
              </w:rPr>
              <w:t>Ratanak</w:t>
            </w:r>
            <w:proofErr w:type="spellEnd"/>
            <w:r w:rsidRPr="00BF4AA8">
              <w:rPr>
                <w:rFonts w:ascii="Arial" w:hAnsi="Arial" w:cs="Arial"/>
                <w:color w:val="000000"/>
                <w:sz w:val="22"/>
                <w:szCs w:val="22"/>
              </w:rPr>
              <w:t xml:space="preserve"> Kiri, Preah </w:t>
            </w:r>
            <w:proofErr w:type="spellStart"/>
            <w:r w:rsidRPr="00BF4AA8">
              <w:rPr>
                <w:rFonts w:ascii="Arial" w:hAnsi="Arial" w:cs="Arial"/>
                <w:color w:val="000000"/>
                <w:sz w:val="22"/>
                <w:szCs w:val="22"/>
              </w:rPr>
              <w:t>Vihear</w:t>
            </w:r>
            <w:proofErr w:type="spellEnd"/>
            <w:r w:rsidRPr="00BF4AA8">
              <w:rPr>
                <w:rFonts w:ascii="Arial" w:hAnsi="Arial" w:cs="Arial"/>
                <w:color w:val="000000"/>
                <w:sz w:val="22"/>
                <w:szCs w:val="22"/>
              </w:rPr>
              <w:t xml:space="preserve">, Battambang, Banteay Meanchey, Kampong </w:t>
            </w:r>
            <w:proofErr w:type="spellStart"/>
            <w:r w:rsidRPr="00BF4AA8">
              <w:rPr>
                <w:rFonts w:ascii="Arial" w:hAnsi="Arial" w:cs="Arial"/>
                <w:color w:val="000000"/>
                <w:sz w:val="22"/>
                <w:szCs w:val="22"/>
              </w:rPr>
              <w:t>Speu</w:t>
            </w:r>
            <w:proofErr w:type="spellEnd"/>
            <w:r w:rsidRPr="00BF4AA8">
              <w:rPr>
                <w:rFonts w:ascii="Arial" w:hAnsi="Arial" w:cs="Arial"/>
                <w:color w:val="000000"/>
                <w:sz w:val="22"/>
                <w:szCs w:val="22"/>
              </w:rPr>
              <w:t xml:space="preserve"> provinces</w:t>
            </w:r>
          </w:p>
        </w:tc>
        <w:tc>
          <w:tcPr>
            <w:tcW w:w="6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2000</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347</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53</w:t>
            </w:r>
          </w:p>
        </w:tc>
        <w:tc>
          <w:tcPr>
            <w:tcW w:w="99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3448000</w:t>
            </w:r>
          </w:p>
        </w:tc>
        <w:tc>
          <w:tcPr>
            <w:tcW w:w="8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160000</w:t>
            </w:r>
          </w:p>
        </w:tc>
        <w:tc>
          <w:tcPr>
            <w:tcW w:w="99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291465</w:t>
            </w:r>
          </w:p>
        </w:tc>
      </w:tr>
      <w:tr w:rsidR="00BF4AA8" w:rsidRPr="00BF4AA8" w:rsidTr="005F1F5C">
        <w:trPr>
          <w:trHeight w:val="340"/>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Riverine flood</w:t>
            </w:r>
          </w:p>
        </w:tc>
        <w:tc>
          <w:tcPr>
            <w:tcW w:w="2814"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 xml:space="preserve">Stung </w:t>
            </w:r>
            <w:proofErr w:type="spellStart"/>
            <w:r w:rsidRPr="00BF4AA8">
              <w:rPr>
                <w:rFonts w:ascii="Arial" w:hAnsi="Arial" w:cs="Arial"/>
                <w:color w:val="000000"/>
                <w:sz w:val="22"/>
                <w:szCs w:val="22"/>
              </w:rPr>
              <w:t>Treng</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Kratie</w:t>
            </w:r>
            <w:proofErr w:type="spellEnd"/>
            <w:r w:rsidRPr="00BF4AA8">
              <w:rPr>
                <w:rFonts w:ascii="Arial" w:hAnsi="Arial" w:cs="Arial"/>
                <w:color w:val="000000"/>
                <w:sz w:val="22"/>
                <w:szCs w:val="22"/>
              </w:rPr>
              <w:t>, Kampong Cham provinces</w:t>
            </w:r>
          </w:p>
        </w:tc>
        <w:tc>
          <w:tcPr>
            <w:tcW w:w="6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2001</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56</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99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1669182</w:t>
            </w:r>
          </w:p>
        </w:tc>
        <w:tc>
          <w:tcPr>
            <w:tcW w:w="8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15000</w:t>
            </w:r>
          </w:p>
        </w:tc>
        <w:tc>
          <w:tcPr>
            <w:tcW w:w="99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26574</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1386"/>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Drought</w:t>
            </w:r>
          </w:p>
        </w:tc>
        <w:tc>
          <w:tcPr>
            <w:tcW w:w="2814"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 xml:space="preserve">Kampong Cham, Kampong Chhnang, Kampong </w:t>
            </w:r>
            <w:proofErr w:type="spellStart"/>
            <w:r w:rsidRPr="00BF4AA8">
              <w:rPr>
                <w:rFonts w:ascii="Arial" w:hAnsi="Arial" w:cs="Arial"/>
                <w:color w:val="000000"/>
                <w:sz w:val="22"/>
                <w:szCs w:val="22"/>
              </w:rPr>
              <w:t>Speu</w:t>
            </w:r>
            <w:proofErr w:type="spellEnd"/>
            <w:r w:rsidRPr="00BF4AA8">
              <w:rPr>
                <w:rFonts w:ascii="Arial" w:hAnsi="Arial" w:cs="Arial"/>
                <w:color w:val="000000"/>
                <w:sz w:val="22"/>
                <w:szCs w:val="22"/>
              </w:rPr>
              <w:t xml:space="preserve">, Kampong Thom, </w:t>
            </w:r>
            <w:proofErr w:type="spellStart"/>
            <w:r w:rsidRPr="00BF4AA8">
              <w:rPr>
                <w:rFonts w:ascii="Arial" w:hAnsi="Arial" w:cs="Arial"/>
                <w:color w:val="000000"/>
                <w:sz w:val="22"/>
                <w:szCs w:val="22"/>
              </w:rPr>
              <w:t>Kampot</w:t>
            </w:r>
            <w:proofErr w:type="spellEnd"/>
            <w:r w:rsidRPr="00BF4AA8">
              <w:rPr>
                <w:rFonts w:ascii="Arial" w:hAnsi="Arial" w:cs="Arial"/>
                <w:color w:val="000000"/>
                <w:sz w:val="22"/>
                <w:szCs w:val="22"/>
              </w:rPr>
              <w:t xml:space="preserve">, Kandal, </w:t>
            </w:r>
            <w:proofErr w:type="spellStart"/>
            <w:r w:rsidRPr="00BF4AA8">
              <w:rPr>
                <w:rFonts w:ascii="Arial" w:hAnsi="Arial" w:cs="Arial"/>
                <w:color w:val="000000"/>
                <w:sz w:val="22"/>
                <w:szCs w:val="22"/>
              </w:rPr>
              <w:t>Kep</w:t>
            </w:r>
            <w:proofErr w:type="spellEnd"/>
            <w:r w:rsidRPr="00BF4AA8">
              <w:rPr>
                <w:rFonts w:ascii="Arial" w:hAnsi="Arial" w:cs="Arial"/>
                <w:color w:val="000000"/>
                <w:sz w:val="22"/>
                <w:szCs w:val="22"/>
              </w:rPr>
              <w:t xml:space="preserve">, Koh Kong, </w:t>
            </w:r>
            <w:proofErr w:type="spellStart"/>
            <w:r w:rsidRPr="00BF4AA8">
              <w:rPr>
                <w:rFonts w:ascii="Arial" w:hAnsi="Arial" w:cs="Arial"/>
                <w:color w:val="000000"/>
                <w:sz w:val="22"/>
                <w:szCs w:val="22"/>
              </w:rPr>
              <w:t>Kratie</w:t>
            </w:r>
            <w:proofErr w:type="spellEnd"/>
            <w:r w:rsidRPr="00BF4AA8">
              <w:rPr>
                <w:rFonts w:ascii="Arial" w:hAnsi="Arial" w:cs="Arial"/>
                <w:color w:val="000000"/>
                <w:sz w:val="22"/>
                <w:szCs w:val="22"/>
              </w:rPr>
              <w:t xml:space="preserve">, Phnom Penh, Preah Sihanouk, Prey Veng, </w:t>
            </w:r>
            <w:proofErr w:type="spellStart"/>
            <w:r w:rsidRPr="00BF4AA8">
              <w:rPr>
                <w:rFonts w:ascii="Arial" w:hAnsi="Arial" w:cs="Arial"/>
                <w:color w:val="000000"/>
                <w:sz w:val="22"/>
                <w:szCs w:val="22"/>
              </w:rPr>
              <w:t>Pursat</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Svay</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Rieng</w:t>
            </w:r>
            <w:proofErr w:type="spellEnd"/>
            <w:r w:rsidRPr="00BF4AA8">
              <w:rPr>
                <w:rFonts w:ascii="Arial" w:hAnsi="Arial" w:cs="Arial"/>
                <w:color w:val="000000"/>
                <w:sz w:val="22"/>
                <w:szCs w:val="22"/>
              </w:rPr>
              <w:t>, Takeo provinces</w:t>
            </w:r>
          </w:p>
        </w:tc>
        <w:tc>
          <w:tcPr>
            <w:tcW w:w="6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2001</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99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300000</w:t>
            </w:r>
          </w:p>
        </w:tc>
        <w:tc>
          <w:tcPr>
            <w:tcW w:w="8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99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BF4AA8" w:rsidRPr="00BF4AA8" w:rsidTr="005F1F5C">
        <w:trPr>
          <w:trHeight w:val="958"/>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Riverine flood</w:t>
            </w:r>
          </w:p>
        </w:tc>
        <w:tc>
          <w:tcPr>
            <w:tcW w:w="2814"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 xml:space="preserve">Kandal, Stung </w:t>
            </w:r>
            <w:proofErr w:type="spellStart"/>
            <w:r w:rsidRPr="00BF4AA8">
              <w:rPr>
                <w:rFonts w:ascii="Arial" w:hAnsi="Arial" w:cs="Arial"/>
                <w:color w:val="000000"/>
                <w:sz w:val="22"/>
                <w:szCs w:val="22"/>
              </w:rPr>
              <w:t>Treng</w:t>
            </w:r>
            <w:proofErr w:type="spellEnd"/>
            <w:r w:rsidRPr="00BF4AA8">
              <w:rPr>
                <w:rFonts w:ascii="Arial" w:hAnsi="Arial" w:cs="Arial"/>
                <w:color w:val="000000"/>
                <w:sz w:val="22"/>
                <w:szCs w:val="22"/>
              </w:rPr>
              <w:t xml:space="preserve">, Prey Veng, Takeo, Kampong Chhnang, Banteay Meanchey, </w:t>
            </w:r>
            <w:proofErr w:type="spellStart"/>
            <w:r w:rsidRPr="00BF4AA8">
              <w:rPr>
                <w:rFonts w:ascii="Arial" w:hAnsi="Arial" w:cs="Arial"/>
                <w:color w:val="000000"/>
                <w:sz w:val="22"/>
                <w:szCs w:val="22"/>
              </w:rPr>
              <w:t>Svay</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Rieng</w:t>
            </w:r>
            <w:proofErr w:type="spellEnd"/>
            <w:r w:rsidRPr="00BF4AA8">
              <w:rPr>
                <w:rFonts w:ascii="Arial" w:hAnsi="Arial" w:cs="Arial"/>
                <w:color w:val="000000"/>
                <w:sz w:val="22"/>
                <w:szCs w:val="22"/>
              </w:rPr>
              <w:t xml:space="preserve">, Kampong </w:t>
            </w:r>
            <w:proofErr w:type="spellStart"/>
            <w:r w:rsidRPr="00BF4AA8">
              <w:rPr>
                <w:rFonts w:ascii="Arial" w:hAnsi="Arial" w:cs="Arial"/>
                <w:color w:val="000000"/>
                <w:sz w:val="22"/>
                <w:szCs w:val="22"/>
              </w:rPr>
              <w:t>Speu</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Kratie</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Pursat</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Kampot</w:t>
            </w:r>
            <w:proofErr w:type="spellEnd"/>
            <w:r w:rsidRPr="00BF4AA8">
              <w:rPr>
                <w:rFonts w:ascii="Arial" w:hAnsi="Arial" w:cs="Arial"/>
                <w:color w:val="000000"/>
                <w:sz w:val="22"/>
                <w:szCs w:val="22"/>
              </w:rPr>
              <w:t xml:space="preserve"> provinces</w:t>
            </w:r>
          </w:p>
        </w:tc>
        <w:tc>
          <w:tcPr>
            <w:tcW w:w="6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2002</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29</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99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1470000</w:t>
            </w:r>
          </w:p>
        </w:tc>
        <w:tc>
          <w:tcPr>
            <w:tcW w:w="8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100</w:t>
            </w:r>
          </w:p>
        </w:tc>
        <w:tc>
          <w:tcPr>
            <w:tcW w:w="99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174</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779"/>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Drought</w:t>
            </w:r>
          </w:p>
        </w:tc>
        <w:tc>
          <w:tcPr>
            <w:tcW w:w="2814"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 xml:space="preserve">Takeo, </w:t>
            </w:r>
            <w:proofErr w:type="spellStart"/>
            <w:r w:rsidRPr="00BF4AA8">
              <w:rPr>
                <w:rFonts w:ascii="Arial" w:hAnsi="Arial" w:cs="Arial"/>
                <w:color w:val="000000"/>
                <w:sz w:val="22"/>
                <w:szCs w:val="22"/>
              </w:rPr>
              <w:t>Kampot</w:t>
            </w:r>
            <w:proofErr w:type="spellEnd"/>
            <w:r w:rsidRPr="00BF4AA8">
              <w:rPr>
                <w:rFonts w:ascii="Arial" w:hAnsi="Arial" w:cs="Arial"/>
                <w:color w:val="000000"/>
                <w:sz w:val="22"/>
                <w:szCs w:val="22"/>
              </w:rPr>
              <w:t xml:space="preserve">, Kampong </w:t>
            </w:r>
            <w:proofErr w:type="spellStart"/>
            <w:r w:rsidRPr="00BF4AA8">
              <w:rPr>
                <w:rFonts w:ascii="Arial" w:hAnsi="Arial" w:cs="Arial"/>
                <w:color w:val="000000"/>
                <w:sz w:val="22"/>
                <w:szCs w:val="22"/>
              </w:rPr>
              <w:t>Speu</w:t>
            </w:r>
            <w:proofErr w:type="spellEnd"/>
            <w:r w:rsidRPr="00BF4AA8">
              <w:rPr>
                <w:rFonts w:ascii="Arial" w:hAnsi="Arial" w:cs="Arial"/>
                <w:color w:val="000000"/>
                <w:sz w:val="22"/>
                <w:szCs w:val="22"/>
              </w:rPr>
              <w:t xml:space="preserve">, Kampong Chhnang, Kandal, Prey Veng, Phnom </w:t>
            </w:r>
            <w:proofErr w:type="spellStart"/>
            <w:proofErr w:type="gramStart"/>
            <w:r w:rsidRPr="00BF4AA8">
              <w:rPr>
                <w:rFonts w:ascii="Arial" w:hAnsi="Arial" w:cs="Arial"/>
                <w:color w:val="000000"/>
                <w:sz w:val="22"/>
                <w:szCs w:val="22"/>
              </w:rPr>
              <w:t>Penh,Otdar</w:t>
            </w:r>
            <w:proofErr w:type="spellEnd"/>
            <w:proofErr w:type="gramEnd"/>
            <w:r w:rsidRPr="00BF4AA8">
              <w:rPr>
                <w:rFonts w:ascii="Arial" w:hAnsi="Arial" w:cs="Arial"/>
                <w:color w:val="000000"/>
                <w:sz w:val="22"/>
                <w:szCs w:val="22"/>
              </w:rPr>
              <w:t xml:space="preserve"> Meanchey, Banteay Meanchey, </w:t>
            </w:r>
            <w:proofErr w:type="spellStart"/>
            <w:r w:rsidRPr="00BF4AA8">
              <w:rPr>
                <w:rFonts w:ascii="Arial" w:hAnsi="Arial" w:cs="Arial"/>
                <w:color w:val="000000"/>
                <w:sz w:val="22"/>
                <w:szCs w:val="22"/>
              </w:rPr>
              <w:t>Pursat</w:t>
            </w:r>
            <w:proofErr w:type="spellEnd"/>
            <w:r w:rsidRPr="00BF4AA8">
              <w:rPr>
                <w:rFonts w:ascii="Arial" w:hAnsi="Arial" w:cs="Arial"/>
                <w:color w:val="000000"/>
                <w:sz w:val="22"/>
                <w:szCs w:val="22"/>
              </w:rPr>
              <w:t>, Battambang provinces</w:t>
            </w:r>
          </w:p>
        </w:tc>
        <w:tc>
          <w:tcPr>
            <w:tcW w:w="6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2002</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99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650000</w:t>
            </w:r>
          </w:p>
        </w:tc>
        <w:tc>
          <w:tcPr>
            <w:tcW w:w="8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38000</w:t>
            </w:r>
          </w:p>
        </w:tc>
        <w:tc>
          <w:tcPr>
            <w:tcW w:w="99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66269</w:t>
            </w:r>
          </w:p>
        </w:tc>
      </w:tr>
      <w:tr w:rsidR="00BF4AA8" w:rsidRPr="00BF4AA8" w:rsidTr="005F1F5C">
        <w:trPr>
          <w:trHeight w:val="713"/>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Riverine flood</w:t>
            </w:r>
          </w:p>
        </w:tc>
        <w:tc>
          <w:tcPr>
            <w:tcW w:w="2814"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 xml:space="preserve">Kampong Cham, Kampong Chhnang, Kampong </w:t>
            </w:r>
            <w:proofErr w:type="spellStart"/>
            <w:r w:rsidRPr="00BF4AA8">
              <w:rPr>
                <w:rFonts w:ascii="Arial" w:hAnsi="Arial" w:cs="Arial"/>
                <w:color w:val="000000"/>
                <w:sz w:val="22"/>
                <w:szCs w:val="22"/>
              </w:rPr>
              <w:t>Speu</w:t>
            </w:r>
            <w:proofErr w:type="spellEnd"/>
            <w:r w:rsidRPr="00BF4AA8">
              <w:rPr>
                <w:rFonts w:ascii="Arial" w:hAnsi="Arial" w:cs="Arial"/>
                <w:color w:val="000000"/>
                <w:sz w:val="22"/>
                <w:szCs w:val="22"/>
              </w:rPr>
              <w:t xml:space="preserve">, Kampong Thom, </w:t>
            </w:r>
            <w:proofErr w:type="spellStart"/>
            <w:r w:rsidRPr="00BF4AA8">
              <w:rPr>
                <w:rFonts w:ascii="Arial" w:hAnsi="Arial" w:cs="Arial"/>
                <w:color w:val="000000"/>
                <w:sz w:val="22"/>
                <w:szCs w:val="22"/>
              </w:rPr>
              <w:t>Kampot</w:t>
            </w:r>
            <w:proofErr w:type="spellEnd"/>
            <w:r w:rsidRPr="00BF4AA8">
              <w:rPr>
                <w:rFonts w:ascii="Arial" w:hAnsi="Arial" w:cs="Arial"/>
                <w:color w:val="000000"/>
                <w:sz w:val="22"/>
                <w:szCs w:val="22"/>
              </w:rPr>
              <w:t xml:space="preserve">, Kandal, </w:t>
            </w:r>
            <w:proofErr w:type="spellStart"/>
            <w:r w:rsidRPr="00BF4AA8">
              <w:rPr>
                <w:rFonts w:ascii="Arial" w:hAnsi="Arial" w:cs="Arial"/>
                <w:color w:val="000000"/>
                <w:sz w:val="22"/>
                <w:szCs w:val="22"/>
              </w:rPr>
              <w:t>Kratie</w:t>
            </w:r>
            <w:proofErr w:type="spellEnd"/>
            <w:r w:rsidRPr="00BF4AA8">
              <w:rPr>
                <w:rFonts w:ascii="Arial" w:hAnsi="Arial" w:cs="Arial"/>
                <w:color w:val="000000"/>
                <w:sz w:val="22"/>
                <w:szCs w:val="22"/>
              </w:rPr>
              <w:t xml:space="preserve">, Phnom Penh, Preah </w:t>
            </w:r>
            <w:proofErr w:type="spellStart"/>
            <w:r w:rsidRPr="00BF4AA8">
              <w:rPr>
                <w:rFonts w:ascii="Arial" w:hAnsi="Arial" w:cs="Arial"/>
                <w:color w:val="000000"/>
                <w:sz w:val="22"/>
                <w:szCs w:val="22"/>
              </w:rPr>
              <w:t>Vihear</w:t>
            </w:r>
            <w:proofErr w:type="spellEnd"/>
            <w:r w:rsidRPr="00BF4AA8">
              <w:rPr>
                <w:rFonts w:ascii="Arial" w:hAnsi="Arial" w:cs="Arial"/>
                <w:color w:val="000000"/>
                <w:sz w:val="22"/>
                <w:szCs w:val="22"/>
              </w:rPr>
              <w:t xml:space="preserve">, Prey Veng, Stung </w:t>
            </w:r>
            <w:proofErr w:type="spellStart"/>
            <w:r w:rsidRPr="00BF4AA8">
              <w:rPr>
                <w:rFonts w:ascii="Arial" w:hAnsi="Arial" w:cs="Arial"/>
                <w:color w:val="000000"/>
                <w:sz w:val="22"/>
                <w:szCs w:val="22"/>
              </w:rPr>
              <w:t>Treng</w:t>
            </w:r>
            <w:proofErr w:type="spellEnd"/>
            <w:r w:rsidRPr="00BF4AA8">
              <w:rPr>
                <w:rFonts w:ascii="Arial" w:hAnsi="Arial" w:cs="Arial"/>
                <w:color w:val="000000"/>
                <w:sz w:val="22"/>
                <w:szCs w:val="22"/>
              </w:rPr>
              <w:t>, Takeo provinces</w:t>
            </w:r>
          </w:p>
        </w:tc>
        <w:tc>
          <w:tcPr>
            <w:tcW w:w="6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2004</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99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8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99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64"/>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Riverine flood</w:t>
            </w:r>
          </w:p>
        </w:tc>
        <w:tc>
          <w:tcPr>
            <w:tcW w:w="2814"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roofErr w:type="spellStart"/>
            <w:r w:rsidRPr="00BF4AA8">
              <w:rPr>
                <w:rFonts w:ascii="Arial" w:hAnsi="Arial" w:cs="Arial"/>
                <w:color w:val="000000"/>
                <w:sz w:val="22"/>
                <w:szCs w:val="22"/>
              </w:rPr>
              <w:t>Kratie</w:t>
            </w:r>
            <w:proofErr w:type="spellEnd"/>
            <w:r w:rsidRPr="00BF4AA8">
              <w:rPr>
                <w:rFonts w:ascii="Arial" w:hAnsi="Arial" w:cs="Arial"/>
                <w:color w:val="000000"/>
                <w:sz w:val="22"/>
                <w:szCs w:val="22"/>
              </w:rPr>
              <w:t xml:space="preserve">, Kampong Cham, Kandal, Prey Veng, </w:t>
            </w:r>
            <w:proofErr w:type="spellStart"/>
            <w:r w:rsidRPr="00BF4AA8">
              <w:rPr>
                <w:rFonts w:ascii="Arial" w:hAnsi="Arial" w:cs="Arial"/>
                <w:color w:val="000000"/>
                <w:sz w:val="22"/>
                <w:szCs w:val="22"/>
              </w:rPr>
              <w:t>Siem</w:t>
            </w:r>
            <w:proofErr w:type="spellEnd"/>
            <w:r w:rsidRPr="00BF4AA8">
              <w:rPr>
                <w:rFonts w:ascii="Arial" w:hAnsi="Arial" w:cs="Arial"/>
                <w:color w:val="000000"/>
                <w:sz w:val="22"/>
                <w:szCs w:val="22"/>
              </w:rPr>
              <w:t xml:space="preserve"> Reap provinces</w:t>
            </w:r>
          </w:p>
        </w:tc>
        <w:tc>
          <w:tcPr>
            <w:tcW w:w="6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2005</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16</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99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8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99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BF4AA8" w:rsidRPr="00BF4AA8" w:rsidTr="005F1F5C">
        <w:trPr>
          <w:trHeight w:val="340"/>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Drought</w:t>
            </w:r>
          </w:p>
        </w:tc>
        <w:tc>
          <w:tcPr>
            <w:tcW w:w="2814"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 xml:space="preserve">Kampong </w:t>
            </w:r>
            <w:proofErr w:type="spellStart"/>
            <w:r w:rsidRPr="00BF4AA8">
              <w:rPr>
                <w:rFonts w:ascii="Arial" w:hAnsi="Arial" w:cs="Arial"/>
                <w:color w:val="000000"/>
                <w:sz w:val="22"/>
                <w:szCs w:val="22"/>
              </w:rPr>
              <w:t>Speu</w:t>
            </w:r>
            <w:proofErr w:type="spellEnd"/>
            <w:r w:rsidRPr="00BF4AA8">
              <w:rPr>
                <w:rFonts w:ascii="Arial" w:hAnsi="Arial" w:cs="Arial"/>
                <w:color w:val="000000"/>
                <w:sz w:val="22"/>
                <w:szCs w:val="22"/>
              </w:rPr>
              <w:t xml:space="preserve"> province</w:t>
            </w:r>
          </w:p>
        </w:tc>
        <w:tc>
          <w:tcPr>
            <w:tcW w:w="6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2005</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99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600000</w:t>
            </w:r>
          </w:p>
        </w:tc>
        <w:tc>
          <w:tcPr>
            <w:tcW w:w="8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99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Riverine flood</w:t>
            </w:r>
          </w:p>
        </w:tc>
        <w:tc>
          <w:tcPr>
            <w:tcW w:w="2814"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Koh Kong province</w:t>
            </w:r>
          </w:p>
        </w:tc>
        <w:tc>
          <w:tcPr>
            <w:tcW w:w="6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2006</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99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5000</w:t>
            </w:r>
          </w:p>
        </w:tc>
        <w:tc>
          <w:tcPr>
            <w:tcW w:w="8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99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BF4AA8" w:rsidRPr="00BF4AA8" w:rsidTr="005F1F5C">
        <w:trPr>
          <w:trHeight w:val="64"/>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Riverine flood</w:t>
            </w:r>
          </w:p>
        </w:tc>
        <w:tc>
          <w:tcPr>
            <w:tcW w:w="2814"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 xml:space="preserve">Kampong </w:t>
            </w:r>
            <w:proofErr w:type="spellStart"/>
            <w:r w:rsidRPr="00BF4AA8">
              <w:rPr>
                <w:rFonts w:ascii="Arial" w:hAnsi="Arial" w:cs="Arial"/>
                <w:color w:val="000000"/>
                <w:sz w:val="22"/>
                <w:szCs w:val="22"/>
              </w:rPr>
              <w:t>Seila</w:t>
            </w:r>
            <w:proofErr w:type="spellEnd"/>
            <w:r w:rsidRPr="00BF4AA8">
              <w:rPr>
                <w:rFonts w:ascii="Arial" w:hAnsi="Arial" w:cs="Arial"/>
                <w:color w:val="000000"/>
                <w:sz w:val="22"/>
                <w:szCs w:val="22"/>
              </w:rPr>
              <w:t xml:space="preserve"> district (Koh Kong province), Phnom Penh, Kampong </w:t>
            </w:r>
            <w:proofErr w:type="spellStart"/>
            <w:r w:rsidRPr="00BF4AA8">
              <w:rPr>
                <w:rFonts w:ascii="Arial" w:hAnsi="Arial" w:cs="Arial"/>
                <w:color w:val="000000"/>
                <w:sz w:val="22"/>
                <w:szCs w:val="22"/>
              </w:rPr>
              <w:t>Speu</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Kampot</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Ratanak</w:t>
            </w:r>
            <w:proofErr w:type="spellEnd"/>
            <w:r w:rsidRPr="00BF4AA8">
              <w:rPr>
                <w:rFonts w:ascii="Arial" w:hAnsi="Arial" w:cs="Arial"/>
                <w:color w:val="000000"/>
                <w:sz w:val="22"/>
                <w:szCs w:val="22"/>
              </w:rPr>
              <w:t xml:space="preserve"> Kiri, </w:t>
            </w:r>
            <w:proofErr w:type="spellStart"/>
            <w:r w:rsidRPr="00BF4AA8">
              <w:rPr>
                <w:rFonts w:ascii="Arial" w:hAnsi="Arial" w:cs="Arial"/>
                <w:color w:val="000000"/>
                <w:sz w:val="22"/>
                <w:szCs w:val="22"/>
              </w:rPr>
              <w:t>Mondul</w:t>
            </w:r>
            <w:proofErr w:type="spellEnd"/>
            <w:r w:rsidRPr="00BF4AA8">
              <w:rPr>
                <w:rFonts w:ascii="Arial" w:hAnsi="Arial" w:cs="Arial"/>
                <w:color w:val="000000"/>
                <w:sz w:val="22"/>
                <w:szCs w:val="22"/>
              </w:rPr>
              <w:t xml:space="preserve"> Kiri provinces</w:t>
            </w:r>
          </w:p>
        </w:tc>
        <w:tc>
          <w:tcPr>
            <w:tcW w:w="6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2006</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99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33000</w:t>
            </w:r>
          </w:p>
        </w:tc>
        <w:tc>
          <w:tcPr>
            <w:tcW w:w="8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99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64"/>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Riverine flood</w:t>
            </w:r>
          </w:p>
        </w:tc>
        <w:tc>
          <w:tcPr>
            <w:tcW w:w="2814"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 xml:space="preserve">Kampong Thom, </w:t>
            </w:r>
            <w:proofErr w:type="spellStart"/>
            <w:r w:rsidRPr="00BF4AA8">
              <w:rPr>
                <w:rFonts w:ascii="Arial" w:hAnsi="Arial" w:cs="Arial"/>
                <w:color w:val="000000"/>
                <w:sz w:val="22"/>
                <w:szCs w:val="22"/>
              </w:rPr>
              <w:t>Ratanak</w:t>
            </w:r>
            <w:proofErr w:type="spellEnd"/>
            <w:r w:rsidRPr="00BF4AA8">
              <w:rPr>
                <w:rFonts w:ascii="Arial" w:hAnsi="Arial" w:cs="Arial"/>
                <w:color w:val="000000"/>
                <w:sz w:val="22"/>
                <w:szCs w:val="22"/>
              </w:rPr>
              <w:t xml:space="preserve"> Kiri, Preah </w:t>
            </w:r>
            <w:proofErr w:type="spellStart"/>
            <w:r w:rsidRPr="00BF4AA8">
              <w:rPr>
                <w:rFonts w:ascii="Arial" w:hAnsi="Arial" w:cs="Arial"/>
                <w:color w:val="000000"/>
                <w:sz w:val="22"/>
                <w:szCs w:val="22"/>
              </w:rPr>
              <w:t>Vihear</w:t>
            </w:r>
            <w:proofErr w:type="spellEnd"/>
            <w:r w:rsidRPr="00BF4AA8">
              <w:rPr>
                <w:rFonts w:ascii="Arial" w:hAnsi="Arial" w:cs="Arial"/>
                <w:color w:val="000000"/>
                <w:sz w:val="22"/>
                <w:szCs w:val="22"/>
              </w:rPr>
              <w:t xml:space="preserve"> provinces</w:t>
            </w:r>
          </w:p>
        </w:tc>
        <w:tc>
          <w:tcPr>
            <w:tcW w:w="6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2007</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99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19000</w:t>
            </w:r>
          </w:p>
        </w:tc>
        <w:tc>
          <w:tcPr>
            <w:tcW w:w="8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1000</w:t>
            </w:r>
          </w:p>
        </w:tc>
        <w:tc>
          <w:tcPr>
            <w:tcW w:w="99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1513</w:t>
            </w:r>
          </w:p>
        </w:tc>
      </w:tr>
      <w:tr w:rsidR="00BF4AA8" w:rsidRPr="00BF4AA8" w:rsidTr="005F1F5C">
        <w:trPr>
          <w:trHeight w:val="69"/>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Tropical cyclone</w:t>
            </w:r>
          </w:p>
        </w:tc>
        <w:tc>
          <w:tcPr>
            <w:tcW w:w="2814"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 xml:space="preserve">Kampong Thom, </w:t>
            </w:r>
            <w:proofErr w:type="spellStart"/>
            <w:r w:rsidRPr="00BF4AA8">
              <w:rPr>
                <w:rFonts w:ascii="Arial" w:hAnsi="Arial" w:cs="Arial"/>
                <w:color w:val="000000"/>
                <w:sz w:val="22"/>
                <w:szCs w:val="22"/>
              </w:rPr>
              <w:t>Kratie</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Mondul</w:t>
            </w:r>
            <w:proofErr w:type="spellEnd"/>
            <w:r w:rsidRPr="00BF4AA8">
              <w:rPr>
                <w:rFonts w:ascii="Arial" w:hAnsi="Arial" w:cs="Arial"/>
                <w:color w:val="000000"/>
                <w:sz w:val="22"/>
                <w:szCs w:val="22"/>
              </w:rPr>
              <w:t xml:space="preserve"> Kiri, Preah </w:t>
            </w:r>
            <w:proofErr w:type="spellStart"/>
            <w:r w:rsidRPr="00BF4AA8">
              <w:rPr>
                <w:rFonts w:ascii="Arial" w:hAnsi="Arial" w:cs="Arial"/>
                <w:color w:val="000000"/>
                <w:sz w:val="22"/>
                <w:szCs w:val="22"/>
              </w:rPr>
              <w:t>Vihear</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Ratanak</w:t>
            </w:r>
            <w:proofErr w:type="spellEnd"/>
            <w:r w:rsidRPr="00BF4AA8">
              <w:rPr>
                <w:rFonts w:ascii="Arial" w:hAnsi="Arial" w:cs="Arial"/>
                <w:color w:val="000000"/>
                <w:sz w:val="22"/>
                <w:szCs w:val="22"/>
              </w:rPr>
              <w:t xml:space="preserve"> Kiri, Stung </w:t>
            </w:r>
            <w:proofErr w:type="spellStart"/>
            <w:r w:rsidRPr="00BF4AA8">
              <w:rPr>
                <w:rFonts w:ascii="Arial" w:hAnsi="Arial" w:cs="Arial"/>
                <w:color w:val="000000"/>
                <w:sz w:val="22"/>
                <w:szCs w:val="22"/>
              </w:rPr>
              <w:t>Treng</w:t>
            </w:r>
            <w:proofErr w:type="spellEnd"/>
            <w:r w:rsidRPr="00BF4AA8">
              <w:rPr>
                <w:rFonts w:ascii="Arial" w:hAnsi="Arial" w:cs="Arial"/>
                <w:color w:val="000000"/>
                <w:sz w:val="22"/>
                <w:szCs w:val="22"/>
              </w:rPr>
              <w:t xml:space="preserve"> provinces</w:t>
            </w:r>
          </w:p>
        </w:tc>
        <w:tc>
          <w:tcPr>
            <w:tcW w:w="6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2009</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91</w:t>
            </w:r>
          </w:p>
        </w:tc>
        <w:tc>
          <w:tcPr>
            <w:tcW w:w="99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178000</w:t>
            </w:r>
          </w:p>
        </w:tc>
        <w:tc>
          <w:tcPr>
            <w:tcW w:w="8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99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64"/>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Tropical cyclone</w:t>
            </w:r>
          </w:p>
        </w:tc>
        <w:tc>
          <w:tcPr>
            <w:tcW w:w="2814"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roofErr w:type="spellStart"/>
            <w:r w:rsidRPr="00BF4AA8">
              <w:rPr>
                <w:rFonts w:ascii="Arial" w:hAnsi="Arial" w:cs="Arial"/>
                <w:color w:val="000000"/>
                <w:sz w:val="22"/>
                <w:szCs w:val="22"/>
              </w:rPr>
              <w:t>Kaoh</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Nheaek</w:t>
            </w:r>
            <w:proofErr w:type="spellEnd"/>
            <w:r w:rsidRPr="00BF4AA8">
              <w:rPr>
                <w:rFonts w:ascii="Arial" w:hAnsi="Arial" w:cs="Arial"/>
                <w:color w:val="000000"/>
                <w:sz w:val="22"/>
                <w:szCs w:val="22"/>
              </w:rPr>
              <w:t xml:space="preserve"> district (</w:t>
            </w:r>
            <w:proofErr w:type="spellStart"/>
            <w:r w:rsidRPr="00BF4AA8">
              <w:rPr>
                <w:rFonts w:ascii="Arial" w:hAnsi="Arial" w:cs="Arial"/>
                <w:color w:val="000000"/>
                <w:sz w:val="22"/>
                <w:szCs w:val="22"/>
              </w:rPr>
              <w:t>Mondul</w:t>
            </w:r>
            <w:proofErr w:type="spellEnd"/>
            <w:r w:rsidRPr="00BF4AA8">
              <w:rPr>
                <w:rFonts w:ascii="Arial" w:hAnsi="Arial" w:cs="Arial"/>
                <w:color w:val="000000"/>
                <w:sz w:val="22"/>
                <w:szCs w:val="22"/>
              </w:rPr>
              <w:t xml:space="preserve"> Kiri province)</w:t>
            </w:r>
          </w:p>
        </w:tc>
        <w:tc>
          <w:tcPr>
            <w:tcW w:w="6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2009</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99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8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99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BF4AA8" w:rsidRPr="00BF4AA8" w:rsidTr="005F1F5C">
        <w:trPr>
          <w:trHeight w:val="64"/>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Riverine flood</w:t>
            </w:r>
          </w:p>
        </w:tc>
        <w:tc>
          <w:tcPr>
            <w:tcW w:w="2814"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 xml:space="preserve">Banteay Meanchey, Battambang, </w:t>
            </w:r>
            <w:proofErr w:type="spellStart"/>
            <w:r w:rsidRPr="00BF4AA8">
              <w:rPr>
                <w:rFonts w:ascii="Arial" w:hAnsi="Arial" w:cs="Arial"/>
                <w:color w:val="000000"/>
                <w:sz w:val="22"/>
                <w:szCs w:val="22"/>
              </w:rPr>
              <w:t>Otdar</w:t>
            </w:r>
            <w:proofErr w:type="spellEnd"/>
            <w:r w:rsidRPr="00BF4AA8">
              <w:rPr>
                <w:rFonts w:ascii="Arial" w:hAnsi="Arial" w:cs="Arial"/>
                <w:color w:val="000000"/>
                <w:sz w:val="22"/>
                <w:szCs w:val="22"/>
              </w:rPr>
              <w:t xml:space="preserve"> Meanchey, </w:t>
            </w:r>
            <w:proofErr w:type="spellStart"/>
            <w:r w:rsidRPr="00BF4AA8">
              <w:rPr>
                <w:rFonts w:ascii="Arial" w:hAnsi="Arial" w:cs="Arial"/>
                <w:color w:val="000000"/>
                <w:sz w:val="22"/>
                <w:szCs w:val="22"/>
              </w:rPr>
              <w:t>Pailin</w:t>
            </w:r>
            <w:proofErr w:type="spellEnd"/>
            <w:r w:rsidRPr="00BF4AA8">
              <w:rPr>
                <w:rFonts w:ascii="Arial" w:hAnsi="Arial" w:cs="Arial"/>
                <w:color w:val="000000"/>
                <w:sz w:val="22"/>
                <w:szCs w:val="22"/>
              </w:rPr>
              <w:t xml:space="preserve">, Preah </w:t>
            </w:r>
            <w:proofErr w:type="spellStart"/>
            <w:r w:rsidRPr="00BF4AA8">
              <w:rPr>
                <w:rFonts w:ascii="Arial" w:hAnsi="Arial" w:cs="Arial"/>
                <w:color w:val="000000"/>
                <w:sz w:val="22"/>
                <w:szCs w:val="22"/>
              </w:rPr>
              <w:t>Vihear</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Pursat</w:t>
            </w:r>
            <w:proofErr w:type="spellEnd"/>
            <w:r w:rsidRPr="00BF4AA8">
              <w:rPr>
                <w:rFonts w:ascii="Arial" w:hAnsi="Arial" w:cs="Arial"/>
                <w:color w:val="000000"/>
                <w:sz w:val="22"/>
                <w:szCs w:val="22"/>
              </w:rPr>
              <w:t xml:space="preserve"> provinces</w:t>
            </w:r>
          </w:p>
        </w:tc>
        <w:tc>
          <w:tcPr>
            <w:tcW w:w="6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2010</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8</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99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8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70000</w:t>
            </w:r>
          </w:p>
        </w:tc>
        <w:tc>
          <w:tcPr>
            <w:tcW w:w="99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100700</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Riverine flood</w:t>
            </w:r>
          </w:p>
        </w:tc>
        <w:tc>
          <w:tcPr>
            <w:tcW w:w="2814"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 xml:space="preserve">Kandal, Kampong Thom, Prey Veng, Kampong Cham, </w:t>
            </w:r>
            <w:proofErr w:type="spellStart"/>
            <w:r w:rsidRPr="00BF4AA8">
              <w:rPr>
                <w:rFonts w:ascii="Arial" w:hAnsi="Arial" w:cs="Arial"/>
                <w:color w:val="000000"/>
                <w:sz w:val="22"/>
                <w:szCs w:val="22"/>
              </w:rPr>
              <w:t>Kratie</w:t>
            </w:r>
            <w:proofErr w:type="spellEnd"/>
            <w:r w:rsidRPr="00BF4AA8">
              <w:rPr>
                <w:rFonts w:ascii="Arial" w:hAnsi="Arial" w:cs="Arial"/>
                <w:color w:val="000000"/>
                <w:sz w:val="22"/>
                <w:szCs w:val="22"/>
              </w:rPr>
              <w:t xml:space="preserve">, Battambang, Kampong Chhnang, Preah </w:t>
            </w:r>
            <w:proofErr w:type="spellStart"/>
            <w:r w:rsidRPr="00BF4AA8">
              <w:rPr>
                <w:rFonts w:ascii="Arial" w:hAnsi="Arial" w:cs="Arial"/>
                <w:color w:val="000000"/>
                <w:sz w:val="22"/>
                <w:szCs w:val="22"/>
              </w:rPr>
              <w:t>Vihear</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Pursat</w:t>
            </w:r>
            <w:proofErr w:type="spellEnd"/>
            <w:r w:rsidRPr="00BF4AA8">
              <w:rPr>
                <w:rFonts w:ascii="Arial" w:hAnsi="Arial" w:cs="Arial"/>
                <w:color w:val="000000"/>
                <w:sz w:val="22"/>
                <w:szCs w:val="22"/>
              </w:rPr>
              <w:t xml:space="preserve"> provinces</w:t>
            </w:r>
          </w:p>
        </w:tc>
        <w:tc>
          <w:tcPr>
            <w:tcW w:w="6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2011</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247</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23</w:t>
            </w:r>
          </w:p>
        </w:tc>
        <w:tc>
          <w:tcPr>
            <w:tcW w:w="99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1640000</w:t>
            </w:r>
          </w:p>
        </w:tc>
        <w:tc>
          <w:tcPr>
            <w:tcW w:w="8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521000</w:t>
            </w:r>
          </w:p>
        </w:tc>
        <w:tc>
          <w:tcPr>
            <w:tcW w:w="99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726561</w:t>
            </w:r>
          </w:p>
        </w:tc>
      </w:tr>
      <w:tr w:rsidR="00BF4AA8" w:rsidRPr="00BF4AA8" w:rsidTr="005F1F5C">
        <w:trPr>
          <w:trHeight w:val="340"/>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Flash flood</w:t>
            </w:r>
          </w:p>
        </w:tc>
        <w:tc>
          <w:tcPr>
            <w:tcW w:w="2814"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Banteay Meanchey province</w:t>
            </w:r>
          </w:p>
        </w:tc>
        <w:tc>
          <w:tcPr>
            <w:tcW w:w="6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2012</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99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71500</w:t>
            </w:r>
          </w:p>
        </w:tc>
        <w:tc>
          <w:tcPr>
            <w:tcW w:w="8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99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944"/>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Riverine flood</w:t>
            </w:r>
          </w:p>
        </w:tc>
        <w:tc>
          <w:tcPr>
            <w:tcW w:w="2814"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 xml:space="preserve">Battambang, Banteay Meanchey, Kampong Cham, Prey Veng, Kandal, </w:t>
            </w:r>
            <w:proofErr w:type="spellStart"/>
            <w:r w:rsidRPr="00BF4AA8">
              <w:rPr>
                <w:rFonts w:ascii="Arial" w:hAnsi="Arial" w:cs="Arial"/>
                <w:color w:val="000000"/>
                <w:sz w:val="22"/>
                <w:szCs w:val="22"/>
              </w:rPr>
              <w:t>Siem</w:t>
            </w:r>
            <w:proofErr w:type="spellEnd"/>
            <w:r w:rsidRPr="00BF4AA8">
              <w:rPr>
                <w:rFonts w:ascii="Arial" w:hAnsi="Arial" w:cs="Arial"/>
                <w:color w:val="000000"/>
                <w:sz w:val="22"/>
                <w:szCs w:val="22"/>
              </w:rPr>
              <w:t xml:space="preserve"> Reap, </w:t>
            </w:r>
            <w:proofErr w:type="spellStart"/>
            <w:r w:rsidRPr="00BF4AA8">
              <w:rPr>
                <w:rFonts w:ascii="Arial" w:hAnsi="Arial" w:cs="Arial"/>
                <w:color w:val="000000"/>
                <w:sz w:val="22"/>
                <w:szCs w:val="22"/>
              </w:rPr>
              <w:t>Kratie</w:t>
            </w:r>
            <w:proofErr w:type="spellEnd"/>
            <w:r w:rsidRPr="00BF4AA8">
              <w:rPr>
                <w:rFonts w:ascii="Arial" w:hAnsi="Arial" w:cs="Arial"/>
                <w:color w:val="000000"/>
                <w:sz w:val="22"/>
                <w:szCs w:val="22"/>
              </w:rPr>
              <w:t xml:space="preserve">, Kampong Thom, </w:t>
            </w:r>
            <w:proofErr w:type="spellStart"/>
            <w:r w:rsidRPr="00BF4AA8">
              <w:rPr>
                <w:rFonts w:ascii="Arial" w:hAnsi="Arial" w:cs="Arial"/>
                <w:color w:val="000000"/>
                <w:sz w:val="22"/>
                <w:szCs w:val="22"/>
              </w:rPr>
              <w:t>Otdar</w:t>
            </w:r>
            <w:proofErr w:type="spellEnd"/>
            <w:r w:rsidRPr="00BF4AA8">
              <w:rPr>
                <w:rFonts w:ascii="Arial" w:hAnsi="Arial" w:cs="Arial"/>
                <w:color w:val="000000"/>
                <w:sz w:val="22"/>
                <w:szCs w:val="22"/>
              </w:rPr>
              <w:t xml:space="preserve"> Meanchey, Stung </w:t>
            </w:r>
            <w:proofErr w:type="spellStart"/>
            <w:r w:rsidRPr="00BF4AA8">
              <w:rPr>
                <w:rFonts w:ascii="Arial" w:hAnsi="Arial" w:cs="Arial"/>
                <w:color w:val="000000"/>
                <w:sz w:val="22"/>
                <w:szCs w:val="22"/>
              </w:rPr>
              <w:t>Treng</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Pursat</w:t>
            </w:r>
            <w:proofErr w:type="spellEnd"/>
            <w:r w:rsidRPr="00BF4AA8">
              <w:rPr>
                <w:rFonts w:ascii="Arial" w:hAnsi="Arial" w:cs="Arial"/>
                <w:color w:val="000000"/>
                <w:sz w:val="22"/>
                <w:szCs w:val="22"/>
              </w:rPr>
              <w:t xml:space="preserve">, Kampong Chhnang, </w:t>
            </w:r>
            <w:proofErr w:type="spellStart"/>
            <w:r w:rsidRPr="00BF4AA8">
              <w:rPr>
                <w:rFonts w:ascii="Arial" w:hAnsi="Arial" w:cs="Arial"/>
                <w:color w:val="000000"/>
                <w:sz w:val="22"/>
                <w:szCs w:val="22"/>
              </w:rPr>
              <w:t>Ratanak</w:t>
            </w:r>
            <w:proofErr w:type="spellEnd"/>
            <w:r w:rsidRPr="00BF4AA8">
              <w:rPr>
                <w:rFonts w:ascii="Arial" w:hAnsi="Arial" w:cs="Arial"/>
                <w:color w:val="000000"/>
                <w:sz w:val="22"/>
                <w:szCs w:val="22"/>
              </w:rPr>
              <w:t xml:space="preserve"> Kiri, Preah </w:t>
            </w:r>
            <w:proofErr w:type="spellStart"/>
            <w:r w:rsidRPr="00BF4AA8">
              <w:rPr>
                <w:rFonts w:ascii="Arial" w:hAnsi="Arial" w:cs="Arial"/>
                <w:color w:val="000000"/>
                <w:sz w:val="22"/>
                <w:szCs w:val="22"/>
              </w:rPr>
              <w:t>Vihear</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Svay</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Rieng</w:t>
            </w:r>
            <w:proofErr w:type="spellEnd"/>
            <w:r w:rsidRPr="00BF4AA8">
              <w:rPr>
                <w:rFonts w:ascii="Arial" w:hAnsi="Arial" w:cs="Arial"/>
                <w:color w:val="000000"/>
                <w:sz w:val="22"/>
                <w:szCs w:val="22"/>
              </w:rPr>
              <w:t xml:space="preserve">, Phnom Penh, Takeo, </w:t>
            </w:r>
            <w:proofErr w:type="spellStart"/>
            <w:r w:rsidRPr="00BF4AA8">
              <w:rPr>
                <w:rFonts w:ascii="Arial" w:hAnsi="Arial" w:cs="Arial"/>
                <w:color w:val="000000"/>
                <w:sz w:val="22"/>
                <w:szCs w:val="22"/>
              </w:rPr>
              <w:t>Pailin</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Kampot</w:t>
            </w:r>
            <w:proofErr w:type="spellEnd"/>
            <w:r w:rsidRPr="00BF4AA8">
              <w:rPr>
                <w:rFonts w:ascii="Arial" w:hAnsi="Arial" w:cs="Arial"/>
                <w:color w:val="000000"/>
                <w:sz w:val="22"/>
                <w:szCs w:val="22"/>
              </w:rPr>
              <w:t xml:space="preserve"> provinces</w:t>
            </w:r>
          </w:p>
        </w:tc>
        <w:tc>
          <w:tcPr>
            <w:tcW w:w="6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2013</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200</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99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1500000</w:t>
            </w:r>
          </w:p>
        </w:tc>
        <w:tc>
          <w:tcPr>
            <w:tcW w:w="8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500000</w:t>
            </w:r>
          </w:p>
        </w:tc>
        <w:tc>
          <w:tcPr>
            <w:tcW w:w="99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673276</w:t>
            </w:r>
          </w:p>
        </w:tc>
      </w:tr>
      <w:tr w:rsidR="00BF4AA8" w:rsidRPr="00BF4AA8" w:rsidTr="005F1F5C">
        <w:trPr>
          <w:trHeight w:val="64"/>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Flash flood</w:t>
            </w:r>
          </w:p>
        </w:tc>
        <w:tc>
          <w:tcPr>
            <w:tcW w:w="2814"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 xml:space="preserve">Kampong Cham, Kampong Chhnang, Kampong </w:t>
            </w:r>
            <w:proofErr w:type="spellStart"/>
            <w:r w:rsidRPr="00BF4AA8">
              <w:rPr>
                <w:rFonts w:ascii="Arial" w:hAnsi="Arial" w:cs="Arial"/>
                <w:color w:val="000000"/>
                <w:sz w:val="22"/>
                <w:szCs w:val="22"/>
              </w:rPr>
              <w:t>Speu</w:t>
            </w:r>
            <w:proofErr w:type="spellEnd"/>
            <w:r w:rsidRPr="00BF4AA8">
              <w:rPr>
                <w:rFonts w:ascii="Arial" w:hAnsi="Arial" w:cs="Arial"/>
                <w:color w:val="000000"/>
                <w:sz w:val="22"/>
                <w:szCs w:val="22"/>
              </w:rPr>
              <w:t xml:space="preserve">, Kampong Thom, </w:t>
            </w:r>
            <w:proofErr w:type="spellStart"/>
            <w:r w:rsidRPr="00BF4AA8">
              <w:rPr>
                <w:rFonts w:ascii="Arial" w:hAnsi="Arial" w:cs="Arial"/>
                <w:color w:val="000000"/>
                <w:sz w:val="22"/>
                <w:szCs w:val="22"/>
              </w:rPr>
              <w:t>Kampot</w:t>
            </w:r>
            <w:proofErr w:type="spellEnd"/>
            <w:r w:rsidRPr="00BF4AA8">
              <w:rPr>
                <w:rFonts w:ascii="Arial" w:hAnsi="Arial" w:cs="Arial"/>
                <w:color w:val="000000"/>
                <w:sz w:val="22"/>
                <w:szCs w:val="22"/>
              </w:rPr>
              <w:t xml:space="preserve">, Kandal, </w:t>
            </w:r>
            <w:proofErr w:type="spellStart"/>
            <w:r w:rsidRPr="00BF4AA8">
              <w:rPr>
                <w:rFonts w:ascii="Arial" w:hAnsi="Arial" w:cs="Arial"/>
                <w:color w:val="000000"/>
                <w:sz w:val="22"/>
                <w:szCs w:val="22"/>
              </w:rPr>
              <w:t>Kratie</w:t>
            </w:r>
            <w:proofErr w:type="spellEnd"/>
            <w:r w:rsidRPr="00BF4AA8">
              <w:rPr>
                <w:rFonts w:ascii="Arial" w:hAnsi="Arial" w:cs="Arial"/>
                <w:color w:val="000000"/>
                <w:sz w:val="22"/>
                <w:szCs w:val="22"/>
              </w:rPr>
              <w:t xml:space="preserve">, Phnom Penh, Preah </w:t>
            </w:r>
            <w:proofErr w:type="spellStart"/>
            <w:r w:rsidRPr="00BF4AA8">
              <w:rPr>
                <w:rFonts w:ascii="Arial" w:hAnsi="Arial" w:cs="Arial"/>
                <w:color w:val="000000"/>
                <w:sz w:val="22"/>
                <w:szCs w:val="22"/>
              </w:rPr>
              <w:t>Vihear</w:t>
            </w:r>
            <w:proofErr w:type="spellEnd"/>
            <w:r w:rsidRPr="00BF4AA8">
              <w:rPr>
                <w:rFonts w:ascii="Arial" w:hAnsi="Arial" w:cs="Arial"/>
                <w:color w:val="000000"/>
                <w:sz w:val="22"/>
                <w:szCs w:val="22"/>
              </w:rPr>
              <w:t xml:space="preserve">, Prey Veng, Stung </w:t>
            </w:r>
            <w:proofErr w:type="spellStart"/>
            <w:r w:rsidRPr="00BF4AA8">
              <w:rPr>
                <w:rFonts w:ascii="Arial" w:hAnsi="Arial" w:cs="Arial"/>
                <w:color w:val="000000"/>
                <w:sz w:val="22"/>
                <w:szCs w:val="22"/>
              </w:rPr>
              <w:t>Treng</w:t>
            </w:r>
            <w:proofErr w:type="spellEnd"/>
            <w:r w:rsidRPr="00BF4AA8">
              <w:rPr>
                <w:rFonts w:ascii="Arial" w:hAnsi="Arial" w:cs="Arial"/>
                <w:color w:val="000000"/>
                <w:sz w:val="22"/>
                <w:szCs w:val="22"/>
              </w:rPr>
              <w:t>, Takeo provinces</w:t>
            </w:r>
          </w:p>
        </w:tc>
        <w:tc>
          <w:tcPr>
            <w:tcW w:w="6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2014</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45</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99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472500</w:t>
            </w:r>
          </w:p>
        </w:tc>
        <w:tc>
          <w:tcPr>
            <w:tcW w:w="8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2000</w:t>
            </w:r>
          </w:p>
        </w:tc>
        <w:tc>
          <w:tcPr>
            <w:tcW w:w="99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2650</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64"/>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Flood (General)</w:t>
            </w:r>
          </w:p>
        </w:tc>
        <w:tc>
          <w:tcPr>
            <w:tcW w:w="2814"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roofErr w:type="spellStart"/>
            <w:r w:rsidRPr="00BF4AA8">
              <w:rPr>
                <w:rFonts w:ascii="Arial" w:hAnsi="Arial" w:cs="Arial"/>
                <w:color w:val="000000"/>
                <w:sz w:val="22"/>
                <w:szCs w:val="22"/>
              </w:rPr>
              <w:t>Teuk</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Chhou</w:t>
            </w:r>
            <w:proofErr w:type="spellEnd"/>
            <w:r w:rsidRPr="00BF4AA8">
              <w:rPr>
                <w:rFonts w:ascii="Arial" w:hAnsi="Arial" w:cs="Arial"/>
                <w:color w:val="000000"/>
                <w:sz w:val="22"/>
                <w:szCs w:val="22"/>
              </w:rPr>
              <w:t xml:space="preserve"> District (</w:t>
            </w:r>
            <w:proofErr w:type="spellStart"/>
            <w:r w:rsidRPr="00BF4AA8">
              <w:rPr>
                <w:rFonts w:ascii="Arial" w:hAnsi="Arial" w:cs="Arial"/>
                <w:color w:val="000000"/>
                <w:sz w:val="22"/>
                <w:szCs w:val="22"/>
              </w:rPr>
              <w:t>Kampot</w:t>
            </w:r>
            <w:proofErr w:type="spellEnd"/>
            <w:r w:rsidRPr="00BF4AA8">
              <w:rPr>
                <w:rFonts w:ascii="Arial" w:hAnsi="Arial" w:cs="Arial"/>
                <w:color w:val="000000"/>
                <w:sz w:val="22"/>
                <w:szCs w:val="22"/>
              </w:rPr>
              <w:t>) (</w:t>
            </w:r>
            <w:proofErr w:type="spellStart"/>
            <w:r w:rsidRPr="00BF4AA8">
              <w:rPr>
                <w:rFonts w:ascii="Arial" w:hAnsi="Arial" w:cs="Arial"/>
                <w:color w:val="000000"/>
                <w:sz w:val="22"/>
                <w:szCs w:val="22"/>
              </w:rPr>
              <w:t>Mak</w:t>
            </w:r>
            <w:proofErr w:type="spellEnd"/>
            <w:r w:rsidRPr="00BF4AA8">
              <w:rPr>
                <w:rFonts w:ascii="Arial" w:hAnsi="Arial" w:cs="Arial"/>
                <w:color w:val="000000"/>
                <w:sz w:val="22"/>
                <w:szCs w:val="22"/>
              </w:rPr>
              <w:t xml:space="preserve"> Prang, Kampong </w:t>
            </w:r>
            <w:proofErr w:type="spellStart"/>
            <w:r w:rsidRPr="00BF4AA8">
              <w:rPr>
                <w:rFonts w:ascii="Arial" w:hAnsi="Arial" w:cs="Arial"/>
                <w:color w:val="000000"/>
                <w:sz w:val="22"/>
                <w:szCs w:val="22"/>
              </w:rPr>
              <w:t>Kreng</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Stoeung</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Keo</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Trapang</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Thum</w:t>
            </w:r>
            <w:proofErr w:type="spellEnd"/>
            <w:r w:rsidRPr="00BF4AA8">
              <w:rPr>
                <w:rFonts w:ascii="Arial" w:hAnsi="Arial" w:cs="Arial"/>
                <w:color w:val="000000"/>
                <w:sz w:val="22"/>
                <w:szCs w:val="22"/>
              </w:rPr>
              <w:t xml:space="preserve"> and Prey </w:t>
            </w:r>
            <w:proofErr w:type="spellStart"/>
            <w:r w:rsidRPr="00BF4AA8">
              <w:rPr>
                <w:rFonts w:ascii="Arial" w:hAnsi="Arial" w:cs="Arial"/>
                <w:color w:val="000000"/>
                <w:sz w:val="22"/>
                <w:szCs w:val="22"/>
              </w:rPr>
              <w:t>Khmum</w:t>
            </w:r>
            <w:proofErr w:type="spellEnd"/>
            <w:r w:rsidRPr="00BF4AA8">
              <w:rPr>
                <w:rFonts w:ascii="Arial" w:hAnsi="Arial" w:cs="Arial"/>
                <w:color w:val="000000"/>
                <w:sz w:val="22"/>
                <w:szCs w:val="22"/>
              </w:rPr>
              <w:t xml:space="preserve"> communes)</w:t>
            </w:r>
          </w:p>
        </w:tc>
        <w:tc>
          <w:tcPr>
            <w:tcW w:w="6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2015</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99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22000</w:t>
            </w:r>
          </w:p>
        </w:tc>
        <w:tc>
          <w:tcPr>
            <w:tcW w:w="8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99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BF4AA8" w:rsidRPr="00BF4AA8" w:rsidTr="005F1F5C">
        <w:trPr>
          <w:trHeight w:val="340"/>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Tropical cyclone</w:t>
            </w:r>
          </w:p>
        </w:tc>
        <w:tc>
          <w:tcPr>
            <w:tcW w:w="2814"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Battambang province</w:t>
            </w:r>
          </w:p>
        </w:tc>
        <w:tc>
          <w:tcPr>
            <w:tcW w:w="6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2015</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99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6300</w:t>
            </w:r>
          </w:p>
        </w:tc>
        <w:tc>
          <w:tcPr>
            <w:tcW w:w="8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99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64"/>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Drought</w:t>
            </w:r>
          </w:p>
        </w:tc>
        <w:tc>
          <w:tcPr>
            <w:tcW w:w="2814"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 xml:space="preserve">Banteay Meanchey, Battambang, </w:t>
            </w:r>
            <w:proofErr w:type="spellStart"/>
            <w:r w:rsidRPr="00BF4AA8">
              <w:rPr>
                <w:rFonts w:ascii="Arial" w:hAnsi="Arial" w:cs="Arial"/>
                <w:color w:val="000000"/>
                <w:sz w:val="22"/>
                <w:szCs w:val="22"/>
              </w:rPr>
              <w:t>Pursat</w:t>
            </w:r>
            <w:proofErr w:type="spellEnd"/>
            <w:r w:rsidRPr="00BF4AA8">
              <w:rPr>
                <w:rFonts w:ascii="Arial" w:hAnsi="Arial" w:cs="Arial"/>
                <w:color w:val="000000"/>
                <w:sz w:val="22"/>
                <w:szCs w:val="22"/>
              </w:rPr>
              <w:t xml:space="preserve">, Kampong </w:t>
            </w:r>
            <w:proofErr w:type="spellStart"/>
            <w:r w:rsidRPr="00BF4AA8">
              <w:rPr>
                <w:rFonts w:ascii="Arial" w:hAnsi="Arial" w:cs="Arial"/>
                <w:color w:val="000000"/>
                <w:sz w:val="22"/>
                <w:szCs w:val="22"/>
              </w:rPr>
              <w:t>Speu</w:t>
            </w:r>
            <w:proofErr w:type="spellEnd"/>
            <w:r w:rsidRPr="00BF4AA8">
              <w:rPr>
                <w:rFonts w:ascii="Arial" w:hAnsi="Arial" w:cs="Arial"/>
                <w:color w:val="000000"/>
                <w:sz w:val="22"/>
                <w:szCs w:val="22"/>
              </w:rPr>
              <w:t xml:space="preserve"> provinces</w:t>
            </w:r>
          </w:p>
        </w:tc>
        <w:tc>
          <w:tcPr>
            <w:tcW w:w="6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2016</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99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2500000</w:t>
            </w:r>
          </w:p>
        </w:tc>
        <w:tc>
          <w:tcPr>
            <w:tcW w:w="8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99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BF4AA8" w:rsidRPr="00BF4AA8" w:rsidTr="005F1F5C">
        <w:trPr>
          <w:trHeight w:val="234"/>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Flood (General)</w:t>
            </w:r>
          </w:p>
        </w:tc>
        <w:tc>
          <w:tcPr>
            <w:tcW w:w="2814"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roofErr w:type="spellStart"/>
            <w:r w:rsidRPr="00BF4AA8">
              <w:rPr>
                <w:rFonts w:ascii="Arial" w:hAnsi="Arial" w:cs="Arial"/>
                <w:color w:val="000000"/>
                <w:sz w:val="22"/>
                <w:szCs w:val="22"/>
              </w:rPr>
              <w:t>Siem</w:t>
            </w:r>
            <w:proofErr w:type="spellEnd"/>
            <w:r w:rsidRPr="00BF4AA8">
              <w:rPr>
                <w:rFonts w:ascii="Arial" w:hAnsi="Arial" w:cs="Arial"/>
                <w:color w:val="000000"/>
                <w:sz w:val="22"/>
                <w:szCs w:val="22"/>
              </w:rPr>
              <w:t xml:space="preserve"> Pang District, </w:t>
            </w:r>
            <w:proofErr w:type="spellStart"/>
            <w:r w:rsidRPr="00BF4AA8">
              <w:rPr>
                <w:rFonts w:ascii="Arial" w:hAnsi="Arial" w:cs="Arial"/>
                <w:color w:val="000000"/>
                <w:sz w:val="22"/>
                <w:szCs w:val="22"/>
              </w:rPr>
              <w:t>Steung</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Treng</w:t>
            </w:r>
            <w:proofErr w:type="spellEnd"/>
            <w:r w:rsidRPr="00BF4AA8">
              <w:rPr>
                <w:rFonts w:ascii="Arial" w:hAnsi="Arial" w:cs="Arial"/>
                <w:color w:val="000000"/>
                <w:sz w:val="22"/>
                <w:szCs w:val="22"/>
              </w:rPr>
              <w:t xml:space="preserve"> Town, </w:t>
            </w:r>
            <w:proofErr w:type="spellStart"/>
            <w:r w:rsidRPr="00BF4AA8">
              <w:rPr>
                <w:rFonts w:ascii="Arial" w:hAnsi="Arial" w:cs="Arial"/>
                <w:color w:val="000000"/>
                <w:sz w:val="22"/>
                <w:szCs w:val="22"/>
              </w:rPr>
              <w:t>Siem</w:t>
            </w:r>
            <w:proofErr w:type="spellEnd"/>
            <w:r w:rsidRPr="00BF4AA8">
              <w:rPr>
                <w:rFonts w:ascii="Arial" w:hAnsi="Arial" w:cs="Arial"/>
                <w:color w:val="000000"/>
                <w:sz w:val="22"/>
                <w:szCs w:val="22"/>
              </w:rPr>
              <w:t xml:space="preserve"> </w:t>
            </w:r>
            <w:proofErr w:type="spellStart"/>
            <w:proofErr w:type="gramStart"/>
            <w:r w:rsidRPr="00BF4AA8">
              <w:rPr>
                <w:rFonts w:ascii="Arial" w:hAnsi="Arial" w:cs="Arial"/>
                <w:color w:val="000000"/>
                <w:sz w:val="22"/>
                <w:szCs w:val="22"/>
              </w:rPr>
              <w:t>Bok,Sesan</w:t>
            </w:r>
            <w:proofErr w:type="spellEnd"/>
            <w:proofErr w:type="gram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Thalaborivat</w:t>
            </w:r>
            <w:proofErr w:type="spellEnd"/>
            <w:r w:rsidRPr="00BF4AA8">
              <w:rPr>
                <w:rFonts w:ascii="Arial" w:hAnsi="Arial" w:cs="Arial"/>
                <w:color w:val="000000"/>
                <w:sz w:val="22"/>
                <w:szCs w:val="22"/>
              </w:rPr>
              <w:t xml:space="preserve">; Kampong </w:t>
            </w:r>
            <w:proofErr w:type="spellStart"/>
            <w:r w:rsidRPr="00BF4AA8">
              <w:rPr>
                <w:rFonts w:ascii="Arial" w:hAnsi="Arial" w:cs="Arial"/>
                <w:color w:val="000000"/>
                <w:sz w:val="22"/>
                <w:szCs w:val="22"/>
              </w:rPr>
              <w:t>Speu</w:t>
            </w:r>
            <w:proofErr w:type="spellEnd"/>
            <w:r w:rsidRPr="00BF4AA8">
              <w:rPr>
                <w:rFonts w:ascii="Arial" w:hAnsi="Arial" w:cs="Arial"/>
                <w:color w:val="000000"/>
                <w:sz w:val="22"/>
                <w:szCs w:val="22"/>
              </w:rPr>
              <w:t xml:space="preserve">, Battambang, Koh Kong, </w:t>
            </w:r>
            <w:proofErr w:type="spellStart"/>
            <w:r w:rsidRPr="00BF4AA8">
              <w:rPr>
                <w:rFonts w:ascii="Arial" w:hAnsi="Arial" w:cs="Arial"/>
                <w:color w:val="000000"/>
                <w:sz w:val="22"/>
                <w:szCs w:val="22"/>
              </w:rPr>
              <w:t>Phreah</w:t>
            </w:r>
            <w:proofErr w:type="spellEnd"/>
            <w:r w:rsidRPr="00BF4AA8">
              <w:rPr>
                <w:rFonts w:ascii="Arial" w:hAnsi="Arial" w:cs="Arial"/>
                <w:color w:val="000000"/>
                <w:sz w:val="22"/>
                <w:szCs w:val="22"/>
              </w:rPr>
              <w:t xml:space="preserve"> Sihanouk , </w:t>
            </w:r>
            <w:proofErr w:type="spellStart"/>
            <w:r w:rsidRPr="00BF4AA8">
              <w:rPr>
                <w:rFonts w:ascii="Arial" w:hAnsi="Arial" w:cs="Arial"/>
                <w:color w:val="000000"/>
                <w:sz w:val="22"/>
                <w:szCs w:val="22"/>
              </w:rPr>
              <w:t>Kampot</w:t>
            </w:r>
            <w:proofErr w:type="spellEnd"/>
            <w:r w:rsidRPr="00BF4AA8">
              <w:rPr>
                <w:rFonts w:ascii="Arial" w:hAnsi="Arial" w:cs="Arial"/>
                <w:color w:val="000000"/>
                <w:sz w:val="22"/>
                <w:szCs w:val="22"/>
              </w:rPr>
              <w:t xml:space="preserve"> provinces</w:t>
            </w:r>
          </w:p>
        </w:tc>
        <w:tc>
          <w:tcPr>
            <w:tcW w:w="6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2018</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99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5817</w:t>
            </w:r>
          </w:p>
        </w:tc>
        <w:tc>
          <w:tcPr>
            <w:tcW w:w="8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99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64"/>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Flood (General)</w:t>
            </w:r>
          </w:p>
        </w:tc>
        <w:tc>
          <w:tcPr>
            <w:tcW w:w="2814"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 xml:space="preserve">Stung </w:t>
            </w:r>
            <w:proofErr w:type="spellStart"/>
            <w:r w:rsidRPr="00BF4AA8">
              <w:rPr>
                <w:rFonts w:ascii="Arial" w:hAnsi="Arial" w:cs="Arial"/>
                <w:color w:val="000000"/>
                <w:sz w:val="22"/>
                <w:szCs w:val="22"/>
              </w:rPr>
              <w:t>Treng</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Kratie</w:t>
            </w:r>
            <w:proofErr w:type="spellEnd"/>
            <w:r w:rsidRPr="00BF4AA8">
              <w:rPr>
                <w:rFonts w:ascii="Arial" w:hAnsi="Arial" w:cs="Arial"/>
                <w:color w:val="000000"/>
                <w:sz w:val="22"/>
                <w:szCs w:val="22"/>
              </w:rPr>
              <w:t xml:space="preserve">, Kampong Cham and </w:t>
            </w:r>
            <w:proofErr w:type="spellStart"/>
            <w:r w:rsidRPr="00BF4AA8">
              <w:rPr>
                <w:rFonts w:ascii="Arial" w:hAnsi="Arial" w:cs="Arial"/>
                <w:color w:val="000000"/>
                <w:sz w:val="22"/>
                <w:szCs w:val="22"/>
              </w:rPr>
              <w:t>Tbong</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Khmum</w:t>
            </w:r>
            <w:proofErr w:type="spellEnd"/>
          </w:p>
        </w:tc>
        <w:tc>
          <w:tcPr>
            <w:tcW w:w="6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2019</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12</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99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435000</w:t>
            </w:r>
          </w:p>
        </w:tc>
        <w:tc>
          <w:tcPr>
            <w:tcW w:w="8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99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BF4AA8" w:rsidRPr="00BF4AA8" w:rsidTr="005F1F5C">
        <w:trPr>
          <w:trHeight w:val="1290"/>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Tropical cyclone</w:t>
            </w:r>
          </w:p>
        </w:tc>
        <w:tc>
          <w:tcPr>
            <w:tcW w:w="2814"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roofErr w:type="spellStart"/>
            <w:r w:rsidRPr="00BF4AA8">
              <w:rPr>
                <w:rFonts w:ascii="Arial" w:hAnsi="Arial" w:cs="Arial"/>
                <w:color w:val="000000"/>
                <w:sz w:val="22"/>
                <w:szCs w:val="22"/>
              </w:rPr>
              <w:t>Pursat</w:t>
            </w:r>
            <w:proofErr w:type="spellEnd"/>
            <w:r w:rsidRPr="00BF4AA8">
              <w:rPr>
                <w:rFonts w:ascii="Arial" w:hAnsi="Arial" w:cs="Arial"/>
                <w:color w:val="000000"/>
                <w:sz w:val="22"/>
                <w:szCs w:val="22"/>
              </w:rPr>
              <w:t xml:space="preserve">, Battambang, </w:t>
            </w:r>
            <w:proofErr w:type="spellStart"/>
            <w:r w:rsidRPr="00BF4AA8">
              <w:rPr>
                <w:rFonts w:ascii="Arial" w:hAnsi="Arial" w:cs="Arial"/>
                <w:color w:val="000000"/>
                <w:sz w:val="22"/>
                <w:szCs w:val="22"/>
              </w:rPr>
              <w:t>Pailin</w:t>
            </w:r>
            <w:proofErr w:type="spellEnd"/>
            <w:r w:rsidRPr="00BF4AA8">
              <w:rPr>
                <w:rFonts w:ascii="Arial" w:hAnsi="Arial" w:cs="Arial"/>
                <w:color w:val="000000"/>
                <w:sz w:val="22"/>
                <w:szCs w:val="22"/>
              </w:rPr>
              <w:t xml:space="preserve">, Kampong </w:t>
            </w:r>
            <w:proofErr w:type="spellStart"/>
            <w:r w:rsidRPr="00BF4AA8">
              <w:rPr>
                <w:rFonts w:ascii="Arial" w:hAnsi="Arial" w:cs="Arial"/>
                <w:color w:val="000000"/>
                <w:sz w:val="22"/>
                <w:szCs w:val="22"/>
              </w:rPr>
              <w:t>Speu</w:t>
            </w:r>
            <w:proofErr w:type="spellEnd"/>
            <w:r w:rsidRPr="00BF4AA8">
              <w:rPr>
                <w:rFonts w:ascii="Arial" w:hAnsi="Arial" w:cs="Arial"/>
                <w:color w:val="000000"/>
                <w:sz w:val="22"/>
                <w:szCs w:val="22"/>
              </w:rPr>
              <w:t xml:space="preserve">, Kampong Chhnang, Banteay Meanchey, Kampong Thom, Phnom Penh, Kandal, Sway </w:t>
            </w:r>
            <w:proofErr w:type="spellStart"/>
            <w:r w:rsidRPr="00BF4AA8">
              <w:rPr>
                <w:rFonts w:ascii="Arial" w:hAnsi="Arial" w:cs="Arial"/>
                <w:color w:val="000000"/>
                <w:sz w:val="22"/>
                <w:szCs w:val="22"/>
              </w:rPr>
              <w:t>Rieng</w:t>
            </w:r>
            <w:proofErr w:type="spellEnd"/>
            <w:r w:rsidRPr="00BF4AA8">
              <w:rPr>
                <w:rFonts w:ascii="Arial" w:hAnsi="Arial" w:cs="Arial"/>
                <w:color w:val="000000"/>
                <w:sz w:val="22"/>
                <w:szCs w:val="22"/>
              </w:rPr>
              <w:t xml:space="preserve">, Stung </w:t>
            </w:r>
            <w:proofErr w:type="spellStart"/>
            <w:r w:rsidRPr="00BF4AA8">
              <w:rPr>
                <w:rFonts w:ascii="Arial" w:hAnsi="Arial" w:cs="Arial"/>
                <w:color w:val="000000"/>
                <w:sz w:val="22"/>
                <w:szCs w:val="22"/>
              </w:rPr>
              <w:t>Treng</w:t>
            </w:r>
            <w:proofErr w:type="spellEnd"/>
            <w:r w:rsidRPr="00BF4AA8">
              <w:rPr>
                <w:rFonts w:ascii="Arial" w:hAnsi="Arial" w:cs="Arial"/>
                <w:color w:val="000000"/>
                <w:sz w:val="22"/>
                <w:szCs w:val="22"/>
              </w:rPr>
              <w:t xml:space="preserve">, Takao, </w:t>
            </w:r>
            <w:proofErr w:type="spellStart"/>
            <w:r w:rsidRPr="00BF4AA8">
              <w:rPr>
                <w:rFonts w:ascii="Arial" w:hAnsi="Arial" w:cs="Arial"/>
                <w:color w:val="000000"/>
                <w:sz w:val="22"/>
                <w:szCs w:val="22"/>
              </w:rPr>
              <w:t>Siem</w:t>
            </w:r>
            <w:proofErr w:type="spellEnd"/>
            <w:r w:rsidRPr="00BF4AA8">
              <w:rPr>
                <w:rFonts w:ascii="Arial" w:hAnsi="Arial" w:cs="Arial"/>
                <w:color w:val="000000"/>
                <w:sz w:val="22"/>
                <w:szCs w:val="22"/>
              </w:rPr>
              <w:t xml:space="preserve"> Reap, Preah </w:t>
            </w:r>
            <w:proofErr w:type="spellStart"/>
            <w:r w:rsidRPr="00BF4AA8">
              <w:rPr>
                <w:rFonts w:ascii="Arial" w:hAnsi="Arial" w:cs="Arial"/>
                <w:color w:val="000000"/>
                <w:sz w:val="22"/>
                <w:szCs w:val="22"/>
              </w:rPr>
              <w:t>Videar</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Oddar</w:t>
            </w:r>
            <w:proofErr w:type="spellEnd"/>
            <w:r w:rsidRPr="00BF4AA8">
              <w:rPr>
                <w:rFonts w:ascii="Arial" w:hAnsi="Arial" w:cs="Arial"/>
                <w:color w:val="000000"/>
                <w:sz w:val="22"/>
                <w:szCs w:val="22"/>
              </w:rPr>
              <w:t xml:space="preserve"> Meanchey Provinces.</w:t>
            </w:r>
          </w:p>
        </w:tc>
        <w:tc>
          <w:tcPr>
            <w:tcW w:w="6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2020</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44</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99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759360</w:t>
            </w:r>
          </w:p>
        </w:tc>
        <w:tc>
          <w:tcPr>
            <w:tcW w:w="8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100000</w:t>
            </w:r>
          </w:p>
        </w:tc>
        <w:tc>
          <w:tcPr>
            <w:tcW w:w="99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121204</w:t>
            </w: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406"/>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Tropical cyclone</w:t>
            </w:r>
          </w:p>
        </w:tc>
        <w:tc>
          <w:tcPr>
            <w:tcW w:w="2814"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Battambang, Preah Sihanouk and Koh Kong Provinces.</w:t>
            </w:r>
          </w:p>
        </w:tc>
        <w:tc>
          <w:tcPr>
            <w:tcW w:w="6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2020</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99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8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99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BF4AA8" w:rsidRPr="00BF4AA8" w:rsidTr="005F1F5C">
        <w:trPr>
          <w:trHeight w:val="680"/>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Flood (General)</w:t>
            </w:r>
          </w:p>
        </w:tc>
        <w:tc>
          <w:tcPr>
            <w:tcW w:w="2814"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roofErr w:type="spellStart"/>
            <w:r w:rsidRPr="00BF4AA8">
              <w:rPr>
                <w:rFonts w:ascii="Arial" w:hAnsi="Arial" w:cs="Arial"/>
                <w:color w:val="000000"/>
                <w:sz w:val="22"/>
                <w:szCs w:val="22"/>
              </w:rPr>
              <w:t>Poipet</w:t>
            </w:r>
            <w:proofErr w:type="spellEnd"/>
            <w:r w:rsidRPr="00BF4AA8">
              <w:rPr>
                <w:rFonts w:ascii="Arial" w:hAnsi="Arial" w:cs="Arial"/>
                <w:color w:val="000000"/>
                <w:sz w:val="22"/>
                <w:szCs w:val="22"/>
              </w:rPr>
              <w:t xml:space="preserve"> and </w:t>
            </w:r>
            <w:proofErr w:type="spellStart"/>
            <w:r w:rsidRPr="00BF4AA8">
              <w:rPr>
                <w:rFonts w:ascii="Arial" w:hAnsi="Arial" w:cs="Arial"/>
                <w:color w:val="000000"/>
                <w:sz w:val="22"/>
                <w:szCs w:val="22"/>
              </w:rPr>
              <w:t>Malai</w:t>
            </w:r>
            <w:proofErr w:type="spellEnd"/>
            <w:r w:rsidRPr="00BF4AA8">
              <w:rPr>
                <w:rFonts w:ascii="Arial" w:hAnsi="Arial" w:cs="Arial"/>
                <w:color w:val="000000"/>
                <w:sz w:val="22"/>
                <w:szCs w:val="22"/>
              </w:rPr>
              <w:t xml:space="preserve"> districts (Banteay Meanchey Province)</w:t>
            </w:r>
          </w:p>
        </w:tc>
        <w:tc>
          <w:tcPr>
            <w:tcW w:w="6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2021</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99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500</w:t>
            </w:r>
          </w:p>
        </w:tc>
        <w:tc>
          <w:tcPr>
            <w:tcW w:w="8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99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Flood (General)</w:t>
            </w:r>
          </w:p>
        </w:tc>
        <w:tc>
          <w:tcPr>
            <w:tcW w:w="2814"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 xml:space="preserve">Kampong </w:t>
            </w:r>
            <w:proofErr w:type="spellStart"/>
            <w:r w:rsidRPr="00BF4AA8">
              <w:rPr>
                <w:rFonts w:ascii="Arial" w:hAnsi="Arial" w:cs="Arial"/>
                <w:color w:val="000000"/>
                <w:sz w:val="22"/>
                <w:szCs w:val="22"/>
              </w:rPr>
              <w:t>Speu</w:t>
            </w:r>
            <w:proofErr w:type="spellEnd"/>
            <w:r w:rsidRPr="00BF4AA8">
              <w:rPr>
                <w:rFonts w:ascii="Arial" w:hAnsi="Arial" w:cs="Arial"/>
                <w:color w:val="000000"/>
                <w:sz w:val="22"/>
                <w:szCs w:val="22"/>
              </w:rPr>
              <w:t xml:space="preserve"> Province</w:t>
            </w:r>
          </w:p>
        </w:tc>
        <w:tc>
          <w:tcPr>
            <w:tcW w:w="6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2021</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99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225</w:t>
            </w:r>
          </w:p>
        </w:tc>
        <w:tc>
          <w:tcPr>
            <w:tcW w:w="8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99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BF4AA8" w:rsidRPr="00BF4AA8" w:rsidTr="005F1F5C">
        <w:trPr>
          <w:trHeight w:val="1020"/>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Flood (General)</w:t>
            </w:r>
          </w:p>
        </w:tc>
        <w:tc>
          <w:tcPr>
            <w:tcW w:w="2814"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roofErr w:type="spellStart"/>
            <w:r w:rsidRPr="00BF4AA8">
              <w:rPr>
                <w:rFonts w:ascii="Arial" w:hAnsi="Arial" w:cs="Arial"/>
                <w:color w:val="000000"/>
                <w:sz w:val="22"/>
                <w:szCs w:val="22"/>
              </w:rPr>
              <w:t>Daun</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Kok</w:t>
            </w:r>
            <w:proofErr w:type="spellEnd"/>
            <w:r w:rsidRPr="00BF4AA8">
              <w:rPr>
                <w:rFonts w:ascii="Arial" w:hAnsi="Arial" w:cs="Arial"/>
                <w:color w:val="000000"/>
                <w:sz w:val="22"/>
                <w:szCs w:val="22"/>
              </w:rPr>
              <w:t xml:space="preserve"> and </w:t>
            </w:r>
            <w:proofErr w:type="spellStart"/>
            <w:r w:rsidRPr="00BF4AA8">
              <w:rPr>
                <w:rFonts w:ascii="Arial" w:hAnsi="Arial" w:cs="Arial"/>
                <w:color w:val="000000"/>
                <w:sz w:val="22"/>
                <w:szCs w:val="22"/>
              </w:rPr>
              <w:t>Anlong</w:t>
            </w:r>
            <w:proofErr w:type="spellEnd"/>
            <w:r w:rsidRPr="00BF4AA8">
              <w:rPr>
                <w:rFonts w:ascii="Arial" w:hAnsi="Arial" w:cs="Arial"/>
                <w:color w:val="000000"/>
                <w:sz w:val="22"/>
                <w:szCs w:val="22"/>
              </w:rPr>
              <w:t xml:space="preserve"> </w:t>
            </w:r>
            <w:proofErr w:type="spellStart"/>
            <w:r w:rsidRPr="00BF4AA8">
              <w:rPr>
                <w:rFonts w:ascii="Arial" w:hAnsi="Arial" w:cs="Arial"/>
                <w:color w:val="000000"/>
                <w:sz w:val="22"/>
                <w:szCs w:val="22"/>
              </w:rPr>
              <w:t>Svay</w:t>
            </w:r>
            <w:proofErr w:type="spellEnd"/>
            <w:r w:rsidRPr="00BF4AA8">
              <w:rPr>
                <w:rFonts w:ascii="Arial" w:hAnsi="Arial" w:cs="Arial"/>
                <w:color w:val="000000"/>
                <w:sz w:val="22"/>
                <w:szCs w:val="22"/>
              </w:rPr>
              <w:t xml:space="preserve"> villages, Sangkat Boeung Thom, Khan </w:t>
            </w:r>
            <w:proofErr w:type="spellStart"/>
            <w:r w:rsidRPr="00BF4AA8">
              <w:rPr>
                <w:rFonts w:ascii="Arial" w:hAnsi="Arial" w:cs="Arial"/>
                <w:color w:val="000000"/>
                <w:sz w:val="22"/>
                <w:szCs w:val="22"/>
              </w:rPr>
              <w:t>Kampoul</w:t>
            </w:r>
            <w:proofErr w:type="spellEnd"/>
            <w:r w:rsidRPr="00BF4AA8">
              <w:rPr>
                <w:rFonts w:ascii="Arial" w:hAnsi="Arial" w:cs="Arial"/>
                <w:color w:val="000000"/>
                <w:sz w:val="22"/>
                <w:szCs w:val="22"/>
              </w:rPr>
              <w:t>, Phnom Penh</w:t>
            </w:r>
          </w:p>
        </w:tc>
        <w:tc>
          <w:tcPr>
            <w:tcW w:w="6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2021</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99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12500</w:t>
            </w:r>
          </w:p>
        </w:tc>
        <w:tc>
          <w:tcPr>
            <w:tcW w:w="8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99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83"/>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Severe weather</w:t>
            </w:r>
          </w:p>
        </w:tc>
        <w:tc>
          <w:tcPr>
            <w:tcW w:w="2814"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 xml:space="preserve">Banteay </w:t>
            </w:r>
            <w:proofErr w:type="spellStart"/>
            <w:r w:rsidRPr="00BF4AA8">
              <w:rPr>
                <w:rFonts w:ascii="Arial" w:hAnsi="Arial" w:cs="Arial"/>
                <w:color w:val="000000"/>
                <w:sz w:val="22"/>
                <w:szCs w:val="22"/>
              </w:rPr>
              <w:t>Ampil</w:t>
            </w:r>
            <w:proofErr w:type="spellEnd"/>
            <w:r w:rsidRPr="00BF4AA8">
              <w:rPr>
                <w:rFonts w:ascii="Arial" w:hAnsi="Arial" w:cs="Arial"/>
                <w:color w:val="000000"/>
                <w:sz w:val="22"/>
                <w:szCs w:val="22"/>
              </w:rPr>
              <w:t xml:space="preserve"> district (</w:t>
            </w:r>
            <w:proofErr w:type="spellStart"/>
            <w:r w:rsidRPr="00BF4AA8">
              <w:rPr>
                <w:rFonts w:ascii="Arial" w:hAnsi="Arial" w:cs="Arial"/>
                <w:color w:val="000000"/>
                <w:sz w:val="22"/>
                <w:szCs w:val="22"/>
              </w:rPr>
              <w:t>Oddar</w:t>
            </w:r>
            <w:proofErr w:type="spellEnd"/>
            <w:r w:rsidRPr="00BF4AA8">
              <w:rPr>
                <w:rFonts w:ascii="Arial" w:hAnsi="Arial" w:cs="Arial"/>
                <w:color w:val="000000"/>
                <w:sz w:val="22"/>
                <w:szCs w:val="22"/>
              </w:rPr>
              <w:t xml:space="preserve"> Meanchey province); Battambang province; </w:t>
            </w:r>
            <w:proofErr w:type="spellStart"/>
            <w:r w:rsidRPr="00BF4AA8">
              <w:rPr>
                <w:rFonts w:ascii="Arial" w:hAnsi="Arial" w:cs="Arial"/>
                <w:color w:val="000000"/>
                <w:sz w:val="22"/>
                <w:szCs w:val="22"/>
              </w:rPr>
              <w:t>Krakor</w:t>
            </w:r>
            <w:proofErr w:type="spellEnd"/>
            <w:r w:rsidRPr="00BF4AA8">
              <w:rPr>
                <w:rFonts w:ascii="Arial" w:hAnsi="Arial" w:cs="Arial"/>
                <w:color w:val="000000"/>
                <w:sz w:val="22"/>
                <w:szCs w:val="22"/>
              </w:rPr>
              <w:t xml:space="preserve"> District (</w:t>
            </w:r>
            <w:proofErr w:type="spellStart"/>
            <w:r w:rsidRPr="00BF4AA8">
              <w:rPr>
                <w:rFonts w:ascii="Arial" w:hAnsi="Arial" w:cs="Arial"/>
                <w:color w:val="000000"/>
                <w:sz w:val="22"/>
                <w:szCs w:val="22"/>
              </w:rPr>
              <w:t>Pursat</w:t>
            </w:r>
            <w:proofErr w:type="spellEnd"/>
            <w:r w:rsidRPr="00BF4AA8">
              <w:rPr>
                <w:rFonts w:ascii="Arial" w:hAnsi="Arial" w:cs="Arial"/>
                <w:color w:val="000000"/>
                <w:sz w:val="22"/>
                <w:szCs w:val="22"/>
              </w:rPr>
              <w:t xml:space="preserve"> province)</w:t>
            </w:r>
          </w:p>
        </w:tc>
        <w:tc>
          <w:tcPr>
            <w:tcW w:w="6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2021</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w:t>
            </w:r>
          </w:p>
        </w:tc>
        <w:tc>
          <w:tcPr>
            <w:tcW w:w="99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500</w:t>
            </w:r>
          </w:p>
        </w:tc>
        <w:tc>
          <w:tcPr>
            <w:tcW w:w="8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99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BF4AA8" w:rsidRPr="00BF4AA8" w:rsidTr="005F1F5C">
        <w:trPr>
          <w:trHeight w:val="680"/>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Flood (General)</w:t>
            </w:r>
          </w:p>
        </w:tc>
        <w:tc>
          <w:tcPr>
            <w:tcW w:w="2814"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 xml:space="preserve">Meanchey, </w:t>
            </w:r>
            <w:proofErr w:type="spellStart"/>
            <w:r w:rsidRPr="00BF4AA8">
              <w:rPr>
                <w:rFonts w:ascii="Arial" w:hAnsi="Arial" w:cs="Arial"/>
                <w:color w:val="000000"/>
                <w:sz w:val="22"/>
                <w:szCs w:val="22"/>
              </w:rPr>
              <w:t>Oddar</w:t>
            </w:r>
            <w:proofErr w:type="spellEnd"/>
            <w:r w:rsidRPr="00BF4AA8">
              <w:rPr>
                <w:rFonts w:ascii="Arial" w:hAnsi="Arial" w:cs="Arial"/>
                <w:color w:val="000000"/>
                <w:sz w:val="22"/>
                <w:szCs w:val="22"/>
              </w:rPr>
              <w:t xml:space="preserve"> Meanchey Province</w:t>
            </w:r>
          </w:p>
        </w:tc>
        <w:tc>
          <w:tcPr>
            <w:tcW w:w="6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2022</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99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167770</w:t>
            </w:r>
          </w:p>
        </w:tc>
        <w:tc>
          <w:tcPr>
            <w:tcW w:w="8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99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r w:rsidR="00BF4AA8" w:rsidRPr="00BF4AA8" w:rsidTr="005F1F5C">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Storm surge</w:t>
            </w:r>
          </w:p>
        </w:tc>
        <w:tc>
          <w:tcPr>
            <w:tcW w:w="2814" w:type="dxa"/>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National</w:t>
            </w:r>
          </w:p>
        </w:tc>
        <w:tc>
          <w:tcPr>
            <w:tcW w:w="626"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2022</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16</w:t>
            </w:r>
          </w:p>
        </w:tc>
        <w:tc>
          <w:tcPr>
            <w:tcW w:w="7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993"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850"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992" w:type="dxa"/>
            <w:noWrap/>
            <w:hideMark/>
          </w:tcPr>
          <w:p w:rsidR="00BF4AA8" w:rsidRPr="00BF4AA8" w:rsidRDefault="00BF4AA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r>
      <w:tr w:rsidR="00BF4AA8" w:rsidRPr="00BF4AA8" w:rsidTr="005F1F5C">
        <w:trPr>
          <w:trHeight w:val="340"/>
        </w:trPr>
        <w:tc>
          <w:tcPr>
            <w:cnfStyle w:val="001000000000" w:firstRow="0" w:lastRow="0" w:firstColumn="1" w:lastColumn="0" w:oddVBand="0" w:evenVBand="0" w:oddHBand="0" w:evenHBand="0" w:firstRowFirstColumn="0" w:firstRowLastColumn="0" w:lastRowFirstColumn="0" w:lastRowLastColumn="0"/>
            <w:tcW w:w="1292" w:type="dxa"/>
            <w:noWrap/>
            <w:hideMark/>
          </w:tcPr>
          <w:p w:rsidR="00BF4AA8" w:rsidRPr="00BF4AA8" w:rsidRDefault="00BF4AA8" w:rsidP="005F1F5C">
            <w:pPr>
              <w:jc w:val="center"/>
              <w:rPr>
                <w:rFonts w:ascii="Arial" w:hAnsi="Arial" w:cs="Arial"/>
                <w:color w:val="000000"/>
                <w:sz w:val="22"/>
                <w:szCs w:val="22"/>
              </w:rPr>
            </w:pPr>
            <w:r w:rsidRPr="00BF4AA8">
              <w:rPr>
                <w:rFonts w:ascii="Arial" w:hAnsi="Arial" w:cs="Arial"/>
                <w:color w:val="000000"/>
                <w:sz w:val="22"/>
                <w:szCs w:val="22"/>
              </w:rPr>
              <w:t>Lightning/ Thunderstorms</w:t>
            </w:r>
          </w:p>
        </w:tc>
        <w:tc>
          <w:tcPr>
            <w:tcW w:w="2814" w:type="dxa"/>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National</w:t>
            </w:r>
          </w:p>
        </w:tc>
        <w:tc>
          <w:tcPr>
            <w:tcW w:w="626"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2023</w:t>
            </w: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7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c>
          <w:tcPr>
            <w:tcW w:w="993"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14100</w:t>
            </w:r>
          </w:p>
        </w:tc>
        <w:tc>
          <w:tcPr>
            <w:tcW w:w="850"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992" w:type="dxa"/>
            <w:noWrap/>
            <w:hideMark/>
          </w:tcPr>
          <w:p w:rsidR="00BF4AA8" w:rsidRPr="00BF4AA8" w:rsidRDefault="00BF4AA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
        </w:tc>
      </w:tr>
    </w:tbl>
    <w:p w:rsidR="00BF4AA8" w:rsidRPr="00BF4AA8" w:rsidRDefault="00BF4AA8" w:rsidP="00BF4AA8">
      <w:pPr>
        <w:jc w:val="both"/>
        <w:rPr>
          <w:rFonts w:ascii="Arial" w:hAnsi="Arial" w:cs="Arial"/>
          <w:i/>
          <w:iCs/>
          <w:sz w:val="22"/>
          <w:szCs w:val="22"/>
        </w:rPr>
      </w:pPr>
      <w:r w:rsidRPr="00BF4AA8">
        <w:rPr>
          <w:rFonts w:ascii="Arial" w:hAnsi="Arial" w:cs="Arial"/>
          <w:b/>
          <w:bCs/>
          <w:i/>
          <w:iCs/>
          <w:sz w:val="22"/>
          <w:szCs w:val="22"/>
        </w:rPr>
        <w:t>Source:</w:t>
      </w:r>
      <w:r w:rsidRPr="00BF4AA8">
        <w:rPr>
          <w:rFonts w:ascii="Arial" w:hAnsi="Arial" w:cs="Arial"/>
          <w:i/>
          <w:iCs/>
          <w:sz w:val="22"/>
          <w:szCs w:val="22"/>
        </w:rPr>
        <w:t xml:space="preserve"> CRED, </w:t>
      </w:r>
      <w:proofErr w:type="spellStart"/>
      <w:r w:rsidRPr="00BF4AA8">
        <w:rPr>
          <w:rFonts w:ascii="Arial" w:hAnsi="Arial" w:cs="Arial"/>
          <w:i/>
          <w:iCs/>
          <w:sz w:val="22"/>
          <w:szCs w:val="22"/>
        </w:rPr>
        <w:t>UCLouvain</w:t>
      </w:r>
      <w:proofErr w:type="spellEnd"/>
      <w:r w:rsidRPr="00BF4AA8">
        <w:rPr>
          <w:rFonts w:ascii="Arial" w:hAnsi="Arial" w:cs="Arial"/>
          <w:i/>
          <w:iCs/>
          <w:sz w:val="22"/>
          <w:szCs w:val="22"/>
        </w:rPr>
        <w:t>, 2025. EM-DAT: The International Disaster Database [dataset]</w:t>
      </w:r>
    </w:p>
    <w:p w:rsidR="002675E0" w:rsidRPr="00BF4AA8" w:rsidRDefault="002675E0" w:rsidP="00BF4AA8">
      <w:pPr>
        <w:pStyle w:val="Heading1"/>
      </w:pPr>
      <w:bookmarkStart w:id="18" w:name="_Toc216681451"/>
      <w:r w:rsidRPr="00BF4AA8">
        <w:t>Annex 3</w:t>
      </w:r>
      <w:bookmarkEnd w:id="18"/>
    </w:p>
    <w:p w:rsidR="00704B24" w:rsidRPr="00BF4AA8" w:rsidRDefault="00704B24" w:rsidP="00BF4AA8">
      <w:pPr>
        <w:pStyle w:val="Heading2"/>
        <w:keepNext/>
        <w:adjustRightInd w:val="0"/>
        <w:snapToGrid w:val="0"/>
        <w:spacing w:before="240" w:beforeAutospacing="0" w:after="120" w:afterAutospacing="0"/>
        <w:rPr>
          <w:rFonts w:ascii="Arial" w:hAnsi="Arial" w:cs="Arial"/>
          <w:color w:val="0070C0"/>
          <w:sz w:val="22"/>
          <w:szCs w:val="22"/>
        </w:rPr>
      </w:pPr>
      <w:bookmarkStart w:id="19" w:name="_Toc216681452"/>
      <w:r w:rsidRPr="00BF4AA8">
        <w:rPr>
          <w:rFonts w:ascii="Arial" w:hAnsi="Arial" w:cs="Arial"/>
          <w:color w:val="0070C0"/>
          <w:sz w:val="22"/>
          <w:szCs w:val="22"/>
        </w:rPr>
        <w:t>Annex 3-</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Annex_3-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1</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Dataset and analysis framework, and complimentary note</w:t>
      </w:r>
      <w:bookmarkEnd w:id="19"/>
      <w:r w:rsidRPr="00BF4AA8">
        <w:rPr>
          <w:rFonts w:ascii="Arial" w:hAnsi="Arial" w:cs="Arial"/>
          <w:color w:val="0070C0"/>
          <w:sz w:val="22"/>
          <w:szCs w:val="22"/>
        </w:rPr>
        <w:t xml:space="preserve"> </w:t>
      </w:r>
    </w:p>
    <w:p w:rsidR="00704B24" w:rsidRPr="00BF4AA8" w:rsidRDefault="00704B24" w:rsidP="00704B24">
      <w:pPr>
        <w:pStyle w:val="Caption"/>
        <w:jc w:val="both"/>
        <w:rPr>
          <w:rFonts w:ascii="Arial" w:hAnsi="Arial" w:cs="Arial"/>
          <w:b/>
          <w:bCs/>
          <w:i w:val="0"/>
          <w:iCs w:val="0"/>
          <w:color w:val="000000" w:themeColor="text1"/>
          <w:sz w:val="22"/>
          <w:szCs w:val="22"/>
        </w:rPr>
      </w:pPr>
      <w:r w:rsidRPr="00BF4AA8">
        <w:rPr>
          <w:rFonts w:ascii="Arial" w:hAnsi="Arial" w:cs="Arial"/>
          <w:b/>
          <w:bCs/>
          <w:i w:val="0"/>
          <w:iCs w:val="0"/>
          <w:color w:val="000000" w:themeColor="text1"/>
          <w:sz w:val="22"/>
          <w:szCs w:val="22"/>
        </w:rPr>
        <w:t>A.  Core Water-Quality Indicators</w:t>
      </w:r>
    </w:p>
    <w:p w:rsidR="00704B24" w:rsidRPr="00BF4AA8" w:rsidRDefault="00704B24" w:rsidP="00704B24">
      <w:pPr>
        <w:pStyle w:val="NormalWeb"/>
        <w:jc w:val="both"/>
        <w:rPr>
          <w:rStyle w:val="relative"/>
          <w:rFonts w:ascii="Arial" w:hAnsi="Arial" w:cs="Arial"/>
          <w:sz w:val="22"/>
          <w:szCs w:val="22"/>
        </w:rPr>
      </w:pPr>
      <w:r w:rsidRPr="00BF4AA8">
        <w:rPr>
          <w:rFonts w:ascii="Arial" w:hAnsi="Arial" w:cs="Arial"/>
          <w:sz w:val="22"/>
          <w:szCs w:val="22"/>
        </w:rPr>
        <w:t xml:space="preserve">This annex consolidates the core water-quality indicators used to diagnose organic pollution, nutrient enrichment and microbial contamination in Cambodia’s rivers, </w:t>
      </w:r>
      <w:proofErr w:type="gramStart"/>
      <w:r w:rsidRPr="00BF4AA8">
        <w:rPr>
          <w:rFonts w:ascii="Arial" w:hAnsi="Arial" w:cs="Arial"/>
          <w:sz w:val="22"/>
          <w:szCs w:val="22"/>
        </w:rPr>
        <w:t>estuaries</w:t>
      </w:r>
      <w:proofErr w:type="gramEnd"/>
      <w:r w:rsidRPr="00BF4AA8">
        <w:rPr>
          <w:rFonts w:ascii="Arial" w:hAnsi="Arial" w:cs="Arial"/>
          <w:sz w:val="22"/>
          <w:szCs w:val="22"/>
        </w:rPr>
        <w:t xml:space="preserve"> and coastal waters. It draws primarily on </w:t>
      </w:r>
      <w:proofErr w:type="spellStart"/>
      <w:r w:rsidRPr="00BF4AA8">
        <w:rPr>
          <w:rFonts w:ascii="Arial" w:hAnsi="Arial" w:cs="Arial"/>
          <w:sz w:val="22"/>
          <w:szCs w:val="22"/>
        </w:rPr>
        <w:t>MoE’s</w:t>
      </w:r>
      <w:proofErr w:type="spellEnd"/>
      <w:r w:rsidRPr="00BF4AA8">
        <w:rPr>
          <w:rFonts w:ascii="Arial" w:hAnsi="Arial" w:cs="Arial"/>
          <w:sz w:val="22"/>
          <w:szCs w:val="22"/>
        </w:rPr>
        <w:t xml:space="preserve"> river and coastal monitoring network, the Mekong River Commission’s Water Quality Monitoring Network (WQMN), and JICA drainage and sewerage studies in Phnom Penh. These datasets provide multi-year information on BOD, TSS, total nitrogen (TN), total phosphorus (TP), and fecal coliforms/E. coli, which together underpin the RQ and WQI analyses in the chapter. </w:t>
      </w:r>
    </w:p>
    <w:p w:rsidR="00704B24" w:rsidRPr="00BF4AA8" w:rsidRDefault="00704B24" w:rsidP="00704B24">
      <w:pPr>
        <w:pStyle w:val="NormalWeb"/>
        <w:jc w:val="both"/>
        <w:rPr>
          <w:rFonts w:ascii="Arial" w:hAnsi="Arial" w:cs="Arial"/>
          <w:sz w:val="22"/>
          <w:szCs w:val="22"/>
        </w:rPr>
      </w:pPr>
      <w:r w:rsidRPr="00BF4AA8">
        <w:rPr>
          <w:rFonts w:ascii="Arial" w:hAnsi="Arial" w:cs="Arial"/>
          <w:sz w:val="22"/>
          <w:szCs w:val="22"/>
        </w:rPr>
        <w:t xml:space="preserve">The indicators </w:t>
      </w:r>
      <w:proofErr w:type="gramStart"/>
      <w:r w:rsidRPr="00BF4AA8">
        <w:rPr>
          <w:rFonts w:ascii="Arial" w:hAnsi="Arial" w:cs="Arial"/>
          <w:sz w:val="22"/>
          <w:szCs w:val="22"/>
        </w:rPr>
        <w:t>are used</w:t>
      </w:r>
      <w:proofErr w:type="gramEnd"/>
      <w:r w:rsidRPr="00BF4AA8">
        <w:rPr>
          <w:rFonts w:ascii="Arial" w:hAnsi="Arial" w:cs="Arial"/>
          <w:sz w:val="22"/>
          <w:szCs w:val="22"/>
        </w:rPr>
        <w:t xml:space="preserve"> to detect hotspots where nutrient and microbial concentrations exceed Cambodian and ASEAN standards, and to trace land-based pollution pathways from Phnom Penh and major tributaries to coastal estuaries such as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w:t>
      </w:r>
      <w:proofErr w:type="spellStart"/>
      <w:r w:rsidRPr="00BF4AA8">
        <w:rPr>
          <w:rFonts w:ascii="Arial" w:hAnsi="Arial" w:cs="Arial"/>
          <w:sz w:val="22"/>
          <w:szCs w:val="22"/>
        </w:rPr>
        <w:t>Kep</w:t>
      </w:r>
      <w:proofErr w:type="spellEnd"/>
      <w:r w:rsidRPr="00BF4AA8">
        <w:rPr>
          <w:rFonts w:ascii="Arial" w:hAnsi="Arial" w:cs="Arial"/>
          <w:sz w:val="22"/>
          <w:szCs w:val="22"/>
        </w:rPr>
        <w:t xml:space="preserve"> and </w:t>
      </w:r>
      <w:proofErr w:type="spellStart"/>
      <w:r w:rsidRPr="00BF4AA8">
        <w:rPr>
          <w:rFonts w:ascii="Arial" w:hAnsi="Arial" w:cs="Arial"/>
          <w:sz w:val="22"/>
          <w:szCs w:val="22"/>
        </w:rPr>
        <w:t>Prek</w:t>
      </w:r>
      <w:proofErr w:type="spellEnd"/>
      <w:r w:rsidRPr="00BF4AA8">
        <w:rPr>
          <w:rFonts w:ascii="Arial" w:hAnsi="Arial" w:cs="Arial"/>
          <w:sz w:val="22"/>
          <w:szCs w:val="22"/>
        </w:rPr>
        <w:t xml:space="preserve"> </w:t>
      </w:r>
      <w:proofErr w:type="spellStart"/>
      <w:r w:rsidRPr="00BF4AA8">
        <w:rPr>
          <w:rFonts w:ascii="Arial" w:hAnsi="Arial" w:cs="Arial"/>
          <w:sz w:val="22"/>
          <w:szCs w:val="22"/>
        </w:rPr>
        <w:t>Toeuk</w:t>
      </w:r>
      <w:proofErr w:type="spellEnd"/>
      <w:r w:rsidRPr="00BF4AA8">
        <w:rPr>
          <w:rFonts w:ascii="Arial" w:hAnsi="Arial" w:cs="Arial"/>
          <w:sz w:val="22"/>
          <w:szCs w:val="22"/>
        </w:rPr>
        <w:t xml:space="preserve"> Sap. Time-series trends (2010–2023) help identify whether conditions are improving, stable or deteriorating, and provide an empirical basis for classifying risk levels and </w:t>
      </w:r>
      <w:proofErr w:type="spellStart"/>
      <w:r w:rsidRPr="00BF4AA8">
        <w:rPr>
          <w:rFonts w:ascii="Arial" w:hAnsi="Arial" w:cs="Arial"/>
          <w:sz w:val="22"/>
          <w:szCs w:val="22"/>
        </w:rPr>
        <w:t>prioritising</w:t>
      </w:r>
      <w:proofErr w:type="spellEnd"/>
      <w:r w:rsidRPr="00BF4AA8">
        <w:rPr>
          <w:rFonts w:ascii="Arial" w:hAnsi="Arial" w:cs="Arial"/>
          <w:sz w:val="22"/>
          <w:szCs w:val="22"/>
        </w:rPr>
        <w:t xml:space="preserve"> interventions.</w:t>
      </w:r>
    </w:p>
    <w:p w:rsidR="00704B24" w:rsidRPr="00BF4AA8" w:rsidRDefault="00704B24" w:rsidP="00704B24">
      <w:pPr>
        <w:pStyle w:val="Caption"/>
        <w:keepNext/>
        <w:spacing w:before="240" w:after="120"/>
        <w:rPr>
          <w:rFonts w:ascii="Arial" w:hAnsi="Arial" w:cs="Arial"/>
          <w:color w:val="002060"/>
          <w:sz w:val="22"/>
          <w:szCs w:val="22"/>
        </w:rPr>
      </w:pPr>
      <w:r w:rsidRPr="00BF4AA8">
        <w:rPr>
          <w:rFonts w:ascii="Arial" w:hAnsi="Arial" w:cs="Arial"/>
          <w:color w:val="002060"/>
          <w:sz w:val="22"/>
          <w:szCs w:val="22"/>
        </w:rPr>
        <w:t>Annex Table 3-</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Annex_Table_3-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1</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Core water-quality indicators: data sources, metadata, and assessment method</w:t>
      </w:r>
    </w:p>
    <w:tbl>
      <w:tblPr>
        <w:tblStyle w:val="GridTable4-Accent5"/>
        <w:tblW w:w="0" w:type="auto"/>
        <w:tblLook w:val="04A0" w:firstRow="1" w:lastRow="0" w:firstColumn="1" w:lastColumn="0" w:noHBand="0" w:noVBand="1"/>
      </w:tblPr>
      <w:tblGrid>
        <w:gridCol w:w="1415"/>
        <w:gridCol w:w="7073"/>
      </w:tblGrid>
      <w:tr w:rsidR="00704B24"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hideMark/>
          </w:tcPr>
          <w:p w:rsidR="00704B24" w:rsidRPr="00BF4AA8" w:rsidRDefault="00704B24" w:rsidP="005F1F5C">
            <w:pPr>
              <w:jc w:val="center"/>
              <w:rPr>
                <w:rFonts w:ascii="Arial" w:hAnsi="Arial" w:cs="Arial"/>
                <w:sz w:val="22"/>
                <w:szCs w:val="22"/>
              </w:rPr>
            </w:pPr>
            <w:r w:rsidRPr="00BF4AA8">
              <w:rPr>
                <w:rStyle w:val="Strong"/>
                <w:rFonts w:ascii="Arial" w:hAnsi="Arial" w:cs="Arial"/>
                <w:sz w:val="22"/>
                <w:szCs w:val="22"/>
              </w:rPr>
              <w:t>Category</w:t>
            </w:r>
          </w:p>
        </w:tc>
        <w:tc>
          <w:tcPr>
            <w:tcW w:w="7597" w:type="dxa"/>
            <w:hideMark/>
          </w:tcPr>
          <w:p w:rsidR="00704B24" w:rsidRPr="00BF4AA8" w:rsidRDefault="00704B24"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b/>
                <w:bCs/>
                <w:sz w:val="22"/>
                <w:szCs w:val="22"/>
              </w:rPr>
              <w:t>Details</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hideMark/>
          </w:tcPr>
          <w:p w:rsidR="00704B24" w:rsidRPr="00BF4AA8" w:rsidRDefault="00704B24" w:rsidP="005F1F5C">
            <w:pPr>
              <w:jc w:val="both"/>
              <w:rPr>
                <w:rFonts w:ascii="Arial" w:hAnsi="Arial" w:cs="Arial"/>
                <w:b w:val="0"/>
                <w:bCs w:val="0"/>
                <w:sz w:val="22"/>
                <w:szCs w:val="22"/>
              </w:rPr>
            </w:pPr>
            <w:r w:rsidRPr="00BF4AA8">
              <w:rPr>
                <w:rStyle w:val="Strong"/>
                <w:rFonts w:ascii="Arial" w:hAnsi="Arial" w:cs="Arial"/>
                <w:b/>
                <w:bCs/>
                <w:sz w:val="22"/>
                <w:szCs w:val="22"/>
              </w:rPr>
              <w:t>Data Sources</w:t>
            </w:r>
          </w:p>
        </w:tc>
        <w:tc>
          <w:tcPr>
            <w:tcW w:w="7597" w:type="dxa"/>
            <w:hideMark/>
          </w:tcPr>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xml:space="preserve"> river &amp; coastal monitoring network (BOD, TSS, TN, TP, FC; c.2015–2023) </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MRC WQMN (Mekong, Tonle Sap, </w:t>
            </w:r>
            <w:proofErr w:type="spellStart"/>
            <w:r w:rsidRPr="00BF4AA8">
              <w:rPr>
                <w:rFonts w:ascii="Arial" w:hAnsi="Arial" w:cs="Arial"/>
                <w:sz w:val="22"/>
                <w:szCs w:val="22"/>
              </w:rPr>
              <w:t>Bassac</w:t>
            </w:r>
            <w:proofErr w:type="spellEnd"/>
            <w:r w:rsidRPr="00BF4AA8">
              <w:rPr>
                <w:rFonts w:ascii="Arial" w:hAnsi="Arial" w:cs="Arial"/>
                <w:sz w:val="22"/>
                <w:szCs w:val="22"/>
              </w:rPr>
              <w:t xml:space="preserve"> stations; nutrients &amp; coliforms; 2012–2022)</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JICA drainage &amp; sewerage studies for Phnom Penh canals (</w:t>
            </w:r>
            <w:proofErr w:type="spellStart"/>
            <w:r w:rsidRPr="00BF4AA8">
              <w:rPr>
                <w:rFonts w:ascii="Arial" w:hAnsi="Arial" w:cs="Arial"/>
                <w:sz w:val="22"/>
                <w:szCs w:val="22"/>
              </w:rPr>
              <w:t>Trabek</w:t>
            </w:r>
            <w:proofErr w:type="spellEnd"/>
            <w:r w:rsidRPr="00BF4AA8">
              <w:rPr>
                <w:rFonts w:ascii="Arial" w:hAnsi="Arial" w:cs="Arial"/>
                <w:sz w:val="22"/>
                <w:szCs w:val="22"/>
              </w:rPr>
              <w:t xml:space="preserve">, </w:t>
            </w:r>
            <w:proofErr w:type="spellStart"/>
            <w:r w:rsidRPr="00BF4AA8">
              <w:rPr>
                <w:rFonts w:ascii="Arial" w:hAnsi="Arial" w:cs="Arial"/>
                <w:sz w:val="22"/>
                <w:szCs w:val="22"/>
              </w:rPr>
              <w:t>Tumpun</w:t>
            </w:r>
            <w:proofErr w:type="spellEnd"/>
            <w:r w:rsidRPr="00BF4AA8">
              <w:rPr>
                <w:rFonts w:ascii="Arial" w:hAnsi="Arial" w:cs="Arial"/>
                <w:sz w:val="22"/>
                <w:szCs w:val="22"/>
              </w:rPr>
              <w:t>; 2010–2013)</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ADB/</w:t>
            </w:r>
            <w:proofErr w:type="spellStart"/>
            <w:r w:rsidRPr="00BF4AA8">
              <w:rPr>
                <w:rFonts w:ascii="Arial" w:hAnsi="Arial" w:cs="Arial"/>
                <w:sz w:val="22"/>
                <w:szCs w:val="22"/>
              </w:rPr>
              <w:t>MoE</w:t>
            </w:r>
            <w:proofErr w:type="spellEnd"/>
            <w:r w:rsidRPr="00BF4AA8">
              <w:rPr>
                <w:rFonts w:ascii="Arial" w:hAnsi="Arial" w:cs="Arial"/>
                <w:sz w:val="22"/>
                <w:szCs w:val="22"/>
              </w:rPr>
              <w:t xml:space="preserve"> special surveys in </w:t>
            </w:r>
            <w:proofErr w:type="spellStart"/>
            <w:r w:rsidRPr="00BF4AA8">
              <w:rPr>
                <w:rFonts w:ascii="Arial" w:hAnsi="Arial" w:cs="Arial"/>
                <w:sz w:val="22"/>
                <w:szCs w:val="22"/>
              </w:rPr>
              <w:t>Kep</w:t>
            </w:r>
            <w:proofErr w:type="spellEnd"/>
            <w:r w:rsidRPr="00BF4AA8">
              <w:rPr>
                <w:rFonts w:ascii="Arial" w:hAnsi="Arial" w:cs="Arial"/>
                <w:sz w:val="22"/>
                <w:szCs w:val="22"/>
              </w:rPr>
              <w:t xml:space="preserve"> and selected estuaries. </w:t>
            </w:r>
          </w:p>
        </w:tc>
      </w:tr>
      <w:tr w:rsidR="00704B24" w:rsidRPr="00BF4AA8" w:rsidTr="005F1F5C">
        <w:tc>
          <w:tcPr>
            <w:cnfStyle w:val="001000000000" w:firstRow="0" w:lastRow="0" w:firstColumn="1" w:lastColumn="0" w:oddVBand="0" w:evenVBand="0" w:oddHBand="0" w:evenHBand="0" w:firstRowFirstColumn="0" w:firstRowLastColumn="0" w:lastRowFirstColumn="0" w:lastRowLastColumn="0"/>
            <w:tcW w:w="1413" w:type="dxa"/>
            <w:hideMark/>
          </w:tcPr>
          <w:p w:rsidR="00704B24" w:rsidRPr="00BF4AA8" w:rsidRDefault="00704B24" w:rsidP="005F1F5C">
            <w:pPr>
              <w:jc w:val="both"/>
              <w:rPr>
                <w:rFonts w:ascii="Arial" w:hAnsi="Arial" w:cs="Arial"/>
                <w:sz w:val="22"/>
                <w:szCs w:val="22"/>
              </w:rPr>
            </w:pPr>
            <w:r w:rsidRPr="00BF4AA8">
              <w:rPr>
                <w:rStyle w:val="Strong"/>
                <w:rFonts w:ascii="Arial" w:hAnsi="Arial" w:cs="Arial"/>
                <w:sz w:val="22"/>
                <w:szCs w:val="22"/>
              </w:rPr>
              <w:t>Metadata</w:t>
            </w:r>
          </w:p>
        </w:tc>
        <w:tc>
          <w:tcPr>
            <w:tcW w:w="7597" w:type="dxa"/>
            <w:hideMark/>
          </w:tcPr>
          <w:p w:rsidR="00704B24" w:rsidRPr="00BF4AA8" w:rsidRDefault="00704B24" w:rsidP="00704B24">
            <w:pPr>
              <w:pStyle w:val="ListParagraph"/>
              <w:numPr>
                <w:ilvl w:val="0"/>
                <w:numId w:val="146"/>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Parameters: BOD, TSS, TN, TP, fecal coliforms/E. coli.</w:t>
            </w:r>
          </w:p>
          <w:p w:rsidR="00704B24" w:rsidRPr="00BF4AA8" w:rsidRDefault="00704B24" w:rsidP="00704B24">
            <w:pPr>
              <w:pStyle w:val="ListParagraph"/>
              <w:numPr>
                <w:ilvl w:val="0"/>
                <w:numId w:val="146"/>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Units: mg/L (BOD, TSS, TN, TP); CFU/100 mL or MPN/100 mL (microbial). </w:t>
            </w:r>
          </w:p>
          <w:p w:rsidR="00704B24" w:rsidRPr="00BF4AA8" w:rsidRDefault="00704B24" w:rsidP="00704B24">
            <w:pPr>
              <w:pStyle w:val="ListParagraph"/>
              <w:numPr>
                <w:ilvl w:val="0"/>
                <w:numId w:val="146"/>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Coverage: main Mekong–Tonle Sap–</w:t>
            </w:r>
            <w:proofErr w:type="spellStart"/>
            <w:r w:rsidRPr="00BF4AA8">
              <w:rPr>
                <w:rFonts w:ascii="Arial" w:hAnsi="Arial" w:cs="Arial"/>
                <w:sz w:val="22"/>
                <w:szCs w:val="22"/>
              </w:rPr>
              <w:t>Bassac</w:t>
            </w:r>
            <w:proofErr w:type="spellEnd"/>
            <w:r w:rsidRPr="00BF4AA8">
              <w:rPr>
                <w:rFonts w:ascii="Arial" w:hAnsi="Arial" w:cs="Arial"/>
                <w:sz w:val="22"/>
                <w:szCs w:val="22"/>
              </w:rPr>
              <w:t xml:space="preserve"> stations plus coastal/estuarine sites in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w:t>
            </w:r>
            <w:proofErr w:type="spellStart"/>
            <w:r w:rsidRPr="00BF4AA8">
              <w:rPr>
                <w:rFonts w:ascii="Arial" w:hAnsi="Arial" w:cs="Arial"/>
                <w:sz w:val="22"/>
                <w:szCs w:val="22"/>
              </w:rPr>
              <w:t>Kep</w:t>
            </w:r>
            <w:proofErr w:type="spellEnd"/>
            <w:r w:rsidRPr="00BF4AA8">
              <w:rPr>
                <w:rFonts w:ascii="Arial" w:hAnsi="Arial" w:cs="Arial"/>
                <w:sz w:val="22"/>
                <w:szCs w:val="22"/>
              </w:rPr>
              <w:t xml:space="preserve">, Koh Kong, Preah Sihanouk. </w:t>
            </w:r>
          </w:p>
          <w:p w:rsidR="00704B24" w:rsidRPr="00BF4AA8" w:rsidRDefault="00704B24" w:rsidP="00704B24">
            <w:pPr>
              <w:pStyle w:val="ListParagraph"/>
              <w:numPr>
                <w:ilvl w:val="0"/>
                <w:numId w:val="146"/>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Frequency: </w:t>
            </w:r>
            <w:proofErr w:type="gramStart"/>
            <w:r w:rsidRPr="00BF4AA8">
              <w:rPr>
                <w:rFonts w:ascii="Arial" w:hAnsi="Arial" w:cs="Arial"/>
                <w:sz w:val="22"/>
                <w:szCs w:val="22"/>
              </w:rPr>
              <w:t>typically</w:t>
            </w:r>
            <w:proofErr w:type="gramEnd"/>
            <w:r w:rsidRPr="00BF4AA8">
              <w:rPr>
                <w:rFonts w:ascii="Arial" w:hAnsi="Arial" w:cs="Arial"/>
                <w:sz w:val="22"/>
                <w:szCs w:val="22"/>
              </w:rPr>
              <w:t xml:space="preserve"> monthly–quarterly; higher for some JICA canal datasets. </w:t>
            </w:r>
          </w:p>
          <w:p w:rsidR="00704B24" w:rsidRPr="00BF4AA8" w:rsidRDefault="00704B24" w:rsidP="00704B24">
            <w:pPr>
              <w:pStyle w:val="ListParagraph"/>
              <w:numPr>
                <w:ilvl w:val="0"/>
                <w:numId w:val="146"/>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Reference standards: Cambodian ambient water standards and ASEAN Marine Water Quality Guidelines. </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hideMark/>
          </w:tcPr>
          <w:p w:rsidR="00704B24" w:rsidRPr="00BF4AA8" w:rsidRDefault="00704B24" w:rsidP="005F1F5C">
            <w:pPr>
              <w:jc w:val="both"/>
              <w:rPr>
                <w:rFonts w:ascii="Arial" w:hAnsi="Arial" w:cs="Arial"/>
                <w:sz w:val="22"/>
                <w:szCs w:val="22"/>
              </w:rPr>
            </w:pPr>
            <w:r w:rsidRPr="00BF4AA8">
              <w:rPr>
                <w:rStyle w:val="Strong"/>
                <w:rFonts w:ascii="Arial" w:hAnsi="Arial" w:cs="Arial"/>
                <w:sz w:val="22"/>
                <w:szCs w:val="22"/>
              </w:rPr>
              <w:t>Assessment Method</w:t>
            </w:r>
          </w:p>
        </w:tc>
        <w:tc>
          <w:tcPr>
            <w:tcW w:w="7597" w:type="dxa"/>
            <w:hideMark/>
          </w:tcPr>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Compute RQ = observed / standard for each parameter and station to classify risk (RQ&lt;1 compliant; 1–2 moderate; &gt;2 high; &gt;3–5 severe).</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Derive simple Water Quality Index (WQI) classes (good–very poor) from DO, BOD, TN/TP, coliforms and TSS where data allow.</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Map hotspots where multiple parameters exceed thresholds over several years (</w:t>
            </w:r>
            <w:proofErr w:type="gramStart"/>
            <w:r w:rsidRPr="00BF4AA8">
              <w:rPr>
                <w:rFonts w:ascii="Arial" w:hAnsi="Arial" w:cs="Arial"/>
                <w:sz w:val="22"/>
                <w:szCs w:val="22"/>
              </w:rPr>
              <w:t>e.g.</w:t>
            </w:r>
            <w:proofErr w:type="gramEnd"/>
            <w:r w:rsidRPr="00BF4AA8">
              <w:rPr>
                <w:rFonts w:ascii="Arial" w:hAnsi="Arial" w:cs="Arial"/>
                <w:sz w:val="22"/>
                <w:szCs w:val="22"/>
              </w:rPr>
              <w:t xml:space="preserve"> Phnom Penh confluence,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estuary, </w:t>
            </w:r>
            <w:proofErr w:type="spellStart"/>
            <w:r w:rsidRPr="00BF4AA8">
              <w:rPr>
                <w:rFonts w:ascii="Arial" w:hAnsi="Arial" w:cs="Arial"/>
                <w:sz w:val="22"/>
                <w:szCs w:val="22"/>
              </w:rPr>
              <w:t>Prek</w:t>
            </w:r>
            <w:proofErr w:type="spellEnd"/>
            <w:r w:rsidRPr="00BF4AA8">
              <w:rPr>
                <w:rFonts w:ascii="Arial" w:hAnsi="Arial" w:cs="Arial"/>
                <w:sz w:val="22"/>
                <w:szCs w:val="22"/>
              </w:rPr>
              <w:t xml:space="preserve"> </w:t>
            </w:r>
            <w:proofErr w:type="spellStart"/>
            <w:r w:rsidRPr="00BF4AA8">
              <w:rPr>
                <w:rFonts w:ascii="Arial" w:hAnsi="Arial" w:cs="Arial"/>
                <w:sz w:val="22"/>
                <w:szCs w:val="22"/>
              </w:rPr>
              <w:t>Toeuk</w:t>
            </w:r>
            <w:proofErr w:type="spellEnd"/>
            <w:r w:rsidRPr="00BF4AA8">
              <w:rPr>
                <w:rFonts w:ascii="Arial" w:hAnsi="Arial" w:cs="Arial"/>
                <w:sz w:val="22"/>
                <w:szCs w:val="22"/>
              </w:rPr>
              <w:t xml:space="preserve"> Sap).</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Compare trends over time to judge whether nutrient and microbial loads are increasing or </w:t>
            </w:r>
            <w:proofErr w:type="spellStart"/>
            <w:r w:rsidRPr="00BF4AA8">
              <w:rPr>
                <w:rFonts w:ascii="Arial" w:hAnsi="Arial" w:cs="Arial"/>
                <w:sz w:val="22"/>
                <w:szCs w:val="22"/>
              </w:rPr>
              <w:t>stabilising</w:t>
            </w:r>
            <w:proofErr w:type="spellEnd"/>
            <w:r w:rsidRPr="00BF4AA8">
              <w:rPr>
                <w:rFonts w:ascii="Arial" w:hAnsi="Arial" w:cs="Arial"/>
                <w:sz w:val="22"/>
                <w:szCs w:val="22"/>
              </w:rPr>
              <w:t xml:space="preserve">. </w:t>
            </w:r>
          </w:p>
        </w:tc>
      </w:tr>
    </w:tbl>
    <w:p w:rsidR="00704B24" w:rsidRPr="00BF4AA8" w:rsidRDefault="00704B24" w:rsidP="00704B24">
      <w:pPr>
        <w:jc w:val="both"/>
        <w:rPr>
          <w:rFonts w:ascii="Arial" w:hAnsi="Arial" w:cs="Arial"/>
          <w:sz w:val="22"/>
          <w:szCs w:val="22"/>
        </w:rPr>
      </w:pPr>
    </w:p>
    <w:p w:rsidR="00704B24" w:rsidRPr="00BF4AA8" w:rsidRDefault="00704B24" w:rsidP="00704B24">
      <w:pPr>
        <w:jc w:val="both"/>
        <w:rPr>
          <w:rFonts w:ascii="Arial" w:hAnsi="Arial" w:cs="Arial"/>
          <w:sz w:val="22"/>
          <w:szCs w:val="22"/>
        </w:rPr>
      </w:pPr>
      <w:r w:rsidRPr="00BF4AA8">
        <w:rPr>
          <w:rFonts w:ascii="Arial" w:hAnsi="Arial" w:cs="Arial"/>
          <w:sz w:val="22"/>
          <w:szCs w:val="22"/>
        </w:rPr>
        <w:t>The combined BOD, TSS, TN, TP and coliform datasets demonstrate that chronic nutrient and microbial exceedances now affect multiple estuaries, particularly downstream of Phnom Penh and in semi-enclosed coastal bays. RQ and WQI scores highlight “poor–very poor” conditions in canals and estuaries feeding the Mekong–</w:t>
      </w:r>
      <w:proofErr w:type="spellStart"/>
      <w:r w:rsidRPr="00BF4AA8">
        <w:rPr>
          <w:rFonts w:ascii="Arial" w:hAnsi="Arial" w:cs="Arial"/>
          <w:sz w:val="22"/>
          <w:szCs w:val="22"/>
        </w:rPr>
        <w:t>Bassac</w:t>
      </w:r>
      <w:proofErr w:type="spellEnd"/>
      <w:r w:rsidRPr="00BF4AA8">
        <w:rPr>
          <w:rFonts w:ascii="Arial" w:hAnsi="Arial" w:cs="Arial"/>
          <w:sz w:val="22"/>
          <w:szCs w:val="22"/>
        </w:rPr>
        <w:t xml:space="preserve"> system and key coastal hotspots, supporting the chapter’s conclusion that untreated wastewater, </w:t>
      </w:r>
      <w:proofErr w:type="gramStart"/>
      <w:r w:rsidRPr="00BF4AA8">
        <w:rPr>
          <w:rFonts w:ascii="Arial" w:hAnsi="Arial" w:cs="Arial"/>
          <w:sz w:val="22"/>
          <w:szCs w:val="22"/>
        </w:rPr>
        <w:t>agriculture</w:t>
      </w:r>
      <w:proofErr w:type="gramEnd"/>
      <w:r w:rsidRPr="00BF4AA8">
        <w:rPr>
          <w:rFonts w:ascii="Arial" w:hAnsi="Arial" w:cs="Arial"/>
          <w:sz w:val="22"/>
          <w:szCs w:val="22"/>
        </w:rPr>
        <w:t xml:space="preserve"> and aquaculture are the dominant drivers of eutrophication and public-health risk. </w:t>
      </w:r>
    </w:p>
    <w:p w:rsidR="00704B24" w:rsidRPr="00BF4AA8" w:rsidRDefault="00704B24" w:rsidP="00704B24">
      <w:pPr>
        <w:pStyle w:val="Caption"/>
        <w:keepNext/>
        <w:spacing w:before="240" w:after="120"/>
        <w:rPr>
          <w:rFonts w:ascii="Arial" w:hAnsi="Arial" w:cs="Arial"/>
          <w:color w:val="002060"/>
          <w:sz w:val="22"/>
          <w:szCs w:val="22"/>
        </w:rPr>
      </w:pPr>
      <w:r w:rsidRPr="00BF4AA8">
        <w:rPr>
          <w:rFonts w:ascii="Arial" w:hAnsi="Arial" w:cs="Arial"/>
          <w:color w:val="002060"/>
          <w:sz w:val="22"/>
          <w:szCs w:val="22"/>
        </w:rPr>
        <w:t>Annex Table 3-</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Annex_Table_3-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2</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Water quality indicator summary (BOD, TSS, TN, TP, FC)</w:t>
      </w:r>
    </w:p>
    <w:tbl>
      <w:tblPr>
        <w:tblStyle w:val="GridTable4-Accent5"/>
        <w:tblW w:w="0" w:type="auto"/>
        <w:tblLook w:val="04A0" w:firstRow="1" w:lastRow="0" w:firstColumn="1" w:lastColumn="0" w:noHBand="0" w:noVBand="1"/>
      </w:tblPr>
      <w:tblGrid>
        <w:gridCol w:w="1145"/>
        <w:gridCol w:w="1097"/>
        <w:gridCol w:w="1086"/>
        <w:gridCol w:w="1329"/>
        <w:gridCol w:w="2124"/>
        <w:gridCol w:w="1707"/>
      </w:tblGrid>
      <w:tr w:rsidR="00704B24"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jc w:val="both"/>
              <w:rPr>
                <w:rFonts w:ascii="Arial" w:hAnsi="Arial" w:cs="Arial"/>
                <w:b w:val="0"/>
                <w:bCs w:val="0"/>
                <w:sz w:val="22"/>
                <w:szCs w:val="22"/>
              </w:rPr>
            </w:pPr>
            <w:r w:rsidRPr="00BF4AA8">
              <w:rPr>
                <w:rStyle w:val="Strong"/>
                <w:rFonts w:ascii="Arial" w:hAnsi="Arial" w:cs="Arial"/>
                <w:b/>
                <w:bCs/>
                <w:sz w:val="22"/>
                <w:szCs w:val="22"/>
              </w:rPr>
              <w:t>Indicator</w:t>
            </w:r>
          </w:p>
        </w:tc>
        <w:tc>
          <w:tcPr>
            <w:tcW w:w="1063" w:type="dxa"/>
            <w:hideMark/>
          </w:tcPr>
          <w:p w:rsidR="00704B24" w:rsidRPr="00BF4AA8" w:rsidRDefault="00704B24"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Style w:val="Strong"/>
                <w:rFonts w:ascii="Arial" w:hAnsi="Arial" w:cs="Arial"/>
                <w:b/>
                <w:bCs/>
                <w:sz w:val="22"/>
                <w:szCs w:val="22"/>
              </w:rPr>
              <w:t>Units</w:t>
            </w:r>
          </w:p>
        </w:tc>
        <w:tc>
          <w:tcPr>
            <w:tcW w:w="1129" w:type="dxa"/>
            <w:hideMark/>
          </w:tcPr>
          <w:p w:rsidR="00704B24" w:rsidRPr="00BF4AA8" w:rsidRDefault="00704B24"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Style w:val="Strong"/>
                <w:rFonts w:ascii="Arial" w:hAnsi="Arial" w:cs="Arial"/>
                <w:b/>
                <w:bCs/>
                <w:sz w:val="22"/>
                <w:szCs w:val="22"/>
              </w:rPr>
              <w:t>Data Sources</w:t>
            </w:r>
          </w:p>
        </w:tc>
        <w:tc>
          <w:tcPr>
            <w:tcW w:w="1228" w:type="dxa"/>
            <w:hideMark/>
          </w:tcPr>
          <w:p w:rsidR="00704B24" w:rsidRPr="00BF4AA8" w:rsidRDefault="00704B24"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Style w:val="Strong"/>
                <w:rFonts w:ascii="Arial" w:hAnsi="Arial" w:cs="Arial"/>
                <w:b/>
                <w:bCs/>
                <w:sz w:val="22"/>
                <w:szCs w:val="22"/>
              </w:rPr>
              <w:t>Sampling Frequency</w:t>
            </w:r>
          </w:p>
        </w:tc>
        <w:tc>
          <w:tcPr>
            <w:tcW w:w="2031" w:type="dxa"/>
            <w:hideMark/>
          </w:tcPr>
          <w:p w:rsidR="00704B24" w:rsidRPr="00BF4AA8" w:rsidRDefault="00704B24"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Style w:val="Strong"/>
                <w:rFonts w:ascii="Arial" w:hAnsi="Arial" w:cs="Arial"/>
                <w:b/>
                <w:bCs/>
                <w:sz w:val="22"/>
                <w:szCs w:val="22"/>
              </w:rPr>
              <w:t>Method / Standard</w:t>
            </w:r>
          </w:p>
        </w:tc>
        <w:tc>
          <w:tcPr>
            <w:tcW w:w="2352" w:type="dxa"/>
            <w:hideMark/>
          </w:tcPr>
          <w:p w:rsidR="00704B24" w:rsidRPr="00BF4AA8" w:rsidRDefault="00704B24"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b/>
                <w:bCs/>
                <w:sz w:val="22"/>
                <w:szCs w:val="22"/>
              </w:rPr>
              <w:t>Key Use in Analysis</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jc w:val="both"/>
              <w:rPr>
                <w:rFonts w:ascii="Arial" w:hAnsi="Arial" w:cs="Arial"/>
                <w:b w:val="0"/>
                <w:bCs w:val="0"/>
                <w:sz w:val="22"/>
                <w:szCs w:val="22"/>
              </w:rPr>
            </w:pPr>
            <w:r w:rsidRPr="00BF4AA8">
              <w:rPr>
                <w:rStyle w:val="Strong"/>
                <w:rFonts w:ascii="Arial" w:hAnsi="Arial" w:cs="Arial"/>
                <w:b/>
                <w:bCs/>
                <w:sz w:val="22"/>
                <w:szCs w:val="22"/>
              </w:rPr>
              <w:t>BOD</w:t>
            </w:r>
          </w:p>
        </w:tc>
        <w:tc>
          <w:tcPr>
            <w:tcW w:w="1063" w:type="dxa"/>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mg/L</w:t>
            </w:r>
          </w:p>
        </w:tc>
        <w:tc>
          <w:tcPr>
            <w:tcW w:w="1129" w:type="dxa"/>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MRC; JICA</w:t>
            </w:r>
          </w:p>
        </w:tc>
        <w:tc>
          <w:tcPr>
            <w:tcW w:w="1228" w:type="dxa"/>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Monthly–Quarterly</w:t>
            </w:r>
          </w:p>
        </w:tc>
        <w:tc>
          <w:tcPr>
            <w:tcW w:w="2031" w:type="dxa"/>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APHA 5210 B (5-day BOD)</w:t>
            </w:r>
          </w:p>
        </w:tc>
        <w:tc>
          <w:tcPr>
            <w:tcW w:w="2352" w:type="dxa"/>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Organic pollution; wastewater load; RQ &amp; WQI sub-index</w:t>
            </w:r>
          </w:p>
        </w:tc>
      </w:tr>
      <w:tr w:rsidR="00704B24"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jc w:val="both"/>
              <w:rPr>
                <w:rFonts w:ascii="Arial" w:hAnsi="Arial" w:cs="Arial"/>
                <w:sz w:val="22"/>
                <w:szCs w:val="22"/>
              </w:rPr>
            </w:pPr>
            <w:r w:rsidRPr="00BF4AA8">
              <w:rPr>
                <w:rStyle w:val="Strong"/>
                <w:rFonts w:ascii="Arial" w:hAnsi="Arial" w:cs="Arial"/>
                <w:sz w:val="22"/>
                <w:szCs w:val="22"/>
              </w:rPr>
              <w:t>TSS</w:t>
            </w:r>
          </w:p>
        </w:tc>
        <w:tc>
          <w:tcPr>
            <w:tcW w:w="1063" w:type="dxa"/>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mg/L</w:t>
            </w:r>
          </w:p>
        </w:tc>
        <w:tc>
          <w:tcPr>
            <w:tcW w:w="1129" w:type="dxa"/>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JICA; MRC</w:t>
            </w:r>
          </w:p>
        </w:tc>
        <w:tc>
          <w:tcPr>
            <w:tcW w:w="1228" w:type="dxa"/>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Monthly–Seasonal</w:t>
            </w:r>
          </w:p>
        </w:tc>
        <w:tc>
          <w:tcPr>
            <w:tcW w:w="2031" w:type="dxa"/>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Gravimetric method</w:t>
            </w:r>
          </w:p>
        </w:tc>
        <w:tc>
          <w:tcPr>
            <w:tcW w:w="2352" w:type="dxa"/>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Sediment stress, estuary siltation, coastal turbidity</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jc w:val="both"/>
              <w:rPr>
                <w:rFonts w:ascii="Arial" w:hAnsi="Arial" w:cs="Arial"/>
                <w:sz w:val="22"/>
                <w:szCs w:val="22"/>
              </w:rPr>
            </w:pPr>
            <w:r w:rsidRPr="00BF4AA8">
              <w:rPr>
                <w:rStyle w:val="Strong"/>
                <w:rFonts w:ascii="Arial" w:hAnsi="Arial" w:cs="Arial"/>
                <w:sz w:val="22"/>
                <w:szCs w:val="22"/>
              </w:rPr>
              <w:t>Total N (TN)</w:t>
            </w:r>
          </w:p>
        </w:tc>
        <w:tc>
          <w:tcPr>
            <w:tcW w:w="1063" w:type="dxa"/>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mg/L</w:t>
            </w:r>
          </w:p>
        </w:tc>
        <w:tc>
          <w:tcPr>
            <w:tcW w:w="1129" w:type="dxa"/>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MRC; WEPA</w:t>
            </w:r>
          </w:p>
        </w:tc>
        <w:tc>
          <w:tcPr>
            <w:tcW w:w="1228" w:type="dxa"/>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Monthly–Quarterly</w:t>
            </w:r>
          </w:p>
        </w:tc>
        <w:tc>
          <w:tcPr>
            <w:tcW w:w="2031" w:type="dxa"/>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Spectrophotometric (APHA 4500-N)</w:t>
            </w:r>
          </w:p>
        </w:tc>
        <w:tc>
          <w:tcPr>
            <w:tcW w:w="2352" w:type="dxa"/>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Nutrient enrichment; eutrophication; RQ mapping</w:t>
            </w:r>
          </w:p>
        </w:tc>
      </w:tr>
      <w:tr w:rsidR="00704B24"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jc w:val="both"/>
              <w:rPr>
                <w:rFonts w:ascii="Arial" w:hAnsi="Arial" w:cs="Arial"/>
                <w:sz w:val="22"/>
                <w:szCs w:val="22"/>
              </w:rPr>
            </w:pPr>
            <w:r w:rsidRPr="00BF4AA8">
              <w:rPr>
                <w:rStyle w:val="Strong"/>
                <w:rFonts w:ascii="Arial" w:hAnsi="Arial" w:cs="Arial"/>
                <w:sz w:val="22"/>
                <w:szCs w:val="22"/>
              </w:rPr>
              <w:t>Total P (TP)</w:t>
            </w:r>
          </w:p>
        </w:tc>
        <w:tc>
          <w:tcPr>
            <w:tcW w:w="1063" w:type="dxa"/>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mg/L</w:t>
            </w:r>
          </w:p>
        </w:tc>
        <w:tc>
          <w:tcPr>
            <w:tcW w:w="1129" w:type="dxa"/>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MRC; </w:t>
            </w:r>
            <w:proofErr w:type="spellStart"/>
            <w:r w:rsidRPr="00BF4AA8">
              <w:rPr>
                <w:rFonts w:ascii="Arial" w:hAnsi="Arial" w:cs="Arial"/>
                <w:sz w:val="22"/>
                <w:szCs w:val="22"/>
              </w:rPr>
              <w:t>MoE</w:t>
            </w:r>
            <w:proofErr w:type="spellEnd"/>
          </w:p>
        </w:tc>
        <w:tc>
          <w:tcPr>
            <w:tcW w:w="1228" w:type="dxa"/>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Monthly–Quarterly</w:t>
            </w:r>
          </w:p>
        </w:tc>
        <w:tc>
          <w:tcPr>
            <w:tcW w:w="2031" w:type="dxa"/>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Molybdenum Blue (APHA 4500-P)</w:t>
            </w:r>
          </w:p>
        </w:tc>
        <w:tc>
          <w:tcPr>
            <w:tcW w:w="2352" w:type="dxa"/>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Eutrophication; bloom risks; hotspot detection</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jc w:val="both"/>
              <w:rPr>
                <w:rFonts w:ascii="Arial" w:hAnsi="Arial" w:cs="Arial"/>
                <w:sz w:val="22"/>
                <w:szCs w:val="22"/>
              </w:rPr>
            </w:pPr>
            <w:r w:rsidRPr="00BF4AA8">
              <w:rPr>
                <w:rStyle w:val="Strong"/>
                <w:rFonts w:ascii="Arial" w:hAnsi="Arial" w:cs="Arial"/>
                <w:sz w:val="22"/>
                <w:szCs w:val="22"/>
              </w:rPr>
              <w:t>Fecal Coliform / E. coli</w:t>
            </w:r>
          </w:p>
        </w:tc>
        <w:tc>
          <w:tcPr>
            <w:tcW w:w="1063" w:type="dxa"/>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CFU/100 mL</w:t>
            </w:r>
          </w:p>
        </w:tc>
        <w:tc>
          <w:tcPr>
            <w:tcW w:w="1129" w:type="dxa"/>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ADB; MRC</w:t>
            </w:r>
          </w:p>
        </w:tc>
        <w:tc>
          <w:tcPr>
            <w:tcW w:w="1228" w:type="dxa"/>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Monthly</w:t>
            </w:r>
          </w:p>
        </w:tc>
        <w:tc>
          <w:tcPr>
            <w:tcW w:w="2031" w:type="dxa"/>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MPN (Multiple-tube)</w:t>
            </w:r>
          </w:p>
        </w:tc>
        <w:tc>
          <w:tcPr>
            <w:tcW w:w="2352" w:type="dxa"/>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Public health risk; WQI microbial index; tourism risk</w:t>
            </w:r>
          </w:p>
        </w:tc>
      </w:tr>
    </w:tbl>
    <w:p w:rsidR="00704B24" w:rsidRPr="00BF4AA8" w:rsidRDefault="00704B24" w:rsidP="00704B24">
      <w:pPr>
        <w:pStyle w:val="NormalWeb"/>
        <w:adjustRightInd w:val="0"/>
        <w:snapToGrid w:val="0"/>
        <w:spacing w:before="0" w:beforeAutospacing="0" w:after="0" w:afterAutospacing="0"/>
        <w:jc w:val="both"/>
        <w:rPr>
          <w:rFonts w:ascii="Arial" w:hAnsi="Arial" w:cs="Arial"/>
          <w:sz w:val="22"/>
          <w:szCs w:val="22"/>
        </w:rPr>
      </w:pPr>
    </w:p>
    <w:p w:rsidR="00704B24" w:rsidRPr="00BF4AA8" w:rsidRDefault="00704B24" w:rsidP="00704B24">
      <w:pPr>
        <w:pStyle w:val="Caption"/>
        <w:jc w:val="both"/>
        <w:rPr>
          <w:rFonts w:ascii="Arial" w:hAnsi="Arial" w:cs="Arial"/>
          <w:b/>
          <w:bCs/>
          <w:color w:val="0070C0"/>
          <w:sz w:val="22"/>
          <w:szCs w:val="22"/>
        </w:rPr>
      </w:pPr>
      <w:r w:rsidRPr="00BF4AA8">
        <w:rPr>
          <w:rFonts w:ascii="Arial" w:hAnsi="Arial" w:cs="Arial"/>
          <w:b/>
          <w:bCs/>
          <w:i w:val="0"/>
          <w:iCs w:val="0"/>
          <w:color w:val="0070C0"/>
          <w:sz w:val="22"/>
          <w:szCs w:val="22"/>
        </w:rPr>
        <w:t>B. Industrial and Port Pollutants</w:t>
      </w:r>
      <w:r w:rsidRPr="00BF4AA8">
        <w:rPr>
          <w:rFonts w:ascii="Arial" w:hAnsi="Arial" w:cs="Arial"/>
          <w:b/>
          <w:bCs/>
          <w:color w:val="0070C0"/>
          <w:sz w:val="22"/>
          <w:szCs w:val="22"/>
        </w:rPr>
        <w:t xml:space="preserve">: </w:t>
      </w:r>
      <w:r w:rsidRPr="00BF4AA8">
        <w:rPr>
          <w:rFonts w:ascii="Arial" w:hAnsi="Arial" w:cs="Arial"/>
          <w:b/>
          <w:bCs/>
          <w:i w:val="0"/>
          <w:iCs w:val="0"/>
          <w:color w:val="0070C0"/>
          <w:sz w:val="22"/>
          <w:szCs w:val="22"/>
        </w:rPr>
        <w:t>Hydrocarbons (Oil &amp; Grease, TPH)</w:t>
      </w:r>
      <w:r w:rsidRPr="00BF4AA8">
        <w:rPr>
          <w:rFonts w:ascii="Arial" w:hAnsi="Arial" w:cs="Arial"/>
          <w:b/>
          <w:bCs/>
          <w:color w:val="0070C0"/>
          <w:sz w:val="22"/>
          <w:szCs w:val="22"/>
        </w:rPr>
        <w:t xml:space="preserve"> and </w:t>
      </w:r>
      <w:r w:rsidRPr="00BF4AA8">
        <w:rPr>
          <w:rFonts w:ascii="Arial" w:hAnsi="Arial" w:cs="Arial"/>
          <w:b/>
          <w:bCs/>
          <w:i w:val="0"/>
          <w:iCs w:val="0"/>
          <w:color w:val="0070C0"/>
          <w:sz w:val="22"/>
          <w:szCs w:val="22"/>
        </w:rPr>
        <w:t>Heavy Metals (Pb, Zn, Cu)</w:t>
      </w:r>
    </w:p>
    <w:p w:rsidR="00704B24" w:rsidRPr="00BF4AA8" w:rsidRDefault="00704B24" w:rsidP="00704B24">
      <w:pPr>
        <w:keepNext/>
        <w:adjustRightInd w:val="0"/>
        <w:snapToGrid w:val="0"/>
        <w:spacing w:before="240" w:after="120"/>
        <w:jc w:val="both"/>
        <w:rPr>
          <w:rFonts w:ascii="Arial" w:hAnsi="Arial" w:cs="Arial"/>
          <w:sz w:val="22"/>
          <w:szCs w:val="22"/>
        </w:rPr>
      </w:pPr>
      <w:r w:rsidRPr="00BF4AA8">
        <w:rPr>
          <w:rFonts w:ascii="Arial" w:hAnsi="Arial" w:cs="Arial"/>
          <w:sz w:val="22"/>
          <w:szCs w:val="22"/>
        </w:rPr>
        <w:t xml:space="preserve">This annex </w:t>
      </w:r>
      <w:proofErr w:type="spellStart"/>
      <w:r w:rsidRPr="00BF4AA8">
        <w:rPr>
          <w:rFonts w:ascii="Arial" w:hAnsi="Arial" w:cs="Arial"/>
          <w:sz w:val="22"/>
          <w:szCs w:val="22"/>
        </w:rPr>
        <w:t>summarises</w:t>
      </w:r>
      <w:proofErr w:type="spellEnd"/>
      <w:r w:rsidRPr="00BF4AA8">
        <w:rPr>
          <w:rFonts w:ascii="Arial" w:hAnsi="Arial" w:cs="Arial"/>
          <w:sz w:val="22"/>
          <w:szCs w:val="22"/>
        </w:rPr>
        <w:t xml:space="preserve"> data on hydrocarbons (oil &amp; grease, total petroleum hydrocarbons – TPH) and heavy metals (Pb, Zn, Cu) in port areas and coastal sediments. The </w:t>
      </w:r>
      <w:proofErr w:type="gramStart"/>
      <w:r w:rsidRPr="00BF4AA8">
        <w:rPr>
          <w:rFonts w:ascii="Arial" w:hAnsi="Arial" w:cs="Arial"/>
          <w:sz w:val="22"/>
          <w:szCs w:val="22"/>
        </w:rPr>
        <w:t>main focus</w:t>
      </w:r>
      <w:proofErr w:type="gramEnd"/>
      <w:r w:rsidRPr="00BF4AA8">
        <w:rPr>
          <w:rFonts w:ascii="Arial" w:hAnsi="Arial" w:cs="Arial"/>
          <w:sz w:val="22"/>
          <w:szCs w:val="22"/>
        </w:rPr>
        <w:t xml:space="preserve"> is Sihanoukville Port and surrounding SEZs, as well as </w:t>
      </w:r>
      <w:proofErr w:type="spellStart"/>
      <w:r w:rsidRPr="00BF4AA8">
        <w:rPr>
          <w:rFonts w:ascii="Arial" w:hAnsi="Arial" w:cs="Arial"/>
          <w:sz w:val="22"/>
          <w:szCs w:val="22"/>
        </w:rPr>
        <w:t>industrialised</w:t>
      </w:r>
      <w:proofErr w:type="spellEnd"/>
      <w:r w:rsidRPr="00BF4AA8">
        <w:rPr>
          <w:rFonts w:ascii="Arial" w:hAnsi="Arial" w:cs="Arial"/>
          <w:sz w:val="22"/>
          <w:szCs w:val="22"/>
        </w:rPr>
        <w:t xml:space="preserve"> estuaries such as </w:t>
      </w:r>
      <w:proofErr w:type="spellStart"/>
      <w:r w:rsidRPr="00BF4AA8">
        <w:rPr>
          <w:rFonts w:ascii="Arial" w:hAnsi="Arial" w:cs="Arial"/>
          <w:sz w:val="22"/>
          <w:szCs w:val="22"/>
        </w:rPr>
        <w:t>Prek</w:t>
      </w:r>
      <w:proofErr w:type="spellEnd"/>
      <w:r w:rsidRPr="00BF4AA8">
        <w:rPr>
          <w:rFonts w:ascii="Arial" w:hAnsi="Arial" w:cs="Arial"/>
          <w:sz w:val="22"/>
          <w:szCs w:val="22"/>
        </w:rPr>
        <w:t xml:space="preserve"> </w:t>
      </w:r>
      <w:proofErr w:type="spellStart"/>
      <w:r w:rsidRPr="00BF4AA8">
        <w:rPr>
          <w:rFonts w:ascii="Arial" w:hAnsi="Arial" w:cs="Arial"/>
          <w:sz w:val="22"/>
          <w:szCs w:val="22"/>
        </w:rPr>
        <w:t>Toeuk</w:t>
      </w:r>
      <w:proofErr w:type="spellEnd"/>
      <w:r w:rsidRPr="00BF4AA8">
        <w:rPr>
          <w:rFonts w:ascii="Arial" w:hAnsi="Arial" w:cs="Arial"/>
          <w:sz w:val="22"/>
          <w:szCs w:val="22"/>
        </w:rPr>
        <w:t xml:space="preserve"> Sap and Stung </w:t>
      </w:r>
      <w:proofErr w:type="spellStart"/>
      <w:r w:rsidRPr="00BF4AA8">
        <w:rPr>
          <w:rFonts w:ascii="Arial" w:hAnsi="Arial" w:cs="Arial"/>
          <w:sz w:val="22"/>
          <w:szCs w:val="22"/>
        </w:rPr>
        <w:t>Hav</w:t>
      </w:r>
      <w:proofErr w:type="spellEnd"/>
      <w:r w:rsidRPr="00BF4AA8">
        <w:rPr>
          <w:rFonts w:ascii="Arial" w:hAnsi="Arial" w:cs="Arial"/>
          <w:sz w:val="22"/>
          <w:szCs w:val="22"/>
        </w:rPr>
        <w:t xml:space="preserve">. Monitoring by </w:t>
      </w:r>
      <w:proofErr w:type="spellStart"/>
      <w:r w:rsidRPr="00BF4AA8">
        <w:rPr>
          <w:rFonts w:ascii="Arial" w:hAnsi="Arial" w:cs="Arial"/>
          <w:sz w:val="22"/>
          <w:szCs w:val="22"/>
        </w:rPr>
        <w:t>MoE</w:t>
      </w:r>
      <w:proofErr w:type="spellEnd"/>
      <w:r w:rsidRPr="00BF4AA8">
        <w:rPr>
          <w:rFonts w:ascii="Arial" w:hAnsi="Arial" w:cs="Arial"/>
          <w:sz w:val="22"/>
          <w:szCs w:val="22"/>
        </w:rPr>
        <w:t xml:space="preserve">, complemented by </w:t>
      </w:r>
      <w:proofErr w:type="spellStart"/>
      <w:r w:rsidRPr="00BF4AA8">
        <w:rPr>
          <w:rFonts w:ascii="Arial" w:hAnsi="Arial" w:cs="Arial"/>
          <w:sz w:val="22"/>
          <w:szCs w:val="22"/>
        </w:rPr>
        <w:t>FiA</w:t>
      </w:r>
      <w:proofErr w:type="spellEnd"/>
      <w:r w:rsidRPr="00BF4AA8">
        <w:rPr>
          <w:rFonts w:ascii="Arial" w:hAnsi="Arial" w:cs="Arial"/>
          <w:sz w:val="22"/>
          <w:szCs w:val="22"/>
        </w:rPr>
        <w:t>/UNDP habitat studies, documents both water-column exceedances of national effluent standards and long-term metal accumulation in mangrove and estuarine sediments.</w:t>
      </w:r>
    </w:p>
    <w:p w:rsidR="00704B24" w:rsidRPr="00BF4AA8" w:rsidRDefault="00704B24" w:rsidP="00704B24">
      <w:pPr>
        <w:pStyle w:val="NormalWeb"/>
        <w:jc w:val="both"/>
        <w:rPr>
          <w:rFonts w:ascii="Arial" w:hAnsi="Arial" w:cs="Arial"/>
          <w:sz w:val="22"/>
          <w:szCs w:val="22"/>
        </w:rPr>
      </w:pPr>
      <w:r w:rsidRPr="00BF4AA8">
        <w:rPr>
          <w:rFonts w:ascii="Arial" w:hAnsi="Arial" w:cs="Arial"/>
          <w:sz w:val="22"/>
          <w:szCs w:val="22"/>
        </w:rPr>
        <w:t xml:space="preserve">These indicators </w:t>
      </w:r>
      <w:proofErr w:type="gramStart"/>
      <w:r w:rsidRPr="00BF4AA8">
        <w:rPr>
          <w:rFonts w:ascii="Arial" w:hAnsi="Arial" w:cs="Arial"/>
          <w:sz w:val="22"/>
          <w:szCs w:val="22"/>
        </w:rPr>
        <w:t>are used</w:t>
      </w:r>
      <w:proofErr w:type="gramEnd"/>
      <w:r w:rsidRPr="00BF4AA8">
        <w:rPr>
          <w:rFonts w:ascii="Arial" w:hAnsi="Arial" w:cs="Arial"/>
          <w:sz w:val="22"/>
          <w:szCs w:val="22"/>
        </w:rPr>
        <w:t xml:space="preserve"> to identify toxic “hotspots” where industrial and port activities pose risks to marine life, food safety and transboundary pollution through Gulf of Thailand currents.</w:t>
      </w:r>
    </w:p>
    <w:p w:rsidR="00704B24" w:rsidRPr="00BF4AA8" w:rsidRDefault="00704B24" w:rsidP="00704B24">
      <w:pPr>
        <w:pStyle w:val="Caption"/>
        <w:keepNext/>
        <w:spacing w:before="240" w:after="120"/>
        <w:rPr>
          <w:rFonts w:ascii="Arial" w:hAnsi="Arial" w:cs="Arial"/>
          <w:color w:val="002060"/>
          <w:sz w:val="22"/>
          <w:szCs w:val="22"/>
        </w:rPr>
      </w:pPr>
      <w:r w:rsidRPr="00BF4AA8">
        <w:rPr>
          <w:rFonts w:ascii="Arial" w:hAnsi="Arial" w:cs="Arial"/>
          <w:color w:val="002060"/>
          <w:sz w:val="22"/>
          <w:szCs w:val="22"/>
        </w:rPr>
        <w:t>Annex Table 3-</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Annex_Table_3-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3</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Industrial and port pollutants: data sources, metadata, and assessment method</w:t>
      </w:r>
    </w:p>
    <w:tbl>
      <w:tblPr>
        <w:tblStyle w:val="GridTable4-Accent5"/>
        <w:tblW w:w="0" w:type="auto"/>
        <w:tblLook w:val="04A0" w:firstRow="1" w:lastRow="0" w:firstColumn="1" w:lastColumn="0" w:noHBand="0" w:noVBand="1"/>
      </w:tblPr>
      <w:tblGrid>
        <w:gridCol w:w="1415"/>
        <w:gridCol w:w="7073"/>
      </w:tblGrid>
      <w:tr w:rsidR="00704B24"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hideMark/>
          </w:tcPr>
          <w:p w:rsidR="00704B24" w:rsidRPr="00BF4AA8" w:rsidRDefault="00704B24" w:rsidP="005F1F5C">
            <w:pPr>
              <w:jc w:val="center"/>
              <w:rPr>
                <w:rFonts w:ascii="Arial" w:hAnsi="Arial" w:cs="Arial"/>
                <w:sz w:val="22"/>
                <w:szCs w:val="22"/>
              </w:rPr>
            </w:pPr>
            <w:r w:rsidRPr="00BF4AA8">
              <w:rPr>
                <w:rStyle w:val="Strong"/>
                <w:rFonts w:ascii="Arial" w:hAnsi="Arial" w:cs="Arial"/>
                <w:sz w:val="22"/>
                <w:szCs w:val="22"/>
              </w:rPr>
              <w:t>Category</w:t>
            </w:r>
          </w:p>
        </w:tc>
        <w:tc>
          <w:tcPr>
            <w:tcW w:w="8022" w:type="dxa"/>
            <w:hideMark/>
          </w:tcPr>
          <w:p w:rsidR="00704B24" w:rsidRPr="00BF4AA8" w:rsidRDefault="00704B24"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b/>
                <w:bCs/>
                <w:sz w:val="22"/>
                <w:szCs w:val="22"/>
              </w:rPr>
              <w:t>Details</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hideMark/>
          </w:tcPr>
          <w:p w:rsidR="00704B24" w:rsidRPr="00BF4AA8" w:rsidRDefault="00704B24" w:rsidP="005F1F5C">
            <w:pPr>
              <w:jc w:val="both"/>
              <w:rPr>
                <w:rFonts w:ascii="Arial" w:hAnsi="Arial" w:cs="Arial"/>
                <w:b w:val="0"/>
                <w:bCs w:val="0"/>
                <w:sz w:val="22"/>
                <w:szCs w:val="22"/>
              </w:rPr>
            </w:pPr>
            <w:r w:rsidRPr="00BF4AA8">
              <w:rPr>
                <w:rStyle w:val="Strong"/>
                <w:rFonts w:ascii="Arial" w:hAnsi="Arial" w:cs="Arial"/>
                <w:b/>
                <w:bCs/>
                <w:sz w:val="22"/>
                <w:szCs w:val="22"/>
              </w:rPr>
              <w:t>Data Sources</w:t>
            </w:r>
          </w:p>
        </w:tc>
        <w:tc>
          <w:tcPr>
            <w:tcW w:w="8022" w:type="dxa"/>
            <w:hideMark/>
          </w:tcPr>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xml:space="preserve"> industrial effluent and port-area monitoring (oil &amp; grease, TPH, Pb, Zn; 2022–2023).</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xml:space="preserve"> sediment studies in </w:t>
            </w:r>
            <w:proofErr w:type="spellStart"/>
            <w:r w:rsidRPr="00BF4AA8">
              <w:rPr>
                <w:rFonts w:ascii="Arial" w:hAnsi="Arial" w:cs="Arial"/>
                <w:sz w:val="22"/>
                <w:szCs w:val="22"/>
              </w:rPr>
              <w:t>Peam</w:t>
            </w:r>
            <w:proofErr w:type="spellEnd"/>
            <w:r w:rsidRPr="00BF4AA8">
              <w:rPr>
                <w:rFonts w:ascii="Arial" w:hAnsi="Arial" w:cs="Arial"/>
                <w:sz w:val="22"/>
                <w:szCs w:val="22"/>
              </w:rPr>
              <w:t xml:space="preserve"> </w:t>
            </w:r>
            <w:proofErr w:type="spellStart"/>
            <w:r w:rsidRPr="00BF4AA8">
              <w:rPr>
                <w:rFonts w:ascii="Arial" w:hAnsi="Arial" w:cs="Arial"/>
                <w:sz w:val="22"/>
                <w:szCs w:val="22"/>
              </w:rPr>
              <w:t>Krasop</w:t>
            </w:r>
            <w:proofErr w:type="spellEnd"/>
            <w:r w:rsidRPr="00BF4AA8">
              <w:rPr>
                <w:rFonts w:ascii="Arial" w:hAnsi="Arial" w:cs="Arial"/>
                <w:sz w:val="22"/>
                <w:szCs w:val="22"/>
              </w:rPr>
              <w:t xml:space="preserve">, Stung </w:t>
            </w:r>
            <w:proofErr w:type="spellStart"/>
            <w:r w:rsidRPr="00BF4AA8">
              <w:rPr>
                <w:rFonts w:ascii="Arial" w:hAnsi="Arial" w:cs="Arial"/>
                <w:sz w:val="22"/>
                <w:szCs w:val="22"/>
              </w:rPr>
              <w:t>Hav</w:t>
            </w:r>
            <w:proofErr w:type="spellEnd"/>
            <w:r w:rsidRPr="00BF4AA8">
              <w:rPr>
                <w:rFonts w:ascii="Arial" w:hAnsi="Arial" w:cs="Arial"/>
                <w:sz w:val="22"/>
                <w:szCs w:val="22"/>
              </w:rPr>
              <w:t>, Koh Kong estuaries (metals, hydrocarbons).</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FiA</w:t>
            </w:r>
            <w:proofErr w:type="spellEnd"/>
            <w:r w:rsidRPr="00BF4AA8">
              <w:rPr>
                <w:rFonts w:ascii="Arial" w:hAnsi="Arial" w:cs="Arial"/>
                <w:sz w:val="22"/>
                <w:szCs w:val="22"/>
              </w:rPr>
              <w:t>/UNDP habitat assessments (mangrove and seagrass sediment cores).</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SEZ and port environmental reports (PAS, SEZ WWTP performance). </w:t>
            </w:r>
          </w:p>
        </w:tc>
      </w:tr>
      <w:tr w:rsidR="00704B24" w:rsidRPr="00BF4AA8" w:rsidTr="005F1F5C">
        <w:tc>
          <w:tcPr>
            <w:cnfStyle w:val="001000000000" w:firstRow="0" w:lastRow="0" w:firstColumn="1" w:lastColumn="0" w:oddVBand="0" w:evenVBand="0" w:oddHBand="0" w:evenHBand="0" w:firstRowFirstColumn="0" w:firstRowLastColumn="0" w:lastRowFirstColumn="0" w:lastRowLastColumn="0"/>
            <w:tcW w:w="988" w:type="dxa"/>
            <w:hideMark/>
          </w:tcPr>
          <w:p w:rsidR="00704B24" w:rsidRPr="00BF4AA8" w:rsidRDefault="00704B24" w:rsidP="005F1F5C">
            <w:pPr>
              <w:jc w:val="both"/>
              <w:rPr>
                <w:rFonts w:ascii="Arial" w:hAnsi="Arial" w:cs="Arial"/>
                <w:sz w:val="22"/>
                <w:szCs w:val="22"/>
              </w:rPr>
            </w:pPr>
            <w:r w:rsidRPr="00BF4AA8">
              <w:rPr>
                <w:rStyle w:val="Strong"/>
                <w:rFonts w:ascii="Arial" w:hAnsi="Arial" w:cs="Arial"/>
                <w:sz w:val="22"/>
                <w:szCs w:val="22"/>
              </w:rPr>
              <w:t>Metadata</w:t>
            </w:r>
          </w:p>
        </w:tc>
        <w:tc>
          <w:tcPr>
            <w:tcW w:w="8022" w:type="dxa"/>
            <w:hideMark/>
          </w:tcPr>
          <w:p w:rsidR="00704B24" w:rsidRPr="00BF4AA8" w:rsidRDefault="00704B24" w:rsidP="00704B24">
            <w:pPr>
              <w:pStyle w:val="ListParagraph"/>
              <w:numPr>
                <w:ilvl w:val="0"/>
                <w:numId w:val="146"/>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Parameters: Oil &amp; Grease, TPH, Pb, Zn, Cu.</w:t>
            </w:r>
          </w:p>
          <w:p w:rsidR="00704B24" w:rsidRPr="00BF4AA8" w:rsidRDefault="00704B24" w:rsidP="00704B24">
            <w:pPr>
              <w:pStyle w:val="ListParagraph"/>
              <w:numPr>
                <w:ilvl w:val="0"/>
                <w:numId w:val="146"/>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Units: mg/L (water), mg/kg (sediment).</w:t>
            </w:r>
          </w:p>
          <w:p w:rsidR="00704B24" w:rsidRPr="00BF4AA8" w:rsidRDefault="00704B24" w:rsidP="00704B24">
            <w:pPr>
              <w:pStyle w:val="ListParagraph"/>
              <w:numPr>
                <w:ilvl w:val="0"/>
                <w:numId w:val="146"/>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Spatial focus: Sihanoukville Port, </w:t>
            </w:r>
            <w:proofErr w:type="spellStart"/>
            <w:r w:rsidRPr="00BF4AA8">
              <w:rPr>
                <w:rFonts w:ascii="Arial" w:hAnsi="Arial" w:cs="Arial"/>
                <w:sz w:val="22"/>
                <w:szCs w:val="22"/>
              </w:rPr>
              <w:t>Prek</w:t>
            </w:r>
            <w:proofErr w:type="spellEnd"/>
            <w:r w:rsidRPr="00BF4AA8">
              <w:rPr>
                <w:rFonts w:ascii="Arial" w:hAnsi="Arial" w:cs="Arial"/>
                <w:sz w:val="22"/>
                <w:szCs w:val="22"/>
              </w:rPr>
              <w:t xml:space="preserve"> </w:t>
            </w:r>
            <w:proofErr w:type="spellStart"/>
            <w:r w:rsidRPr="00BF4AA8">
              <w:rPr>
                <w:rFonts w:ascii="Arial" w:hAnsi="Arial" w:cs="Arial"/>
                <w:sz w:val="22"/>
                <w:szCs w:val="22"/>
              </w:rPr>
              <w:t>Toeuk</w:t>
            </w:r>
            <w:proofErr w:type="spellEnd"/>
            <w:r w:rsidRPr="00BF4AA8">
              <w:rPr>
                <w:rFonts w:ascii="Arial" w:hAnsi="Arial" w:cs="Arial"/>
                <w:sz w:val="22"/>
                <w:szCs w:val="22"/>
              </w:rPr>
              <w:t xml:space="preserve"> Sap, Stung </w:t>
            </w:r>
            <w:proofErr w:type="spellStart"/>
            <w:r w:rsidRPr="00BF4AA8">
              <w:rPr>
                <w:rFonts w:ascii="Arial" w:hAnsi="Arial" w:cs="Arial"/>
                <w:sz w:val="22"/>
                <w:szCs w:val="22"/>
              </w:rPr>
              <w:t>Hav</w:t>
            </w:r>
            <w:proofErr w:type="spellEnd"/>
            <w:r w:rsidRPr="00BF4AA8">
              <w:rPr>
                <w:rFonts w:ascii="Arial" w:hAnsi="Arial" w:cs="Arial"/>
                <w:sz w:val="22"/>
                <w:szCs w:val="22"/>
              </w:rPr>
              <w:t xml:space="preserve"> Bay, selected mangrove sites in Koh Kong and </w:t>
            </w:r>
            <w:proofErr w:type="spellStart"/>
            <w:r w:rsidRPr="00BF4AA8">
              <w:rPr>
                <w:rFonts w:ascii="Arial" w:hAnsi="Arial" w:cs="Arial"/>
                <w:sz w:val="22"/>
                <w:szCs w:val="22"/>
              </w:rPr>
              <w:t>Peam</w:t>
            </w:r>
            <w:proofErr w:type="spellEnd"/>
            <w:r w:rsidRPr="00BF4AA8">
              <w:rPr>
                <w:rFonts w:ascii="Arial" w:hAnsi="Arial" w:cs="Arial"/>
                <w:sz w:val="22"/>
                <w:szCs w:val="22"/>
              </w:rPr>
              <w:t xml:space="preserve"> </w:t>
            </w:r>
            <w:proofErr w:type="spellStart"/>
            <w:r w:rsidRPr="00BF4AA8">
              <w:rPr>
                <w:rFonts w:ascii="Arial" w:hAnsi="Arial" w:cs="Arial"/>
                <w:sz w:val="22"/>
                <w:szCs w:val="22"/>
              </w:rPr>
              <w:t>Krasop</w:t>
            </w:r>
            <w:proofErr w:type="spellEnd"/>
            <w:r w:rsidRPr="00BF4AA8">
              <w:rPr>
                <w:rFonts w:ascii="Arial" w:hAnsi="Arial" w:cs="Arial"/>
                <w:sz w:val="22"/>
                <w:szCs w:val="22"/>
              </w:rPr>
              <w:t>.</w:t>
            </w:r>
          </w:p>
          <w:p w:rsidR="00704B24" w:rsidRPr="00BF4AA8" w:rsidRDefault="00704B24" w:rsidP="00704B24">
            <w:pPr>
              <w:pStyle w:val="ListParagraph"/>
              <w:numPr>
                <w:ilvl w:val="0"/>
                <w:numId w:val="146"/>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Standards: Cambodian effluent limits (</w:t>
            </w:r>
            <w:proofErr w:type="gramStart"/>
            <w:r w:rsidRPr="00BF4AA8">
              <w:rPr>
                <w:rFonts w:ascii="Arial" w:hAnsi="Arial" w:cs="Arial"/>
                <w:sz w:val="22"/>
                <w:szCs w:val="22"/>
              </w:rPr>
              <w:t>e.g.</w:t>
            </w:r>
            <w:proofErr w:type="gramEnd"/>
            <w:r w:rsidRPr="00BF4AA8">
              <w:rPr>
                <w:rFonts w:ascii="Arial" w:hAnsi="Arial" w:cs="Arial"/>
                <w:sz w:val="22"/>
                <w:szCs w:val="22"/>
              </w:rPr>
              <w:t xml:space="preserve"> O&amp;G ≤5 mg/L; TPH ≤0.5 mg/L; Pb ≤0.1 mg/L; Zn ≤1.0 mg/L) and international sediment-quality guidelines. </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hideMark/>
          </w:tcPr>
          <w:p w:rsidR="00704B24" w:rsidRPr="00BF4AA8" w:rsidRDefault="00704B24" w:rsidP="005F1F5C">
            <w:pPr>
              <w:jc w:val="both"/>
              <w:rPr>
                <w:rFonts w:ascii="Arial" w:hAnsi="Arial" w:cs="Arial"/>
                <w:sz w:val="22"/>
                <w:szCs w:val="22"/>
              </w:rPr>
            </w:pPr>
            <w:r w:rsidRPr="00BF4AA8">
              <w:rPr>
                <w:rStyle w:val="Strong"/>
                <w:rFonts w:ascii="Arial" w:hAnsi="Arial" w:cs="Arial"/>
                <w:sz w:val="22"/>
                <w:szCs w:val="22"/>
              </w:rPr>
              <w:t>Assessment Method</w:t>
            </w:r>
          </w:p>
        </w:tc>
        <w:tc>
          <w:tcPr>
            <w:tcW w:w="8022" w:type="dxa"/>
            <w:hideMark/>
          </w:tcPr>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Calculate RQ for each parameter relative to national limits to assess facility compliance (</w:t>
            </w:r>
            <w:proofErr w:type="gramStart"/>
            <w:r w:rsidRPr="00BF4AA8">
              <w:rPr>
                <w:rFonts w:ascii="Arial" w:hAnsi="Arial" w:cs="Arial"/>
                <w:sz w:val="22"/>
                <w:szCs w:val="22"/>
              </w:rPr>
              <w:t>e.g.</w:t>
            </w:r>
            <w:proofErr w:type="gramEnd"/>
            <w:r w:rsidRPr="00BF4AA8">
              <w:rPr>
                <w:rFonts w:ascii="Arial" w:hAnsi="Arial" w:cs="Arial"/>
                <w:sz w:val="22"/>
                <w:szCs w:val="22"/>
              </w:rPr>
              <w:t xml:space="preserve"> RQ&gt;1 for O&amp;G, TPH, Pb, Zn).</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Compare sediment concentrations with pre-2000 baselines and guideline values to infer long-term accumulation and ecological risk.</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Identify spatial clusters of non-compliance and sediment hotspots around ports and SEZ discharges.</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Qualitatively link hotspots to industrial activities, ship repair zones and port drainage patterns. </w:t>
            </w:r>
          </w:p>
        </w:tc>
      </w:tr>
    </w:tbl>
    <w:p w:rsidR="00704B24" w:rsidRPr="00BF4AA8" w:rsidRDefault="00704B24" w:rsidP="00704B24">
      <w:pPr>
        <w:jc w:val="both"/>
        <w:rPr>
          <w:rFonts w:ascii="Arial" w:hAnsi="Arial" w:cs="Arial"/>
          <w:sz w:val="22"/>
          <w:szCs w:val="22"/>
        </w:rPr>
      </w:pPr>
      <w:r w:rsidRPr="00BF4AA8">
        <w:rPr>
          <w:rFonts w:ascii="Arial" w:hAnsi="Arial" w:cs="Arial"/>
          <w:sz w:val="22"/>
          <w:szCs w:val="22"/>
        </w:rPr>
        <w:t xml:space="preserve">The industrial and port-pollution datasets show that around 60% of inspected facilities are non-compliant with effluent standards, with RQ values &gt;1 for oil &amp; grease, TPH, Pb and Zn in port-adjacent waters. Sediment records confirm chronic accumulation of metals in mangrove and estuarine environments, </w:t>
      </w:r>
      <w:proofErr w:type="spellStart"/>
      <w:r w:rsidRPr="00BF4AA8">
        <w:rPr>
          <w:rFonts w:ascii="Arial" w:hAnsi="Arial" w:cs="Arial"/>
          <w:sz w:val="22"/>
          <w:szCs w:val="22"/>
        </w:rPr>
        <w:t>signalling</w:t>
      </w:r>
      <w:proofErr w:type="spellEnd"/>
      <w:r w:rsidRPr="00BF4AA8">
        <w:rPr>
          <w:rFonts w:ascii="Arial" w:hAnsi="Arial" w:cs="Arial"/>
          <w:sz w:val="22"/>
          <w:szCs w:val="22"/>
        </w:rPr>
        <w:t xml:space="preserve"> long-term toxicity risks for benthic organisms and seafood consumers, and underlining the need for stronger port-based controls and hazardous-waste management. </w:t>
      </w:r>
    </w:p>
    <w:p w:rsidR="00704B24" w:rsidRPr="00BF4AA8" w:rsidRDefault="00704B24" w:rsidP="00704B24">
      <w:pPr>
        <w:pStyle w:val="Caption"/>
        <w:keepNext/>
        <w:spacing w:before="240" w:after="120"/>
        <w:rPr>
          <w:rFonts w:ascii="Arial" w:hAnsi="Arial" w:cs="Arial"/>
          <w:color w:val="002060"/>
          <w:sz w:val="22"/>
          <w:szCs w:val="22"/>
        </w:rPr>
      </w:pPr>
      <w:r w:rsidRPr="00BF4AA8">
        <w:rPr>
          <w:rFonts w:ascii="Arial" w:hAnsi="Arial" w:cs="Arial"/>
          <w:color w:val="002060"/>
          <w:sz w:val="22"/>
          <w:szCs w:val="22"/>
        </w:rPr>
        <w:t>Annex Table 3-</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Annex_Table_3-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4</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Industrial/port pollutants (hydrocarbons &amp; heavy metals) indicator summary</w:t>
      </w:r>
    </w:p>
    <w:tbl>
      <w:tblPr>
        <w:tblStyle w:val="GridTable4-Accent5"/>
        <w:tblW w:w="0" w:type="auto"/>
        <w:tblLook w:val="04A0" w:firstRow="1" w:lastRow="0" w:firstColumn="1" w:lastColumn="0" w:noHBand="0" w:noVBand="1"/>
      </w:tblPr>
      <w:tblGrid>
        <w:gridCol w:w="1192"/>
        <w:gridCol w:w="1507"/>
        <w:gridCol w:w="1321"/>
        <w:gridCol w:w="1282"/>
        <w:gridCol w:w="1198"/>
        <w:gridCol w:w="1988"/>
      </w:tblGrid>
      <w:tr w:rsidR="00704B24"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jc w:val="both"/>
              <w:rPr>
                <w:rFonts w:ascii="Arial" w:hAnsi="Arial" w:cs="Arial"/>
                <w:b w:val="0"/>
                <w:bCs w:val="0"/>
                <w:sz w:val="22"/>
                <w:szCs w:val="22"/>
              </w:rPr>
            </w:pPr>
            <w:r w:rsidRPr="00BF4AA8">
              <w:rPr>
                <w:rStyle w:val="Strong"/>
                <w:rFonts w:ascii="Arial" w:hAnsi="Arial" w:cs="Arial"/>
                <w:b/>
                <w:bCs/>
                <w:sz w:val="22"/>
                <w:szCs w:val="22"/>
              </w:rPr>
              <w:t>Indicator</w:t>
            </w:r>
          </w:p>
        </w:tc>
        <w:tc>
          <w:tcPr>
            <w:tcW w:w="0" w:type="auto"/>
            <w:hideMark/>
          </w:tcPr>
          <w:p w:rsidR="00704B24" w:rsidRPr="00BF4AA8" w:rsidRDefault="00704B24"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Style w:val="Strong"/>
                <w:rFonts w:ascii="Arial" w:hAnsi="Arial" w:cs="Arial"/>
                <w:b/>
                <w:bCs/>
                <w:sz w:val="22"/>
                <w:szCs w:val="22"/>
              </w:rPr>
              <w:t>Units</w:t>
            </w:r>
          </w:p>
        </w:tc>
        <w:tc>
          <w:tcPr>
            <w:tcW w:w="0" w:type="auto"/>
            <w:hideMark/>
          </w:tcPr>
          <w:p w:rsidR="00704B24" w:rsidRPr="00BF4AA8" w:rsidRDefault="00704B24"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Style w:val="Strong"/>
                <w:rFonts w:ascii="Arial" w:hAnsi="Arial" w:cs="Arial"/>
                <w:b/>
                <w:bCs/>
                <w:sz w:val="22"/>
                <w:szCs w:val="22"/>
              </w:rPr>
              <w:t>Data Source</w:t>
            </w:r>
          </w:p>
        </w:tc>
        <w:tc>
          <w:tcPr>
            <w:tcW w:w="0" w:type="auto"/>
            <w:hideMark/>
          </w:tcPr>
          <w:p w:rsidR="00704B24" w:rsidRPr="00BF4AA8" w:rsidRDefault="00704B24"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Style w:val="Strong"/>
                <w:rFonts w:ascii="Arial" w:hAnsi="Arial" w:cs="Arial"/>
                <w:b/>
                <w:bCs/>
                <w:sz w:val="22"/>
                <w:szCs w:val="22"/>
              </w:rPr>
              <w:t>National Standard</w:t>
            </w:r>
          </w:p>
        </w:tc>
        <w:tc>
          <w:tcPr>
            <w:tcW w:w="0" w:type="auto"/>
            <w:hideMark/>
          </w:tcPr>
          <w:p w:rsidR="00704B24" w:rsidRPr="00BF4AA8" w:rsidRDefault="00704B24"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Style w:val="Strong"/>
                <w:rFonts w:ascii="Arial" w:hAnsi="Arial" w:cs="Arial"/>
                <w:b/>
                <w:bCs/>
                <w:sz w:val="22"/>
                <w:szCs w:val="22"/>
              </w:rPr>
              <w:t>Methods</w:t>
            </w:r>
          </w:p>
        </w:tc>
        <w:tc>
          <w:tcPr>
            <w:tcW w:w="0" w:type="auto"/>
            <w:hideMark/>
          </w:tcPr>
          <w:p w:rsidR="00704B24" w:rsidRPr="00BF4AA8" w:rsidRDefault="00704B24"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Style w:val="Strong"/>
                <w:rFonts w:ascii="Arial" w:hAnsi="Arial" w:cs="Arial"/>
                <w:b/>
                <w:bCs/>
                <w:sz w:val="22"/>
                <w:szCs w:val="22"/>
              </w:rPr>
              <w:t>Notes</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jc w:val="both"/>
              <w:rPr>
                <w:rFonts w:ascii="Arial" w:hAnsi="Arial" w:cs="Arial"/>
                <w:b w:val="0"/>
                <w:bCs w:val="0"/>
                <w:sz w:val="22"/>
                <w:szCs w:val="22"/>
              </w:rPr>
            </w:pPr>
            <w:r w:rsidRPr="00BF4AA8">
              <w:rPr>
                <w:rFonts w:ascii="Arial" w:hAnsi="Arial" w:cs="Arial"/>
                <w:sz w:val="22"/>
                <w:szCs w:val="22"/>
              </w:rPr>
              <w:t>Oil &amp; Grease</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mg/L</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xml:space="preserve"> (2022–2023)</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 mg/L</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Infrared </w:t>
            </w:r>
            <w:proofErr w:type="spellStart"/>
            <w:r w:rsidRPr="00BF4AA8">
              <w:rPr>
                <w:rFonts w:ascii="Arial" w:hAnsi="Arial" w:cs="Arial"/>
                <w:sz w:val="22"/>
                <w:szCs w:val="22"/>
              </w:rPr>
              <w:t>spectro</w:t>
            </w:r>
            <w:proofErr w:type="spellEnd"/>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Exceedances at PAS, Stung </w:t>
            </w:r>
            <w:proofErr w:type="spellStart"/>
            <w:r w:rsidRPr="00BF4AA8">
              <w:rPr>
                <w:rFonts w:ascii="Arial" w:hAnsi="Arial" w:cs="Arial"/>
                <w:sz w:val="22"/>
                <w:szCs w:val="22"/>
              </w:rPr>
              <w:t>Hav</w:t>
            </w:r>
            <w:proofErr w:type="spellEnd"/>
          </w:p>
        </w:tc>
      </w:tr>
      <w:tr w:rsidR="00704B24"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jc w:val="both"/>
              <w:rPr>
                <w:rFonts w:ascii="Arial" w:hAnsi="Arial" w:cs="Arial"/>
                <w:sz w:val="22"/>
                <w:szCs w:val="22"/>
              </w:rPr>
            </w:pPr>
            <w:r w:rsidRPr="00BF4AA8">
              <w:rPr>
                <w:rFonts w:ascii="Arial" w:hAnsi="Arial" w:cs="Arial"/>
                <w:sz w:val="22"/>
                <w:szCs w:val="22"/>
              </w:rPr>
              <w:t>TPH</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mg/L</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≤0.5 mg/L</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GC or IR</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Chronic low-level contamination around port</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jc w:val="both"/>
              <w:rPr>
                <w:rFonts w:ascii="Arial" w:hAnsi="Arial" w:cs="Arial"/>
                <w:sz w:val="22"/>
                <w:szCs w:val="22"/>
              </w:rPr>
            </w:pPr>
            <w:r w:rsidRPr="00BF4AA8">
              <w:rPr>
                <w:rFonts w:ascii="Arial" w:hAnsi="Arial" w:cs="Arial"/>
                <w:sz w:val="22"/>
                <w:szCs w:val="22"/>
              </w:rPr>
              <w:t>Lead (Pb)</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mg/L (water) / mg/kg (sediment)</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xml:space="preserve">; </w:t>
            </w:r>
            <w:proofErr w:type="spellStart"/>
            <w:r w:rsidRPr="00BF4AA8">
              <w:rPr>
                <w:rFonts w:ascii="Arial" w:hAnsi="Arial" w:cs="Arial"/>
                <w:sz w:val="22"/>
                <w:szCs w:val="22"/>
              </w:rPr>
              <w:t>FiA</w:t>
            </w:r>
            <w:proofErr w:type="spellEnd"/>
            <w:r w:rsidRPr="00BF4AA8">
              <w:rPr>
                <w:rFonts w:ascii="Arial" w:hAnsi="Arial" w:cs="Arial"/>
                <w:sz w:val="22"/>
                <w:szCs w:val="22"/>
              </w:rPr>
              <w:t>/UNDP</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≤0.1 mg/L</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AAS</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Sediments show 10–25 mg/kg accumulation</w:t>
            </w:r>
          </w:p>
        </w:tc>
      </w:tr>
      <w:tr w:rsidR="00704B24"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jc w:val="both"/>
              <w:rPr>
                <w:rFonts w:ascii="Arial" w:hAnsi="Arial" w:cs="Arial"/>
                <w:sz w:val="22"/>
                <w:szCs w:val="22"/>
              </w:rPr>
            </w:pPr>
            <w:r w:rsidRPr="00BF4AA8">
              <w:rPr>
                <w:rFonts w:ascii="Arial" w:hAnsi="Arial" w:cs="Arial"/>
                <w:sz w:val="22"/>
                <w:szCs w:val="22"/>
              </w:rPr>
              <w:t>Zinc (Zn)</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mg/L / mg/kg</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≤1.0 mg/L</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AAS</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Elevated in estuaries (35–90 mg/kg)</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jc w:val="both"/>
              <w:rPr>
                <w:rFonts w:ascii="Arial" w:hAnsi="Arial" w:cs="Arial"/>
                <w:sz w:val="22"/>
                <w:szCs w:val="22"/>
              </w:rPr>
            </w:pPr>
            <w:r w:rsidRPr="00BF4AA8">
              <w:rPr>
                <w:rFonts w:ascii="Arial" w:hAnsi="Arial" w:cs="Arial"/>
                <w:sz w:val="22"/>
                <w:szCs w:val="22"/>
              </w:rPr>
              <w:t>Copper (Cu)</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mg/kg (sediment)</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xml:space="preserve">; </w:t>
            </w:r>
            <w:proofErr w:type="spellStart"/>
            <w:r w:rsidRPr="00BF4AA8">
              <w:rPr>
                <w:rFonts w:ascii="Arial" w:hAnsi="Arial" w:cs="Arial"/>
                <w:sz w:val="22"/>
                <w:szCs w:val="22"/>
              </w:rPr>
              <w:t>FiA</w:t>
            </w:r>
            <w:proofErr w:type="spellEnd"/>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AAS</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Consistent increase in sediments (12–28 mg/kg)</w:t>
            </w:r>
          </w:p>
        </w:tc>
      </w:tr>
    </w:tbl>
    <w:p w:rsidR="00704B24" w:rsidRPr="00BF4AA8" w:rsidRDefault="00704B24" w:rsidP="00704B24">
      <w:pPr>
        <w:pStyle w:val="NormalWeb"/>
        <w:adjustRightInd w:val="0"/>
        <w:snapToGrid w:val="0"/>
        <w:spacing w:before="0" w:beforeAutospacing="0" w:after="0" w:afterAutospacing="0"/>
        <w:jc w:val="both"/>
        <w:rPr>
          <w:rFonts w:ascii="Arial" w:hAnsi="Arial" w:cs="Arial"/>
          <w:sz w:val="22"/>
          <w:szCs w:val="22"/>
        </w:rPr>
      </w:pPr>
    </w:p>
    <w:p w:rsidR="00704B24" w:rsidRPr="00BF4AA8" w:rsidRDefault="00704B24" w:rsidP="00704B24">
      <w:pPr>
        <w:pStyle w:val="Caption"/>
        <w:jc w:val="both"/>
        <w:rPr>
          <w:rFonts w:ascii="Arial" w:hAnsi="Arial" w:cs="Arial"/>
          <w:b/>
          <w:bCs/>
          <w:i w:val="0"/>
          <w:iCs w:val="0"/>
          <w:color w:val="0070C0"/>
          <w:sz w:val="22"/>
          <w:szCs w:val="22"/>
        </w:rPr>
      </w:pPr>
      <w:r w:rsidRPr="00BF4AA8">
        <w:rPr>
          <w:rFonts w:ascii="Arial" w:hAnsi="Arial" w:cs="Arial"/>
          <w:b/>
          <w:bCs/>
          <w:i w:val="0"/>
          <w:iCs w:val="0"/>
          <w:color w:val="0070C0"/>
          <w:sz w:val="22"/>
          <w:szCs w:val="22"/>
        </w:rPr>
        <w:t>C. Solid Waste and Marine Litter</w:t>
      </w:r>
    </w:p>
    <w:p w:rsidR="00704B24" w:rsidRPr="00BF4AA8" w:rsidRDefault="00704B24" w:rsidP="00704B24">
      <w:pPr>
        <w:pStyle w:val="NormalWeb"/>
        <w:jc w:val="both"/>
        <w:rPr>
          <w:rStyle w:val="relative"/>
          <w:rFonts w:ascii="Arial" w:hAnsi="Arial" w:cs="Arial"/>
          <w:sz w:val="22"/>
          <w:szCs w:val="22"/>
        </w:rPr>
      </w:pPr>
      <w:r w:rsidRPr="00BF4AA8">
        <w:rPr>
          <w:rFonts w:ascii="Arial" w:hAnsi="Arial" w:cs="Arial"/>
          <w:sz w:val="22"/>
          <w:szCs w:val="22"/>
        </w:rPr>
        <w:t xml:space="preserve">This annex collates data on municipal solid waste generation, collection efficiency, marine litter and microplastic contamination in coastal areas. It integrates </w:t>
      </w:r>
      <w:proofErr w:type="spellStart"/>
      <w:r w:rsidRPr="00BF4AA8">
        <w:rPr>
          <w:rFonts w:ascii="Arial" w:hAnsi="Arial" w:cs="Arial"/>
          <w:sz w:val="22"/>
          <w:szCs w:val="22"/>
        </w:rPr>
        <w:t>MoE</w:t>
      </w:r>
      <w:proofErr w:type="spellEnd"/>
      <w:r w:rsidRPr="00BF4AA8">
        <w:rPr>
          <w:rFonts w:ascii="Arial" w:hAnsi="Arial" w:cs="Arial"/>
          <w:sz w:val="22"/>
          <w:szCs w:val="22"/>
        </w:rPr>
        <w:t xml:space="preserve"> national waste baselines, municipal waste data from coastal provinces, UNDP and ADB beach-litter surveys, and </w:t>
      </w:r>
      <w:proofErr w:type="spellStart"/>
      <w:r w:rsidRPr="00BF4AA8">
        <w:rPr>
          <w:rFonts w:ascii="Arial" w:hAnsi="Arial" w:cs="Arial"/>
          <w:sz w:val="22"/>
          <w:szCs w:val="22"/>
        </w:rPr>
        <w:t>FiA</w:t>
      </w:r>
      <w:proofErr w:type="spellEnd"/>
      <w:r w:rsidRPr="00BF4AA8">
        <w:rPr>
          <w:rFonts w:ascii="Arial" w:hAnsi="Arial" w:cs="Arial"/>
          <w:sz w:val="22"/>
          <w:szCs w:val="22"/>
        </w:rPr>
        <w:t xml:space="preserve">/UNDP sediment microplastic studies. </w:t>
      </w:r>
    </w:p>
    <w:p w:rsidR="00704B24" w:rsidRPr="00BF4AA8" w:rsidRDefault="00704B24" w:rsidP="00704B24">
      <w:pPr>
        <w:pStyle w:val="NormalWeb"/>
        <w:jc w:val="both"/>
        <w:rPr>
          <w:rFonts w:ascii="Arial" w:hAnsi="Arial" w:cs="Arial"/>
          <w:sz w:val="22"/>
          <w:szCs w:val="22"/>
        </w:rPr>
      </w:pPr>
      <w:r w:rsidRPr="00BF4AA8">
        <w:rPr>
          <w:rFonts w:ascii="Arial" w:hAnsi="Arial" w:cs="Arial"/>
          <w:sz w:val="22"/>
          <w:szCs w:val="22"/>
        </w:rPr>
        <w:t xml:space="preserve">These datasets </w:t>
      </w:r>
      <w:proofErr w:type="gramStart"/>
      <w:r w:rsidRPr="00BF4AA8">
        <w:rPr>
          <w:rFonts w:ascii="Arial" w:hAnsi="Arial" w:cs="Arial"/>
          <w:sz w:val="22"/>
          <w:szCs w:val="22"/>
        </w:rPr>
        <w:t>are used</w:t>
      </w:r>
      <w:proofErr w:type="gramEnd"/>
      <w:r w:rsidRPr="00BF4AA8">
        <w:rPr>
          <w:rFonts w:ascii="Arial" w:hAnsi="Arial" w:cs="Arial"/>
          <w:sz w:val="22"/>
          <w:szCs w:val="22"/>
        </w:rPr>
        <w:t xml:space="preserve"> to estimate plastic leakage from land to sea, document spatial patterns of beach litter, and quantify microplastic abundance in nearshore sediments, providing a basis for assessing Cambodia’s contribution to regional marine-litter loads in the Gulf of Thailand.</w:t>
      </w:r>
    </w:p>
    <w:p w:rsidR="00704B24" w:rsidRPr="00BF4AA8" w:rsidRDefault="00704B24" w:rsidP="00704B24">
      <w:pPr>
        <w:pStyle w:val="Caption"/>
        <w:keepNext/>
        <w:spacing w:before="240" w:after="120"/>
        <w:rPr>
          <w:rFonts w:ascii="Arial" w:hAnsi="Arial" w:cs="Arial"/>
          <w:color w:val="002060"/>
          <w:sz w:val="22"/>
          <w:szCs w:val="22"/>
        </w:rPr>
      </w:pPr>
      <w:r w:rsidRPr="00BF4AA8">
        <w:rPr>
          <w:rFonts w:ascii="Arial" w:hAnsi="Arial" w:cs="Arial"/>
          <w:color w:val="002060"/>
          <w:sz w:val="22"/>
          <w:szCs w:val="22"/>
        </w:rPr>
        <w:t>Annex Table 3-</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Annex_Table_3-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5</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Solid Waste, Marine Litter and Microplastics: Data Sources, Metadata, and Assessment Method</w:t>
      </w:r>
    </w:p>
    <w:tbl>
      <w:tblPr>
        <w:tblStyle w:val="GridTable4-Accent5"/>
        <w:tblW w:w="0" w:type="auto"/>
        <w:tblLook w:val="04A0" w:firstRow="1" w:lastRow="0" w:firstColumn="1" w:lastColumn="0" w:noHBand="0" w:noVBand="1"/>
      </w:tblPr>
      <w:tblGrid>
        <w:gridCol w:w="1415"/>
        <w:gridCol w:w="7073"/>
      </w:tblGrid>
      <w:tr w:rsidR="00704B24"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hideMark/>
          </w:tcPr>
          <w:p w:rsidR="00704B24" w:rsidRPr="00BF4AA8" w:rsidRDefault="00704B24" w:rsidP="005F1F5C">
            <w:pPr>
              <w:jc w:val="center"/>
              <w:rPr>
                <w:rFonts w:ascii="Arial" w:hAnsi="Arial" w:cs="Arial"/>
                <w:sz w:val="22"/>
                <w:szCs w:val="22"/>
              </w:rPr>
            </w:pPr>
            <w:r w:rsidRPr="00BF4AA8">
              <w:rPr>
                <w:rStyle w:val="Strong"/>
                <w:rFonts w:ascii="Arial" w:hAnsi="Arial" w:cs="Arial"/>
                <w:sz w:val="22"/>
                <w:szCs w:val="22"/>
              </w:rPr>
              <w:t>Category</w:t>
            </w:r>
          </w:p>
        </w:tc>
        <w:tc>
          <w:tcPr>
            <w:tcW w:w="7739" w:type="dxa"/>
            <w:hideMark/>
          </w:tcPr>
          <w:p w:rsidR="00704B24" w:rsidRPr="00BF4AA8" w:rsidRDefault="00704B24"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b/>
                <w:bCs/>
                <w:sz w:val="22"/>
                <w:szCs w:val="22"/>
              </w:rPr>
              <w:t>Details</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hideMark/>
          </w:tcPr>
          <w:p w:rsidR="00704B24" w:rsidRPr="00BF4AA8" w:rsidRDefault="00704B24" w:rsidP="005F1F5C">
            <w:pPr>
              <w:jc w:val="both"/>
              <w:rPr>
                <w:rFonts w:ascii="Arial" w:hAnsi="Arial" w:cs="Arial"/>
                <w:b w:val="0"/>
                <w:bCs w:val="0"/>
                <w:sz w:val="22"/>
                <w:szCs w:val="22"/>
              </w:rPr>
            </w:pPr>
            <w:r w:rsidRPr="00BF4AA8">
              <w:rPr>
                <w:rStyle w:val="Strong"/>
                <w:rFonts w:ascii="Arial" w:hAnsi="Arial" w:cs="Arial"/>
                <w:b/>
                <w:bCs/>
                <w:sz w:val="22"/>
                <w:szCs w:val="22"/>
              </w:rPr>
              <w:t>Data Sources</w:t>
            </w:r>
          </w:p>
        </w:tc>
        <w:tc>
          <w:tcPr>
            <w:tcW w:w="7739" w:type="dxa"/>
            <w:hideMark/>
          </w:tcPr>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xml:space="preserve"> National Waste Baseline and provincial waste diagnostics (2018–2023). UNDP and ADB studies on municipal waste and marine litter in Phnom Penh and coastal cities.</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Beach-litter surveys following UNEP/COBSEA protocols (ADB, UNDP).</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FiA</w:t>
            </w:r>
            <w:proofErr w:type="spellEnd"/>
            <w:r w:rsidRPr="00BF4AA8">
              <w:rPr>
                <w:rFonts w:ascii="Arial" w:hAnsi="Arial" w:cs="Arial"/>
                <w:sz w:val="22"/>
                <w:szCs w:val="22"/>
              </w:rPr>
              <w:t xml:space="preserve"> &amp; UNDP sediment microplastic surveys (</w:t>
            </w:r>
            <w:proofErr w:type="spellStart"/>
            <w:r w:rsidRPr="00BF4AA8">
              <w:rPr>
                <w:rFonts w:ascii="Arial" w:hAnsi="Arial" w:cs="Arial"/>
                <w:sz w:val="22"/>
                <w:szCs w:val="22"/>
              </w:rPr>
              <w:t>Otres</w:t>
            </w:r>
            <w:proofErr w:type="spellEnd"/>
            <w:r w:rsidRPr="00BF4AA8">
              <w:rPr>
                <w:rFonts w:ascii="Arial" w:hAnsi="Arial" w:cs="Arial"/>
                <w:sz w:val="22"/>
                <w:szCs w:val="22"/>
              </w:rPr>
              <w:t>, Ream, Koh Rong/</w:t>
            </w:r>
            <w:proofErr w:type="spellStart"/>
            <w:r w:rsidRPr="00BF4AA8">
              <w:rPr>
                <w:rFonts w:ascii="Arial" w:hAnsi="Arial" w:cs="Arial"/>
                <w:sz w:val="22"/>
                <w:szCs w:val="22"/>
              </w:rPr>
              <w:t>Sanloem</w:t>
            </w:r>
            <w:proofErr w:type="spellEnd"/>
            <w:r w:rsidRPr="00BF4AA8">
              <w:rPr>
                <w:rFonts w:ascii="Arial" w:hAnsi="Arial" w:cs="Arial"/>
                <w:sz w:val="22"/>
                <w:szCs w:val="22"/>
              </w:rPr>
              <w:t xml:space="preserve">, </w:t>
            </w:r>
            <w:proofErr w:type="spellStart"/>
            <w:r w:rsidRPr="00BF4AA8">
              <w:rPr>
                <w:rFonts w:ascii="Arial" w:hAnsi="Arial" w:cs="Arial"/>
                <w:sz w:val="22"/>
                <w:szCs w:val="22"/>
              </w:rPr>
              <w:t>Kep</w:t>
            </w:r>
            <w:proofErr w:type="spellEnd"/>
            <w:r w:rsidRPr="00BF4AA8">
              <w:rPr>
                <w:rFonts w:ascii="Arial" w:hAnsi="Arial" w:cs="Arial"/>
                <w:sz w:val="22"/>
                <w:szCs w:val="22"/>
              </w:rPr>
              <w:t xml:space="preserve">). </w:t>
            </w:r>
          </w:p>
        </w:tc>
      </w:tr>
      <w:tr w:rsidR="00704B24" w:rsidRPr="00BF4AA8" w:rsidTr="005F1F5C">
        <w:tc>
          <w:tcPr>
            <w:cnfStyle w:val="001000000000" w:firstRow="0" w:lastRow="0" w:firstColumn="1" w:lastColumn="0" w:oddVBand="0" w:evenVBand="0" w:oddHBand="0" w:evenHBand="0" w:firstRowFirstColumn="0" w:firstRowLastColumn="0" w:lastRowFirstColumn="0" w:lastRowLastColumn="0"/>
            <w:tcW w:w="1271" w:type="dxa"/>
            <w:hideMark/>
          </w:tcPr>
          <w:p w:rsidR="00704B24" w:rsidRPr="00BF4AA8" w:rsidRDefault="00704B24" w:rsidP="005F1F5C">
            <w:pPr>
              <w:jc w:val="both"/>
              <w:rPr>
                <w:rFonts w:ascii="Arial" w:hAnsi="Arial" w:cs="Arial"/>
                <w:sz w:val="22"/>
                <w:szCs w:val="22"/>
              </w:rPr>
            </w:pPr>
            <w:r w:rsidRPr="00BF4AA8">
              <w:rPr>
                <w:rStyle w:val="Strong"/>
                <w:rFonts w:ascii="Arial" w:hAnsi="Arial" w:cs="Arial"/>
                <w:sz w:val="22"/>
                <w:szCs w:val="22"/>
              </w:rPr>
              <w:t>Metadata</w:t>
            </w:r>
          </w:p>
        </w:tc>
        <w:tc>
          <w:tcPr>
            <w:tcW w:w="7739" w:type="dxa"/>
            <w:hideMark/>
          </w:tcPr>
          <w:p w:rsidR="00704B24" w:rsidRPr="00BF4AA8" w:rsidRDefault="00704B24" w:rsidP="00704B24">
            <w:pPr>
              <w:pStyle w:val="ListParagraph"/>
              <w:numPr>
                <w:ilvl w:val="0"/>
                <w:numId w:val="146"/>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 Indicators: waste generation (t/day, t/year); collection coverage (%); plastic fraction of MSW; beach-litter density (items/m²); sediment microplastic abundance (particles/kg). </w:t>
            </w:r>
          </w:p>
          <w:p w:rsidR="00704B24" w:rsidRPr="00BF4AA8" w:rsidRDefault="00704B24" w:rsidP="00704B24">
            <w:pPr>
              <w:pStyle w:val="ListParagraph"/>
              <w:numPr>
                <w:ilvl w:val="0"/>
                <w:numId w:val="146"/>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Spatial coverage: four coastal provinces plus Phnom Penh; key beaches and ports.</w:t>
            </w:r>
          </w:p>
          <w:p w:rsidR="00704B24" w:rsidRPr="00BF4AA8" w:rsidRDefault="00704B24" w:rsidP="00704B24">
            <w:pPr>
              <w:pStyle w:val="ListParagraph"/>
              <w:numPr>
                <w:ilvl w:val="0"/>
                <w:numId w:val="146"/>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gramStart"/>
            <w:r w:rsidRPr="00BF4AA8">
              <w:rPr>
                <w:rFonts w:ascii="Arial" w:hAnsi="Arial" w:cs="Arial"/>
                <w:sz w:val="22"/>
                <w:szCs w:val="22"/>
              </w:rPr>
              <w:t>Timeframe</w:t>
            </w:r>
            <w:proofErr w:type="gramEnd"/>
            <w:r w:rsidRPr="00BF4AA8">
              <w:rPr>
                <w:rFonts w:ascii="Arial" w:hAnsi="Arial" w:cs="Arial"/>
                <w:sz w:val="22"/>
                <w:szCs w:val="22"/>
              </w:rPr>
              <w:t>: baseline around 2018–2023; some trend data for Phnom Penh.</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hideMark/>
          </w:tcPr>
          <w:p w:rsidR="00704B24" w:rsidRPr="00BF4AA8" w:rsidRDefault="00704B24" w:rsidP="005F1F5C">
            <w:pPr>
              <w:jc w:val="both"/>
              <w:rPr>
                <w:rFonts w:ascii="Arial" w:hAnsi="Arial" w:cs="Arial"/>
                <w:sz w:val="22"/>
                <w:szCs w:val="22"/>
              </w:rPr>
            </w:pPr>
            <w:r w:rsidRPr="00BF4AA8">
              <w:rPr>
                <w:rStyle w:val="Strong"/>
                <w:rFonts w:ascii="Arial" w:hAnsi="Arial" w:cs="Arial"/>
                <w:sz w:val="22"/>
                <w:szCs w:val="22"/>
              </w:rPr>
              <w:t>Assessment Method</w:t>
            </w:r>
          </w:p>
        </w:tc>
        <w:tc>
          <w:tcPr>
            <w:tcW w:w="7739" w:type="dxa"/>
            <w:hideMark/>
          </w:tcPr>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Combine generation and collection data to estimate uncollected waste and coastal plastic leakage (&gt;14,000 t/year).</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Use </w:t>
            </w:r>
            <w:proofErr w:type="spellStart"/>
            <w:r w:rsidRPr="00BF4AA8">
              <w:rPr>
                <w:rFonts w:ascii="Arial" w:hAnsi="Arial" w:cs="Arial"/>
                <w:sz w:val="22"/>
                <w:szCs w:val="22"/>
              </w:rPr>
              <w:t>standardised</w:t>
            </w:r>
            <w:proofErr w:type="spellEnd"/>
            <w:r w:rsidRPr="00BF4AA8">
              <w:rPr>
                <w:rFonts w:ascii="Arial" w:hAnsi="Arial" w:cs="Arial"/>
                <w:sz w:val="22"/>
                <w:szCs w:val="22"/>
              </w:rPr>
              <w:t xml:space="preserve"> transects to compare litter densities across sites and identify tourism-dominated hotspots.</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Analyse</w:t>
            </w:r>
            <w:proofErr w:type="spellEnd"/>
            <w:r w:rsidRPr="00BF4AA8">
              <w:rPr>
                <w:rFonts w:ascii="Arial" w:hAnsi="Arial" w:cs="Arial"/>
                <w:sz w:val="22"/>
                <w:szCs w:val="22"/>
              </w:rPr>
              <w:t xml:space="preserve"> microplastic counts in sediments (120–350 particles/kg) to classify contamination levels and associate with nearby sources (ports, river mouths, tourism areas).</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Interpret results in relation to regional circulation models to infer transboundary transport of plastics and microplastics. </w:t>
            </w:r>
          </w:p>
        </w:tc>
      </w:tr>
    </w:tbl>
    <w:p w:rsidR="00704B24" w:rsidRPr="00BF4AA8" w:rsidRDefault="00704B24" w:rsidP="00704B24">
      <w:pPr>
        <w:jc w:val="both"/>
        <w:rPr>
          <w:rFonts w:ascii="Arial" w:hAnsi="Arial" w:cs="Arial"/>
          <w:sz w:val="22"/>
          <w:szCs w:val="22"/>
        </w:rPr>
      </w:pPr>
    </w:p>
    <w:p w:rsidR="00704B24" w:rsidRPr="00BF4AA8" w:rsidRDefault="00704B24" w:rsidP="00704B24">
      <w:pPr>
        <w:jc w:val="both"/>
        <w:rPr>
          <w:rFonts w:ascii="Arial" w:hAnsi="Arial" w:cs="Arial"/>
          <w:sz w:val="22"/>
          <w:szCs w:val="22"/>
        </w:rPr>
      </w:pPr>
      <w:r w:rsidRPr="00BF4AA8">
        <w:rPr>
          <w:rFonts w:ascii="Arial" w:hAnsi="Arial" w:cs="Arial"/>
          <w:sz w:val="22"/>
          <w:szCs w:val="22"/>
        </w:rPr>
        <w:t xml:space="preserve">The solid-waste and marine-litter datasets show that low collection rates and </w:t>
      </w:r>
      <w:proofErr w:type="spellStart"/>
      <w:r w:rsidRPr="00BF4AA8">
        <w:rPr>
          <w:rFonts w:ascii="Arial" w:hAnsi="Arial" w:cs="Arial"/>
          <w:sz w:val="22"/>
          <w:szCs w:val="22"/>
        </w:rPr>
        <w:t>unengineered</w:t>
      </w:r>
      <w:proofErr w:type="spellEnd"/>
      <w:r w:rsidRPr="00BF4AA8">
        <w:rPr>
          <w:rFonts w:ascii="Arial" w:hAnsi="Arial" w:cs="Arial"/>
          <w:sz w:val="22"/>
          <w:szCs w:val="22"/>
        </w:rPr>
        <w:t xml:space="preserve"> dumpsites generate substantial plastic leakage to rivers and coastal waters. Beach and sediment surveys confirm that plastics dominate shoreline debris and that microplastic contamination is already widespread near ports and tourist beaches. These findings support the chapter’s conclusion that marine litter and microplastics represent a rapidly escalating, transboundary pollution issue requiring coordinated land-based waste reforms and Gulf-wide cooperation. </w:t>
      </w:r>
    </w:p>
    <w:p w:rsidR="00704B24" w:rsidRPr="00BF4AA8" w:rsidRDefault="00704B24" w:rsidP="00704B24">
      <w:pPr>
        <w:pStyle w:val="NormalWeb"/>
        <w:adjustRightInd w:val="0"/>
        <w:snapToGrid w:val="0"/>
        <w:spacing w:before="0" w:beforeAutospacing="0" w:after="0" w:afterAutospacing="0"/>
        <w:jc w:val="both"/>
        <w:rPr>
          <w:rFonts w:ascii="Arial" w:hAnsi="Arial" w:cs="Arial"/>
          <w:sz w:val="22"/>
          <w:szCs w:val="22"/>
        </w:rPr>
      </w:pPr>
    </w:p>
    <w:p w:rsidR="00704B24" w:rsidRPr="00BF4AA8" w:rsidRDefault="00704B24" w:rsidP="00704B24">
      <w:pPr>
        <w:pStyle w:val="Caption"/>
        <w:jc w:val="both"/>
        <w:rPr>
          <w:rFonts w:ascii="Arial" w:hAnsi="Arial" w:cs="Arial"/>
          <w:b/>
          <w:bCs/>
          <w:i w:val="0"/>
          <w:iCs w:val="0"/>
          <w:color w:val="0070C0"/>
          <w:sz w:val="22"/>
          <w:szCs w:val="22"/>
        </w:rPr>
      </w:pPr>
      <w:r w:rsidRPr="00BF4AA8">
        <w:rPr>
          <w:rFonts w:ascii="Arial" w:hAnsi="Arial" w:cs="Arial"/>
          <w:b/>
          <w:bCs/>
          <w:i w:val="0"/>
          <w:iCs w:val="0"/>
          <w:color w:val="0070C0"/>
          <w:sz w:val="22"/>
          <w:szCs w:val="22"/>
        </w:rPr>
        <w:t>D. Hazardous and Medical Waste</w:t>
      </w:r>
    </w:p>
    <w:p w:rsidR="00704B24" w:rsidRPr="00BF4AA8" w:rsidRDefault="00704B24" w:rsidP="00704B24">
      <w:pPr>
        <w:pStyle w:val="NormalWeb"/>
        <w:jc w:val="both"/>
        <w:rPr>
          <w:rStyle w:val="relative"/>
          <w:rFonts w:ascii="Arial" w:hAnsi="Arial" w:cs="Arial"/>
          <w:sz w:val="22"/>
          <w:szCs w:val="22"/>
        </w:rPr>
      </w:pPr>
      <w:r w:rsidRPr="00BF4AA8">
        <w:rPr>
          <w:rFonts w:ascii="Arial" w:hAnsi="Arial" w:cs="Arial"/>
          <w:sz w:val="22"/>
          <w:szCs w:val="22"/>
        </w:rPr>
        <w:t xml:space="preserve">This annex </w:t>
      </w:r>
      <w:proofErr w:type="spellStart"/>
      <w:r w:rsidRPr="00BF4AA8">
        <w:rPr>
          <w:rFonts w:ascii="Arial" w:hAnsi="Arial" w:cs="Arial"/>
          <w:sz w:val="22"/>
          <w:szCs w:val="22"/>
        </w:rPr>
        <w:t>synthesises</w:t>
      </w:r>
      <w:proofErr w:type="spellEnd"/>
      <w:r w:rsidRPr="00BF4AA8">
        <w:rPr>
          <w:rFonts w:ascii="Arial" w:hAnsi="Arial" w:cs="Arial"/>
          <w:sz w:val="22"/>
          <w:szCs w:val="22"/>
        </w:rPr>
        <w:t xml:space="preserve"> information on industrial hazardous waste and medical waste, including COVID-19-related surges, and compares estimated waste generation with national treatment capacity. It draws on UNDP and Business Scouts for Development (GIZ) sector studies, Korean knowledge-sharing </w:t>
      </w:r>
      <w:proofErr w:type="spellStart"/>
      <w:r w:rsidRPr="00BF4AA8">
        <w:rPr>
          <w:rFonts w:ascii="Arial" w:hAnsi="Arial" w:cs="Arial"/>
          <w:sz w:val="22"/>
          <w:szCs w:val="22"/>
        </w:rPr>
        <w:t>programmes</w:t>
      </w:r>
      <w:proofErr w:type="spellEnd"/>
      <w:r w:rsidRPr="00BF4AA8">
        <w:rPr>
          <w:rFonts w:ascii="Arial" w:hAnsi="Arial" w:cs="Arial"/>
          <w:sz w:val="22"/>
          <w:szCs w:val="22"/>
        </w:rPr>
        <w:t xml:space="preserve">, UNCRD country summaries, and facility data for the Chip </w:t>
      </w:r>
      <w:proofErr w:type="spellStart"/>
      <w:r w:rsidRPr="00BF4AA8">
        <w:rPr>
          <w:rFonts w:ascii="Arial" w:hAnsi="Arial" w:cs="Arial"/>
          <w:sz w:val="22"/>
          <w:szCs w:val="22"/>
        </w:rPr>
        <w:t>Mong</w:t>
      </w:r>
      <w:proofErr w:type="spellEnd"/>
      <w:r w:rsidRPr="00BF4AA8">
        <w:rPr>
          <w:rFonts w:ascii="Arial" w:hAnsi="Arial" w:cs="Arial"/>
          <w:sz w:val="22"/>
          <w:szCs w:val="22"/>
        </w:rPr>
        <w:t xml:space="preserve"> </w:t>
      </w:r>
      <w:proofErr w:type="spellStart"/>
      <w:r w:rsidRPr="00BF4AA8">
        <w:rPr>
          <w:rFonts w:ascii="Arial" w:hAnsi="Arial" w:cs="Arial"/>
          <w:sz w:val="22"/>
          <w:szCs w:val="22"/>
        </w:rPr>
        <w:t>Ecocycle</w:t>
      </w:r>
      <w:proofErr w:type="spellEnd"/>
      <w:r w:rsidRPr="00BF4AA8">
        <w:rPr>
          <w:rFonts w:ascii="Arial" w:hAnsi="Arial" w:cs="Arial"/>
          <w:sz w:val="22"/>
          <w:szCs w:val="22"/>
        </w:rPr>
        <w:t xml:space="preserve"> co-processing plant and medical-waste incinerators. </w:t>
      </w:r>
    </w:p>
    <w:p w:rsidR="00704B24" w:rsidRPr="00BF4AA8" w:rsidRDefault="00704B24" w:rsidP="00704B24">
      <w:pPr>
        <w:pStyle w:val="NormalWeb"/>
        <w:jc w:val="both"/>
        <w:rPr>
          <w:rFonts w:ascii="Arial" w:hAnsi="Arial" w:cs="Arial"/>
          <w:sz w:val="22"/>
          <w:szCs w:val="22"/>
        </w:rPr>
      </w:pPr>
      <w:r w:rsidRPr="00BF4AA8">
        <w:rPr>
          <w:rFonts w:ascii="Arial" w:hAnsi="Arial" w:cs="Arial"/>
          <w:sz w:val="22"/>
          <w:szCs w:val="22"/>
        </w:rPr>
        <w:t xml:space="preserve">The indicators </w:t>
      </w:r>
      <w:proofErr w:type="gramStart"/>
      <w:r w:rsidRPr="00BF4AA8">
        <w:rPr>
          <w:rFonts w:ascii="Arial" w:hAnsi="Arial" w:cs="Arial"/>
          <w:sz w:val="22"/>
          <w:szCs w:val="22"/>
        </w:rPr>
        <w:t>are used</w:t>
      </w:r>
      <w:proofErr w:type="gramEnd"/>
      <w:r w:rsidRPr="00BF4AA8">
        <w:rPr>
          <w:rFonts w:ascii="Arial" w:hAnsi="Arial" w:cs="Arial"/>
          <w:sz w:val="22"/>
          <w:szCs w:val="22"/>
        </w:rPr>
        <w:t xml:space="preserve"> to assess whether hazardous and medical wastes are likely to be managed within licensed facilities or are at risk of informal dumping, co-disposal with municipal waste or uncontrolled burning.</w:t>
      </w:r>
    </w:p>
    <w:p w:rsidR="00704B24" w:rsidRPr="00BF4AA8" w:rsidRDefault="00704B24" w:rsidP="00704B24">
      <w:pPr>
        <w:pStyle w:val="Caption"/>
        <w:keepNext/>
        <w:spacing w:before="240" w:after="120"/>
        <w:rPr>
          <w:rFonts w:ascii="Arial" w:hAnsi="Arial" w:cs="Arial"/>
          <w:color w:val="002060"/>
          <w:sz w:val="22"/>
          <w:szCs w:val="22"/>
        </w:rPr>
      </w:pPr>
      <w:r w:rsidRPr="00BF4AA8">
        <w:rPr>
          <w:rFonts w:ascii="Arial" w:hAnsi="Arial" w:cs="Arial"/>
          <w:color w:val="002060"/>
          <w:sz w:val="22"/>
          <w:szCs w:val="22"/>
        </w:rPr>
        <w:t>Annex Table 3-</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Annex_Table_3-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6</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Hazardous and medical waste: data sources, metadata, and assessment method</w:t>
      </w:r>
    </w:p>
    <w:tbl>
      <w:tblPr>
        <w:tblStyle w:val="GridTable4-Accent5"/>
        <w:tblW w:w="0" w:type="auto"/>
        <w:tblLook w:val="04A0" w:firstRow="1" w:lastRow="0" w:firstColumn="1" w:lastColumn="0" w:noHBand="0" w:noVBand="1"/>
      </w:tblPr>
      <w:tblGrid>
        <w:gridCol w:w="1415"/>
        <w:gridCol w:w="7073"/>
      </w:tblGrid>
      <w:tr w:rsidR="00704B24"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hideMark/>
          </w:tcPr>
          <w:p w:rsidR="00704B24" w:rsidRPr="00BF4AA8" w:rsidRDefault="00704B24" w:rsidP="005F1F5C">
            <w:pPr>
              <w:jc w:val="center"/>
              <w:rPr>
                <w:rFonts w:ascii="Arial" w:hAnsi="Arial" w:cs="Arial"/>
                <w:sz w:val="22"/>
                <w:szCs w:val="22"/>
              </w:rPr>
            </w:pPr>
            <w:r w:rsidRPr="00BF4AA8">
              <w:rPr>
                <w:rStyle w:val="Strong"/>
                <w:rFonts w:ascii="Arial" w:hAnsi="Arial" w:cs="Arial"/>
                <w:sz w:val="22"/>
                <w:szCs w:val="22"/>
              </w:rPr>
              <w:t>Category</w:t>
            </w:r>
          </w:p>
        </w:tc>
        <w:tc>
          <w:tcPr>
            <w:tcW w:w="7881" w:type="dxa"/>
            <w:hideMark/>
          </w:tcPr>
          <w:p w:rsidR="00704B24" w:rsidRPr="00BF4AA8" w:rsidRDefault="00704B24"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b/>
                <w:bCs/>
                <w:sz w:val="22"/>
                <w:szCs w:val="22"/>
              </w:rPr>
              <w:t>Details</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hideMark/>
          </w:tcPr>
          <w:p w:rsidR="00704B24" w:rsidRPr="00BF4AA8" w:rsidRDefault="00704B24" w:rsidP="005F1F5C">
            <w:pPr>
              <w:jc w:val="both"/>
              <w:rPr>
                <w:rFonts w:ascii="Arial" w:hAnsi="Arial" w:cs="Arial"/>
                <w:b w:val="0"/>
                <w:bCs w:val="0"/>
                <w:sz w:val="22"/>
                <w:szCs w:val="22"/>
              </w:rPr>
            </w:pPr>
            <w:r w:rsidRPr="00BF4AA8">
              <w:rPr>
                <w:rStyle w:val="Strong"/>
                <w:rFonts w:ascii="Arial" w:hAnsi="Arial" w:cs="Arial"/>
                <w:b/>
                <w:bCs/>
                <w:sz w:val="22"/>
                <w:szCs w:val="22"/>
              </w:rPr>
              <w:t>Data Sources</w:t>
            </w:r>
          </w:p>
        </w:tc>
        <w:tc>
          <w:tcPr>
            <w:tcW w:w="7881" w:type="dxa"/>
            <w:hideMark/>
          </w:tcPr>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UNDP and GIZ/Business Scouts sector briefs on waste management and medical waste (2020–2023).</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Korean KSP/KDI policy studies on industrial waste.</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UNCRD reports on hazardous-waste co-processing in cement kilns.</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MoH and facility reports on medical-waste incineration capacity. </w:t>
            </w:r>
          </w:p>
        </w:tc>
      </w:tr>
      <w:tr w:rsidR="00704B24" w:rsidRPr="00BF4AA8" w:rsidTr="005F1F5C">
        <w:tc>
          <w:tcPr>
            <w:cnfStyle w:val="001000000000" w:firstRow="0" w:lastRow="0" w:firstColumn="1" w:lastColumn="0" w:oddVBand="0" w:evenVBand="0" w:oddHBand="0" w:evenHBand="0" w:firstRowFirstColumn="0" w:firstRowLastColumn="0" w:lastRowFirstColumn="0" w:lastRowLastColumn="0"/>
            <w:tcW w:w="1129" w:type="dxa"/>
            <w:hideMark/>
          </w:tcPr>
          <w:p w:rsidR="00704B24" w:rsidRPr="00BF4AA8" w:rsidRDefault="00704B24" w:rsidP="005F1F5C">
            <w:pPr>
              <w:jc w:val="both"/>
              <w:rPr>
                <w:rFonts w:ascii="Arial" w:hAnsi="Arial" w:cs="Arial"/>
                <w:sz w:val="22"/>
                <w:szCs w:val="22"/>
              </w:rPr>
            </w:pPr>
            <w:r w:rsidRPr="00BF4AA8">
              <w:rPr>
                <w:rStyle w:val="Strong"/>
                <w:rFonts w:ascii="Arial" w:hAnsi="Arial" w:cs="Arial"/>
                <w:sz w:val="22"/>
                <w:szCs w:val="22"/>
              </w:rPr>
              <w:t>Metadata</w:t>
            </w:r>
          </w:p>
        </w:tc>
        <w:tc>
          <w:tcPr>
            <w:tcW w:w="7881" w:type="dxa"/>
            <w:hideMark/>
          </w:tcPr>
          <w:p w:rsidR="00704B24" w:rsidRPr="00BF4AA8" w:rsidRDefault="00704B24" w:rsidP="00704B24">
            <w:pPr>
              <w:pStyle w:val="ListParagraph"/>
              <w:numPr>
                <w:ilvl w:val="0"/>
                <w:numId w:val="146"/>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Indicators: estimated industrial hazardous</w:t>
            </w:r>
            <w:proofErr w:type="gramStart"/>
            <w:r w:rsidRPr="00BF4AA8">
              <w:rPr>
                <w:rFonts w:ascii="Arial" w:hAnsi="Arial" w:cs="Arial"/>
                <w:sz w:val="22"/>
                <w:szCs w:val="22"/>
              </w:rPr>
              <w:t>/“</w:t>
            </w:r>
            <w:proofErr w:type="gramEnd"/>
            <w:r w:rsidRPr="00BF4AA8">
              <w:rPr>
                <w:rFonts w:ascii="Arial" w:hAnsi="Arial" w:cs="Arial"/>
                <w:sz w:val="22"/>
                <w:szCs w:val="22"/>
              </w:rPr>
              <w:t xml:space="preserve">collected industrial” waste (t/year); routine and COVID-peak medical waste (t/year); licensed co-processing capacity (~150,000 t/year); number and size of medical-waste incinerators (~34 units). </w:t>
            </w:r>
          </w:p>
          <w:p w:rsidR="00704B24" w:rsidRPr="00BF4AA8" w:rsidRDefault="00704B24" w:rsidP="00704B24">
            <w:pPr>
              <w:pStyle w:val="ListParagraph"/>
              <w:numPr>
                <w:ilvl w:val="0"/>
                <w:numId w:val="146"/>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Spatial coverage: national, with concentration in Phnom Penh and industrial hubs; co-processing facility in </w:t>
            </w:r>
            <w:proofErr w:type="spellStart"/>
            <w:r w:rsidRPr="00BF4AA8">
              <w:rPr>
                <w:rFonts w:ascii="Arial" w:hAnsi="Arial" w:cs="Arial"/>
                <w:sz w:val="22"/>
                <w:szCs w:val="22"/>
              </w:rPr>
              <w:t>Kampot</w:t>
            </w:r>
            <w:proofErr w:type="spellEnd"/>
            <w:r w:rsidRPr="00BF4AA8">
              <w:rPr>
                <w:rFonts w:ascii="Arial" w:hAnsi="Arial" w:cs="Arial"/>
                <w:sz w:val="22"/>
                <w:szCs w:val="22"/>
              </w:rPr>
              <w:t>.</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9" w:type="dxa"/>
            <w:hideMark/>
          </w:tcPr>
          <w:p w:rsidR="00704B24" w:rsidRPr="00BF4AA8" w:rsidRDefault="00704B24" w:rsidP="005F1F5C">
            <w:pPr>
              <w:jc w:val="both"/>
              <w:rPr>
                <w:rFonts w:ascii="Arial" w:hAnsi="Arial" w:cs="Arial"/>
                <w:sz w:val="22"/>
                <w:szCs w:val="22"/>
              </w:rPr>
            </w:pPr>
            <w:r w:rsidRPr="00BF4AA8">
              <w:rPr>
                <w:rStyle w:val="Strong"/>
                <w:rFonts w:ascii="Arial" w:hAnsi="Arial" w:cs="Arial"/>
                <w:sz w:val="22"/>
                <w:szCs w:val="22"/>
              </w:rPr>
              <w:t>Assessment Method</w:t>
            </w:r>
          </w:p>
        </w:tc>
        <w:tc>
          <w:tcPr>
            <w:tcW w:w="7881" w:type="dxa"/>
            <w:hideMark/>
          </w:tcPr>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Compile reported waste generation by sector and compare with licensed treatment capacity to identify gaps and potential uncontrolled disposal.</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Map provinces and sectors without reasonable access to licensed hazardous-waste facilities.</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Classify overall risk qualitatively (low/medium/high) based on generation-to-capacity ratios, transport distances, and known informal practices (open burning, on-site burial, co-disposal at dumpsites). </w:t>
            </w:r>
          </w:p>
        </w:tc>
      </w:tr>
    </w:tbl>
    <w:p w:rsidR="00704B24" w:rsidRPr="00BF4AA8" w:rsidRDefault="00704B24" w:rsidP="00704B24">
      <w:pPr>
        <w:jc w:val="both"/>
        <w:rPr>
          <w:rFonts w:ascii="Arial" w:hAnsi="Arial" w:cs="Arial"/>
          <w:sz w:val="22"/>
          <w:szCs w:val="22"/>
        </w:rPr>
      </w:pPr>
    </w:p>
    <w:p w:rsidR="00704B24" w:rsidRPr="00BF4AA8" w:rsidRDefault="00704B24" w:rsidP="00704B24">
      <w:pPr>
        <w:jc w:val="both"/>
        <w:rPr>
          <w:rFonts w:ascii="Arial" w:hAnsi="Arial" w:cs="Arial"/>
          <w:sz w:val="22"/>
          <w:szCs w:val="22"/>
        </w:rPr>
      </w:pPr>
      <w:r w:rsidRPr="00BF4AA8">
        <w:rPr>
          <w:rFonts w:ascii="Arial" w:hAnsi="Arial" w:cs="Arial"/>
          <w:sz w:val="22"/>
          <w:szCs w:val="22"/>
        </w:rPr>
        <w:t xml:space="preserve">Available data suggest that industrial and medical hazardous wastes are increasing faster than licensed treatment capacity. While the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co-processing facility provides substantial nominal capacity, geographic concentration and limited coverage for smaller generators mean that many hazardous streams are likely mismanaged. This reinforces the chapter’s conclusion that hazardous-waste mismanagement is a medium but growing risk, especially where residues can leach into waterways or </w:t>
      </w:r>
      <w:proofErr w:type="gramStart"/>
      <w:r w:rsidRPr="00BF4AA8">
        <w:rPr>
          <w:rFonts w:ascii="Arial" w:hAnsi="Arial" w:cs="Arial"/>
          <w:sz w:val="22"/>
          <w:szCs w:val="22"/>
        </w:rPr>
        <w:t>be co-disposed</w:t>
      </w:r>
      <w:proofErr w:type="gramEnd"/>
      <w:r w:rsidRPr="00BF4AA8">
        <w:rPr>
          <w:rFonts w:ascii="Arial" w:hAnsi="Arial" w:cs="Arial"/>
          <w:sz w:val="22"/>
          <w:szCs w:val="22"/>
        </w:rPr>
        <w:t xml:space="preserve"> with municipal waste in unlined dumps.</w:t>
      </w:r>
    </w:p>
    <w:p w:rsidR="00704B24" w:rsidRPr="00BF4AA8" w:rsidRDefault="00704B24" w:rsidP="00704B24">
      <w:pPr>
        <w:pStyle w:val="Caption"/>
        <w:keepNext/>
        <w:spacing w:before="240" w:after="120"/>
        <w:rPr>
          <w:rFonts w:ascii="Arial" w:hAnsi="Arial" w:cs="Arial"/>
          <w:color w:val="002060"/>
          <w:sz w:val="22"/>
          <w:szCs w:val="22"/>
        </w:rPr>
      </w:pPr>
      <w:r w:rsidRPr="00BF4AA8">
        <w:rPr>
          <w:rFonts w:ascii="Arial" w:hAnsi="Arial" w:cs="Arial"/>
          <w:color w:val="002060"/>
          <w:sz w:val="22"/>
          <w:szCs w:val="22"/>
        </w:rPr>
        <w:t>Annex Table 3-</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Annex_Table_3-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7</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Hazardous and medical waste indicator summary</w:t>
      </w:r>
    </w:p>
    <w:tbl>
      <w:tblPr>
        <w:tblStyle w:val="GridTable4-Accent5"/>
        <w:tblW w:w="0" w:type="auto"/>
        <w:tblLook w:val="04A0" w:firstRow="1" w:lastRow="0" w:firstColumn="1" w:lastColumn="0" w:noHBand="0" w:noVBand="1"/>
      </w:tblPr>
      <w:tblGrid>
        <w:gridCol w:w="1141"/>
        <w:gridCol w:w="1758"/>
        <w:gridCol w:w="997"/>
        <w:gridCol w:w="1354"/>
        <w:gridCol w:w="1393"/>
        <w:gridCol w:w="1845"/>
      </w:tblGrid>
      <w:tr w:rsidR="00704B24"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jc w:val="both"/>
              <w:rPr>
                <w:rFonts w:ascii="Arial" w:hAnsi="Arial" w:cs="Arial"/>
                <w:b w:val="0"/>
                <w:bCs w:val="0"/>
                <w:sz w:val="22"/>
                <w:szCs w:val="22"/>
              </w:rPr>
            </w:pPr>
            <w:r w:rsidRPr="00BF4AA8">
              <w:rPr>
                <w:rStyle w:val="Strong"/>
                <w:rFonts w:ascii="Arial" w:hAnsi="Arial" w:cs="Arial"/>
                <w:b/>
                <w:bCs/>
                <w:sz w:val="22"/>
                <w:szCs w:val="22"/>
              </w:rPr>
              <w:t>Category</w:t>
            </w:r>
          </w:p>
        </w:tc>
        <w:tc>
          <w:tcPr>
            <w:tcW w:w="0" w:type="auto"/>
            <w:hideMark/>
          </w:tcPr>
          <w:p w:rsidR="00704B24" w:rsidRPr="00BF4AA8" w:rsidRDefault="00704B24"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b/>
                <w:bCs/>
                <w:sz w:val="22"/>
                <w:szCs w:val="22"/>
              </w:rPr>
              <w:t>Indicator</w:t>
            </w:r>
          </w:p>
        </w:tc>
        <w:tc>
          <w:tcPr>
            <w:tcW w:w="0" w:type="auto"/>
            <w:hideMark/>
          </w:tcPr>
          <w:p w:rsidR="00704B24" w:rsidRPr="00BF4AA8" w:rsidRDefault="00704B24"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b/>
                <w:bCs/>
                <w:sz w:val="22"/>
                <w:szCs w:val="22"/>
              </w:rPr>
              <w:t>Units</w:t>
            </w:r>
          </w:p>
        </w:tc>
        <w:tc>
          <w:tcPr>
            <w:tcW w:w="0" w:type="auto"/>
            <w:hideMark/>
          </w:tcPr>
          <w:p w:rsidR="00704B24" w:rsidRPr="00BF4AA8" w:rsidRDefault="00704B24"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b/>
                <w:bCs/>
                <w:sz w:val="22"/>
                <w:szCs w:val="22"/>
              </w:rPr>
              <w:t>Sources</w:t>
            </w:r>
          </w:p>
        </w:tc>
        <w:tc>
          <w:tcPr>
            <w:tcW w:w="0" w:type="auto"/>
            <w:hideMark/>
          </w:tcPr>
          <w:p w:rsidR="00704B24" w:rsidRPr="00BF4AA8" w:rsidRDefault="00704B24"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b/>
                <w:bCs/>
                <w:sz w:val="22"/>
                <w:szCs w:val="22"/>
              </w:rPr>
              <w:t>Methods</w:t>
            </w:r>
          </w:p>
        </w:tc>
        <w:tc>
          <w:tcPr>
            <w:tcW w:w="0" w:type="auto"/>
            <w:hideMark/>
          </w:tcPr>
          <w:p w:rsidR="00704B24" w:rsidRPr="00BF4AA8" w:rsidRDefault="00704B24"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b/>
                <w:bCs/>
                <w:sz w:val="22"/>
                <w:szCs w:val="22"/>
              </w:rPr>
              <w:t>Notes</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jc w:val="both"/>
              <w:rPr>
                <w:rFonts w:ascii="Arial" w:hAnsi="Arial" w:cs="Arial"/>
                <w:sz w:val="22"/>
                <w:szCs w:val="22"/>
              </w:rPr>
            </w:pPr>
            <w:r w:rsidRPr="00BF4AA8">
              <w:rPr>
                <w:rFonts w:ascii="Arial" w:hAnsi="Arial" w:cs="Arial"/>
                <w:sz w:val="22"/>
                <w:szCs w:val="22"/>
              </w:rPr>
              <w:t>Industrial hazardous waste</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Estimated industrial hazardous/collected industrial waste</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t/year</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UNDP (2021); Business Scouts for Development (2023); KSP/KDI studies; facility reports</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Compile reported annual waste volumes by facility/sector; compare with national hazardous-waste definitions</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Around 120,000 t/year “collected industrial waste” reported; only a portion formally recorded as hazardous; significant uncertainty on informal/unregistered generators.</w:t>
            </w:r>
          </w:p>
        </w:tc>
      </w:tr>
      <w:tr w:rsidR="00704B24"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jc w:val="both"/>
              <w:rPr>
                <w:rFonts w:ascii="Arial" w:hAnsi="Arial" w:cs="Arial"/>
                <w:sz w:val="22"/>
                <w:szCs w:val="22"/>
              </w:rPr>
            </w:pPr>
            <w:r w:rsidRPr="00BF4AA8">
              <w:rPr>
                <w:rFonts w:ascii="Arial" w:hAnsi="Arial" w:cs="Arial"/>
                <w:sz w:val="22"/>
                <w:szCs w:val="22"/>
              </w:rPr>
              <w:t>Medical waste (pre-COVID)</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Routine medical waste generation</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t/year</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UNDP (2021); MoH/health-facility reports</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Sum reported monthly/annual waste from hospitals and health </w:t>
            </w:r>
            <w:proofErr w:type="spellStart"/>
            <w:r w:rsidRPr="00BF4AA8">
              <w:rPr>
                <w:rFonts w:ascii="Arial" w:hAnsi="Arial" w:cs="Arial"/>
                <w:sz w:val="22"/>
                <w:szCs w:val="22"/>
              </w:rPr>
              <w:t>centres</w:t>
            </w:r>
            <w:proofErr w:type="spellEnd"/>
            <w:r w:rsidRPr="00BF4AA8">
              <w:rPr>
                <w:rFonts w:ascii="Arial" w:hAnsi="Arial" w:cs="Arial"/>
                <w:sz w:val="22"/>
                <w:szCs w:val="22"/>
              </w:rPr>
              <w:t>; extrapolate to national level</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Pre-COVID estimates ≈40 t/month (~480 t/year) in Phnom Penh; lower volumes in provinces with weak reporting.</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jc w:val="both"/>
              <w:rPr>
                <w:rFonts w:ascii="Arial" w:hAnsi="Arial" w:cs="Arial"/>
                <w:sz w:val="22"/>
                <w:szCs w:val="22"/>
              </w:rPr>
            </w:pPr>
            <w:r w:rsidRPr="00BF4AA8">
              <w:rPr>
                <w:rFonts w:ascii="Arial" w:hAnsi="Arial" w:cs="Arial"/>
                <w:sz w:val="22"/>
                <w:szCs w:val="22"/>
              </w:rPr>
              <w:t>Medical waste (COVID surge)</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Pandemic-related surge in medical waste</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t/year</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UNDP (2021); emergency-response documentation</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Compare peak daily generation with pre-COVID baselines; estimate </w:t>
            </w:r>
            <w:proofErr w:type="spellStart"/>
            <w:r w:rsidRPr="00BF4AA8">
              <w:rPr>
                <w:rFonts w:ascii="Arial" w:hAnsi="Arial" w:cs="Arial"/>
                <w:sz w:val="22"/>
                <w:szCs w:val="22"/>
              </w:rPr>
              <w:t>annualised</w:t>
            </w:r>
            <w:proofErr w:type="spellEnd"/>
            <w:r w:rsidRPr="00BF4AA8">
              <w:rPr>
                <w:rFonts w:ascii="Arial" w:hAnsi="Arial" w:cs="Arial"/>
                <w:sz w:val="22"/>
                <w:szCs w:val="22"/>
              </w:rPr>
              <w:t xml:space="preserve"> surge</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COVID period peaks up to ~20 t/day (~7,300 t/year) in Phnom Penh; stress-tested existing incinerators and storage capacity.</w:t>
            </w:r>
          </w:p>
        </w:tc>
      </w:tr>
      <w:tr w:rsidR="00704B24"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jc w:val="both"/>
              <w:rPr>
                <w:rFonts w:ascii="Arial" w:hAnsi="Arial" w:cs="Arial"/>
                <w:sz w:val="22"/>
                <w:szCs w:val="22"/>
              </w:rPr>
            </w:pPr>
            <w:r w:rsidRPr="00BF4AA8">
              <w:rPr>
                <w:rFonts w:ascii="Arial" w:hAnsi="Arial" w:cs="Arial"/>
                <w:sz w:val="22"/>
                <w:szCs w:val="22"/>
              </w:rPr>
              <w:t>Treatment capacity – co-processing</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Hazardous-waste co-processing capacity (cement kiln)</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t/year</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UNCRD (2023); company reports (Chip </w:t>
            </w:r>
            <w:proofErr w:type="spellStart"/>
            <w:r w:rsidRPr="00BF4AA8">
              <w:rPr>
                <w:rFonts w:ascii="Arial" w:hAnsi="Arial" w:cs="Arial"/>
                <w:sz w:val="22"/>
                <w:szCs w:val="22"/>
              </w:rPr>
              <w:t>Mong</w:t>
            </w:r>
            <w:proofErr w:type="spellEnd"/>
            <w:r w:rsidRPr="00BF4AA8">
              <w:rPr>
                <w:rFonts w:ascii="Arial" w:hAnsi="Arial" w:cs="Arial"/>
                <w:sz w:val="22"/>
                <w:szCs w:val="22"/>
              </w:rPr>
              <w:t xml:space="preserve"> </w:t>
            </w:r>
            <w:proofErr w:type="spellStart"/>
            <w:r w:rsidRPr="00BF4AA8">
              <w:rPr>
                <w:rFonts w:ascii="Arial" w:hAnsi="Arial" w:cs="Arial"/>
                <w:sz w:val="22"/>
                <w:szCs w:val="22"/>
              </w:rPr>
              <w:t>Ecocycle</w:t>
            </w:r>
            <w:proofErr w:type="spellEnd"/>
            <w:r w:rsidRPr="00BF4AA8">
              <w:rPr>
                <w:rFonts w:ascii="Arial" w:hAnsi="Arial" w:cs="Arial"/>
                <w:sz w:val="22"/>
                <w:szCs w:val="22"/>
              </w:rPr>
              <w:t>)</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Review licensed capacity; cross-check with reported annual inputs</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Nominal capacity ≈150,000 t/year; actual throughput lower; capacity mainly in </w:t>
            </w:r>
            <w:proofErr w:type="spellStart"/>
            <w:r w:rsidRPr="00BF4AA8">
              <w:rPr>
                <w:rFonts w:ascii="Arial" w:hAnsi="Arial" w:cs="Arial"/>
                <w:sz w:val="22"/>
                <w:szCs w:val="22"/>
              </w:rPr>
              <w:t>Kampot</w:t>
            </w:r>
            <w:proofErr w:type="spellEnd"/>
            <w:r w:rsidRPr="00BF4AA8">
              <w:rPr>
                <w:rFonts w:ascii="Arial" w:hAnsi="Arial" w:cs="Arial"/>
                <w:sz w:val="22"/>
                <w:szCs w:val="22"/>
              </w:rPr>
              <w:t>, far from northern/remote generators.</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jc w:val="both"/>
              <w:rPr>
                <w:rFonts w:ascii="Arial" w:hAnsi="Arial" w:cs="Arial"/>
                <w:sz w:val="22"/>
                <w:szCs w:val="22"/>
              </w:rPr>
            </w:pPr>
            <w:r w:rsidRPr="00BF4AA8">
              <w:rPr>
                <w:rFonts w:ascii="Arial" w:hAnsi="Arial" w:cs="Arial"/>
                <w:sz w:val="22"/>
                <w:szCs w:val="22"/>
              </w:rPr>
              <w:t>Treatment capacity – medical waste</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Number and capacity of medical-waste incinerators</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units; t/year</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GIZ (2020); UNCRD (2023); MoH</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Inventory of installed incinerators; estimate throughput based on design capacity and operating days</w:t>
            </w:r>
          </w:p>
        </w:tc>
        <w:tc>
          <w:tcPr>
            <w:tcW w:w="0" w:type="auto"/>
            <w:hideMark/>
          </w:tcPr>
          <w:p w:rsidR="00704B24" w:rsidRPr="00BF4AA8" w:rsidRDefault="00704B24" w:rsidP="005F1F5C">
            <w:pPr>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~34 incinerators nationwide (incl. 5 new JICA units); many small, intermittent operation; limited emission controls and ash management.</w:t>
            </w:r>
          </w:p>
        </w:tc>
      </w:tr>
      <w:tr w:rsidR="00704B24"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jc w:val="both"/>
              <w:rPr>
                <w:rFonts w:ascii="Arial" w:hAnsi="Arial" w:cs="Arial"/>
                <w:sz w:val="22"/>
                <w:szCs w:val="22"/>
              </w:rPr>
            </w:pPr>
            <w:r w:rsidRPr="00BF4AA8">
              <w:rPr>
                <w:rFonts w:ascii="Arial" w:hAnsi="Arial" w:cs="Arial"/>
                <w:sz w:val="22"/>
                <w:szCs w:val="22"/>
              </w:rPr>
              <w:t>Sectoral risk mapping</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Mismatch between waste generation and licensed treatment</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ratio; qualitative rating</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All above</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Compare estimated generation vs. licensed capacity; map provinces with no access to licensed facilities</w:t>
            </w:r>
          </w:p>
        </w:tc>
        <w:tc>
          <w:tcPr>
            <w:tcW w:w="0" w:type="auto"/>
            <w:hideMark/>
          </w:tcPr>
          <w:p w:rsidR="00704B24" w:rsidRPr="00BF4AA8" w:rsidRDefault="00704B24" w:rsidP="005F1F5C">
            <w:pPr>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High-risk sectors: small/medium industries, clinics, labs; risks include illegal dumping, on-site burial, co-disposal with municipal waste and open burning.</w:t>
            </w:r>
          </w:p>
        </w:tc>
      </w:tr>
    </w:tbl>
    <w:p w:rsidR="00704B24" w:rsidRPr="00BF4AA8" w:rsidRDefault="00704B24" w:rsidP="00704B24">
      <w:pPr>
        <w:pStyle w:val="NormalWeb"/>
        <w:adjustRightInd w:val="0"/>
        <w:snapToGrid w:val="0"/>
        <w:spacing w:before="0" w:beforeAutospacing="0" w:after="0" w:afterAutospacing="0"/>
        <w:jc w:val="both"/>
        <w:rPr>
          <w:rFonts w:ascii="Arial" w:hAnsi="Arial" w:cs="Arial"/>
          <w:sz w:val="22"/>
          <w:szCs w:val="22"/>
        </w:rPr>
      </w:pPr>
    </w:p>
    <w:p w:rsidR="00704B24" w:rsidRPr="00BF4AA8" w:rsidRDefault="00704B24" w:rsidP="00704B24">
      <w:pPr>
        <w:pStyle w:val="Caption"/>
        <w:jc w:val="both"/>
        <w:rPr>
          <w:rFonts w:ascii="Arial" w:hAnsi="Arial" w:cs="Arial"/>
          <w:b/>
          <w:bCs/>
          <w:i w:val="0"/>
          <w:iCs w:val="0"/>
          <w:color w:val="0070C0"/>
          <w:sz w:val="22"/>
          <w:szCs w:val="22"/>
        </w:rPr>
      </w:pPr>
      <w:r w:rsidRPr="00BF4AA8">
        <w:rPr>
          <w:rFonts w:ascii="Arial" w:hAnsi="Arial" w:cs="Arial"/>
          <w:b/>
          <w:bCs/>
          <w:i w:val="0"/>
          <w:iCs w:val="0"/>
          <w:color w:val="0070C0"/>
          <w:sz w:val="22"/>
          <w:szCs w:val="22"/>
        </w:rPr>
        <w:t>E. Hydrology and atmospheric (Discharge, Catchment Area, Flow Reversal)</w:t>
      </w:r>
    </w:p>
    <w:p w:rsidR="00704B24" w:rsidRPr="00BF4AA8" w:rsidRDefault="00704B24" w:rsidP="00704B24">
      <w:pPr>
        <w:pStyle w:val="NormalWeb"/>
        <w:jc w:val="both"/>
        <w:rPr>
          <w:rStyle w:val="relative"/>
          <w:rFonts w:ascii="Arial" w:hAnsi="Arial" w:cs="Arial"/>
          <w:sz w:val="22"/>
          <w:szCs w:val="22"/>
        </w:rPr>
      </w:pPr>
      <w:r w:rsidRPr="00BF4AA8">
        <w:rPr>
          <w:rFonts w:ascii="Arial" w:hAnsi="Arial" w:cs="Arial"/>
          <w:sz w:val="22"/>
          <w:szCs w:val="22"/>
        </w:rPr>
        <w:t xml:space="preserve">This annex </w:t>
      </w:r>
      <w:proofErr w:type="spellStart"/>
      <w:r w:rsidRPr="00BF4AA8">
        <w:rPr>
          <w:rFonts w:ascii="Arial" w:hAnsi="Arial" w:cs="Arial"/>
          <w:sz w:val="22"/>
          <w:szCs w:val="22"/>
        </w:rPr>
        <w:t>summarises</w:t>
      </w:r>
      <w:proofErr w:type="spellEnd"/>
      <w:r w:rsidRPr="00BF4AA8">
        <w:rPr>
          <w:rFonts w:ascii="Arial" w:hAnsi="Arial" w:cs="Arial"/>
          <w:sz w:val="22"/>
          <w:szCs w:val="22"/>
        </w:rPr>
        <w:t xml:space="preserve"> the hydrological and atmospheric datasets used to understand how pollutants </w:t>
      </w:r>
      <w:proofErr w:type="gramStart"/>
      <w:r w:rsidRPr="00BF4AA8">
        <w:rPr>
          <w:rFonts w:ascii="Arial" w:hAnsi="Arial" w:cs="Arial"/>
          <w:sz w:val="22"/>
          <w:szCs w:val="22"/>
        </w:rPr>
        <w:t>are transported</w:t>
      </w:r>
      <w:proofErr w:type="gramEnd"/>
      <w:r w:rsidRPr="00BF4AA8">
        <w:rPr>
          <w:rFonts w:ascii="Arial" w:hAnsi="Arial" w:cs="Arial"/>
          <w:sz w:val="22"/>
          <w:szCs w:val="22"/>
        </w:rPr>
        <w:t xml:space="preserve"> from inland hotspots to the coast and across borders. It relies on MRC hydrological records (discharge, flow reversal, catchment areas), </w:t>
      </w:r>
      <w:proofErr w:type="spellStart"/>
      <w:r w:rsidRPr="00BF4AA8">
        <w:rPr>
          <w:rFonts w:ascii="Arial" w:hAnsi="Arial" w:cs="Arial"/>
          <w:sz w:val="22"/>
          <w:szCs w:val="22"/>
        </w:rPr>
        <w:t>MoE</w:t>
      </w:r>
      <w:proofErr w:type="spellEnd"/>
      <w:r w:rsidRPr="00BF4AA8">
        <w:rPr>
          <w:rFonts w:ascii="Arial" w:hAnsi="Arial" w:cs="Arial"/>
          <w:sz w:val="22"/>
          <w:szCs w:val="22"/>
        </w:rPr>
        <w:t xml:space="preserve">/WEPA reports, and regional acid-deposition and air-pollution assessments (EANET/PRSAD4, MICS-Asia). </w:t>
      </w:r>
    </w:p>
    <w:p w:rsidR="00704B24" w:rsidRPr="00BF4AA8" w:rsidRDefault="00704B24" w:rsidP="00704B24">
      <w:pPr>
        <w:pStyle w:val="NormalWeb"/>
        <w:jc w:val="both"/>
        <w:rPr>
          <w:rFonts w:ascii="Arial" w:hAnsi="Arial" w:cs="Arial"/>
          <w:sz w:val="22"/>
          <w:szCs w:val="22"/>
        </w:rPr>
      </w:pPr>
      <w:r w:rsidRPr="00BF4AA8">
        <w:rPr>
          <w:rFonts w:ascii="Arial" w:hAnsi="Arial" w:cs="Arial"/>
          <w:sz w:val="22"/>
          <w:szCs w:val="22"/>
        </w:rPr>
        <w:t xml:space="preserve">Hydrological indicators </w:t>
      </w:r>
      <w:proofErr w:type="gramStart"/>
      <w:r w:rsidRPr="00BF4AA8">
        <w:rPr>
          <w:rFonts w:ascii="Arial" w:hAnsi="Arial" w:cs="Arial"/>
          <w:sz w:val="22"/>
          <w:szCs w:val="22"/>
        </w:rPr>
        <w:t>are used</w:t>
      </w:r>
      <w:proofErr w:type="gramEnd"/>
      <w:r w:rsidRPr="00BF4AA8">
        <w:rPr>
          <w:rFonts w:ascii="Arial" w:hAnsi="Arial" w:cs="Arial"/>
          <w:sz w:val="22"/>
          <w:szCs w:val="22"/>
        </w:rPr>
        <w:t xml:space="preserve"> to estimate pollutant loads (BOD, TSS, TN, TP) at key stations and to identify major river-to-sea pathways, while atmospheric datasets frame the relative contribution of airborne </w:t>
      </w:r>
      <w:proofErr w:type="spellStart"/>
      <w:r w:rsidRPr="00BF4AA8">
        <w:rPr>
          <w:rFonts w:ascii="Arial" w:hAnsi="Arial" w:cs="Arial"/>
          <w:sz w:val="22"/>
          <w:szCs w:val="22"/>
        </w:rPr>
        <w:t>sulphur</w:t>
      </w:r>
      <w:proofErr w:type="spellEnd"/>
      <w:r w:rsidRPr="00BF4AA8">
        <w:rPr>
          <w:rFonts w:ascii="Arial" w:hAnsi="Arial" w:cs="Arial"/>
          <w:sz w:val="22"/>
          <w:szCs w:val="22"/>
        </w:rPr>
        <w:t xml:space="preserve"> and nitrogen deposition to coastal nutrient budgets.</w:t>
      </w:r>
    </w:p>
    <w:p w:rsidR="00704B24" w:rsidRPr="00BF4AA8" w:rsidRDefault="00704B24" w:rsidP="00704B24">
      <w:pPr>
        <w:pStyle w:val="Caption"/>
        <w:keepNext/>
        <w:spacing w:before="240" w:after="120"/>
        <w:rPr>
          <w:rFonts w:ascii="Arial" w:hAnsi="Arial" w:cs="Arial"/>
          <w:color w:val="002060"/>
          <w:sz w:val="22"/>
          <w:szCs w:val="22"/>
        </w:rPr>
      </w:pPr>
      <w:r w:rsidRPr="00BF4AA8">
        <w:rPr>
          <w:rFonts w:ascii="Arial" w:hAnsi="Arial" w:cs="Arial"/>
          <w:color w:val="002060"/>
          <w:sz w:val="22"/>
          <w:szCs w:val="22"/>
        </w:rPr>
        <w:t>Annex Table 3-</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Annex_Table_3-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8</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Hydrology and transport: data sources, metadata, and assessment method</w:t>
      </w:r>
    </w:p>
    <w:tbl>
      <w:tblPr>
        <w:tblStyle w:val="GridTable4-Accent5"/>
        <w:tblW w:w="0" w:type="auto"/>
        <w:tblLook w:val="04A0" w:firstRow="1" w:lastRow="0" w:firstColumn="1" w:lastColumn="0" w:noHBand="0" w:noVBand="1"/>
      </w:tblPr>
      <w:tblGrid>
        <w:gridCol w:w="1415"/>
        <w:gridCol w:w="7073"/>
      </w:tblGrid>
      <w:tr w:rsidR="00704B24"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hideMark/>
          </w:tcPr>
          <w:p w:rsidR="00704B24" w:rsidRPr="00BF4AA8" w:rsidRDefault="00704B24" w:rsidP="005F1F5C">
            <w:pPr>
              <w:jc w:val="center"/>
              <w:rPr>
                <w:rFonts w:ascii="Arial" w:hAnsi="Arial" w:cs="Arial"/>
                <w:sz w:val="22"/>
                <w:szCs w:val="22"/>
              </w:rPr>
            </w:pPr>
            <w:r w:rsidRPr="00BF4AA8">
              <w:rPr>
                <w:rStyle w:val="Strong"/>
                <w:rFonts w:ascii="Arial" w:hAnsi="Arial" w:cs="Arial"/>
                <w:sz w:val="22"/>
                <w:szCs w:val="22"/>
              </w:rPr>
              <w:t>Category</w:t>
            </w:r>
          </w:p>
        </w:tc>
        <w:tc>
          <w:tcPr>
            <w:tcW w:w="8022" w:type="dxa"/>
            <w:hideMark/>
          </w:tcPr>
          <w:p w:rsidR="00704B24" w:rsidRPr="00BF4AA8" w:rsidRDefault="00704B24"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b/>
                <w:bCs/>
                <w:sz w:val="22"/>
                <w:szCs w:val="22"/>
              </w:rPr>
              <w:t>Details</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hideMark/>
          </w:tcPr>
          <w:p w:rsidR="00704B24" w:rsidRPr="00BF4AA8" w:rsidRDefault="00704B24" w:rsidP="005F1F5C">
            <w:pPr>
              <w:jc w:val="both"/>
              <w:rPr>
                <w:rFonts w:ascii="Arial" w:hAnsi="Arial" w:cs="Arial"/>
                <w:b w:val="0"/>
                <w:bCs w:val="0"/>
                <w:sz w:val="22"/>
                <w:szCs w:val="22"/>
              </w:rPr>
            </w:pPr>
            <w:r w:rsidRPr="00BF4AA8">
              <w:rPr>
                <w:rStyle w:val="Strong"/>
                <w:rFonts w:ascii="Arial" w:hAnsi="Arial" w:cs="Arial"/>
                <w:b/>
                <w:bCs/>
                <w:sz w:val="22"/>
                <w:szCs w:val="22"/>
              </w:rPr>
              <w:t>Data Sources</w:t>
            </w:r>
          </w:p>
        </w:tc>
        <w:tc>
          <w:tcPr>
            <w:tcW w:w="8022" w:type="dxa"/>
            <w:hideMark/>
          </w:tcPr>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MRC hydrological datasets for Mekong, Tonle Sap and </w:t>
            </w:r>
            <w:proofErr w:type="spellStart"/>
            <w:r w:rsidRPr="00BF4AA8">
              <w:rPr>
                <w:rFonts w:ascii="Arial" w:hAnsi="Arial" w:cs="Arial"/>
                <w:sz w:val="22"/>
                <w:szCs w:val="22"/>
              </w:rPr>
              <w:t>Bassac</w:t>
            </w:r>
            <w:proofErr w:type="spellEnd"/>
            <w:r w:rsidRPr="00BF4AA8">
              <w:rPr>
                <w:rFonts w:ascii="Arial" w:hAnsi="Arial" w:cs="Arial"/>
                <w:sz w:val="22"/>
                <w:szCs w:val="22"/>
              </w:rPr>
              <w:t xml:space="preserve"> (discharge, TSS).</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xml:space="preserve">/WEPA water-environment assessments. </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Peer-reviewed studies on Tonle Sap flow reversal and catchment characteristics. </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EANET PRSAD4 and related regional modelling (MICS-Asia) for SO</w:t>
            </w:r>
            <w:r w:rsidRPr="00BF4AA8">
              <w:rPr>
                <w:rFonts w:ascii="Cambria Math" w:hAnsi="Cambria Math" w:cs="Cambria Math"/>
                <w:sz w:val="22"/>
                <w:szCs w:val="22"/>
              </w:rPr>
              <w:t>₂</w:t>
            </w:r>
            <w:r w:rsidRPr="00BF4AA8">
              <w:rPr>
                <w:rFonts w:ascii="Arial" w:hAnsi="Arial" w:cs="Arial"/>
                <w:sz w:val="22"/>
                <w:szCs w:val="22"/>
              </w:rPr>
              <w:t xml:space="preserve"> and NOₓ deposition. </w:t>
            </w:r>
          </w:p>
        </w:tc>
      </w:tr>
      <w:tr w:rsidR="00704B24" w:rsidRPr="00BF4AA8" w:rsidTr="005F1F5C">
        <w:tc>
          <w:tcPr>
            <w:cnfStyle w:val="001000000000" w:firstRow="0" w:lastRow="0" w:firstColumn="1" w:lastColumn="0" w:oddVBand="0" w:evenVBand="0" w:oddHBand="0" w:evenHBand="0" w:firstRowFirstColumn="0" w:firstRowLastColumn="0" w:lastRowFirstColumn="0" w:lastRowLastColumn="0"/>
            <w:tcW w:w="988" w:type="dxa"/>
            <w:hideMark/>
          </w:tcPr>
          <w:p w:rsidR="00704B24" w:rsidRPr="00BF4AA8" w:rsidRDefault="00704B24" w:rsidP="005F1F5C">
            <w:pPr>
              <w:jc w:val="both"/>
              <w:rPr>
                <w:rFonts w:ascii="Arial" w:hAnsi="Arial" w:cs="Arial"/>
                <w:sz w:val="22"/>
                <w:szCs w:val="22"/>
              </w:rPr>
            </w:pPr>
            <w:r w:rsidRPr="00BF4AA8">
              <w:rPr>
                <w:rStyle w:val="Strong"/>
                <w:rFonts w:ascii="Arial" w:hAnsi="Arial" w:cs="Arial"/>
                <w:sz w:val="22"/>
                <w:szCs w:val="22"/>
              </w:rPr>
              <w:t>Metadata</w:t>
            </w:r>
          </w:p>
        </w:tc>
        <w:tc>
          <w:tcPr>
            <w:tcW w:w="8022" w:type="dxa"/>
            <w:hideMark/>
          </w:tcPr>
          <w:p w:rsidR="00704B24" w:rsidRPr="00BF4AA8" w:rsidRDefault="00704B24" w:rsidP="00704B24">
            <w:pPr>
              <w:pStyle w:val="ListParagraph"/>
              <w:numPr>
                <w:ilvl w:val="0"/>
                <w:numId w:val="146"/>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Indicators: mean and seasonal discharge (m³/s); reverse-flow volume for Tonle Sap (~30 km³/year); TSS and nutrient concentrations at key stations; wet deposition of nitrogen and </w:t>
            </w:r>
            <w:proofErr w:type="spellStart"/>
            <w:r w:rsidRPr="00BF4AA8">
              <w:rPr>
                <w:rFonts w:ascii="Arial" w:hAnsi="Arial" w:cs="Arial"/>
                <w:sz w:val="22"/>
                <w:szCs w:val="22"/>
              </w:rPr>
              <w:t>sulphur</w:t>
            </w:r>
            <w:proofErr w:type="spellEnd"/>
            <w:r w:rsidRPr="00BF4AA8">
              <w:rPr>
                <w:rFonts w:ascii="Arial" w:hAnsi="Arial" w:cs="Arial"/>
                <w:sz w:val="22"/>
                <w:szCs w:val="22"/>
              </w:rPr>
              <w:t xml:space="preserve"> (kg/ha/year).</w:t>
            </w:r>
          </w:p>
          <w:p w:rsidR="00704B24" w:rsidRPr="00BF4AA8" w:rsidRDefault="00704B24" w:rsidP="00704B24">
            <w:pPr>
              <w:pStyle w:val="ListParagraph"/>
              <w:numPr>
                <w:ilvl w:val="0"/>
                <w:numId w:val="146"/>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Spatial coverage: Mekong mainstream, Tonle Sap River, </w:t>
            </w:r>
            <w:proofErr w:type="spellStart"/>
            <w:r w:rsidRPr="00BF4AA8">
              <w:rPr>
                <w:rFonts w:ascii="Arial" w:hAnsi="Arial" w:cs="Arial"/>
                <w:sz w:val="22"/>
                <w:szCs w:val="22"/>
              </w:rPr>
              <w:t>Bassac</w:t>
            </w:r>
            <w:proofErr w:type="spellEnd"/>
            <w:r w:rsidRPr="00BF4AA8">
              <w:rPr>
                <w:rFonts w:ascii="Arial" w:hAnsi="Arial" w:cs="Arial"/>
                <w:sz w:val="22"/>
                <w:szCs w:val="22"/>
              </w:rPr>
              <w:t xml:space="preserve"> River (Koh Khel/border), and main coastal rivers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w:t>
            </w:r>
            <w:proofErr w:type="spellStart"/>
            <w:r w:rsidRPr="00BF4AA8">
              <w:rPr>
                <w:rFonts w:ascii="Arial" w:hAnsi="Arial" w:cs="Arial"/>
                <w:sz w:val="22"/>
                <w:szCs w:val="22"/>
              </w:rPr>
              <w:t>Tatai</w:t>
            </w:r>
            <w:proofErr w:type="spellEnd"/>
            <w:r w:rsidRPr="00BF4AA8">
              <w:rPr>
                <w:rFonts w:ascii="Arial" w:hAnsi="Arial" w:cs="Arial"/>
                <w:sz w:val="22"/>
                <w:szCs w:val="22"/>
              </w:rPr>
              <w:t xml:space="preserve">, </w:t>
            </w:r>
            <w:proofErr w:type="spellStart"/>
            <w:r w:rsidRPr="00BF4AA8">
              <w:rPr>
                <w:rFonts w:ascii="Arial" w:hAnsi="Arial" w:cs="Arial"/>
                <w:sz w:val="22"/>
                <w:szCs w:val="22"/>
              </w:rPr>
              <w:t>Prek</w:t>
            </w:r>
            <w:proofErr w:type="spellEnd"/>
            <w:r w:rsidRPr="00BF4AA8">
              <w:rPr>
                <w:rFonts w:ascii="Arial" w:hAnsi="Arial" w:cs="Arial"/>
                <w:sz w:val="22"/>
                <w:szCs w:val="22"/>
              </w:rPr>
              <w:t xml:space="preserve"> </w:t>
            </w:r>
            <w:proofErr w:type="spellStart"/>
            <w:r w:rsidRPr="00BF4AA8">
              <w:rPr>
                <w:rFonts w:ascii="Arial" w:hAnsi="Arial" w:cs="Arial"/>
                <w:sz w:val="22"/>
                <w:szCs w:val="22"/>
              </w:rPr>
              <w:t>Toeuk</w:t>
            </w:r>
            <w:proofErr w:type="spellEnd"/>
            <w:r w:rsidRPr="00BF4AA8">
              <w:rPr>
                <w:rFonts w:ascii="Arial" w:hAnsi="Arial" w:cs="Arial"/>
                <w:sz w:val="22"/>
                <w:szCs w:val="22"/>
              </w:rPr>
              <w:t xml:space="preserve"> Sap).</w:t>
            </w:r>
          </w:p>
          <w:p w:rsidR="00704B24" w:rsidRPr="00BF4AA8" w:rsidRDefault="00704B24" w:rsidP="00704B24">
            <w:pPr>
              <w:pStyle w:val="ListParagraph"/>
              <w:numPr>
                <w:ilvl w:val="0"/>
                <w:numId w:val="146"/>
              </w:numPr>
              <w:ind w:left="202" w:hanging="218"/>
              <w:jc w:val="both"/>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Temporal coverage: mainly 2010–2022, with longer historical context where available.</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88" w:type="dxa"/>
            <w:hideMark/>
          </w:tcPr>
          <w:p w:rsidR="00704B24" w:rsidRPr="00BF4AA8" w:rsidRDefault="00704B24" w:rsidP="005F1F5C">
            <w:pPr>
              <w:jc w:val="both"/>
              <w:rPr>
                <w:rFonts w:ascii="Arial" w:hAnsi="Arial" w:cs="Arial"/>
                <w:sz w:val="22"/>
                <w:szCs w:val="22"/>
              </w:rPr>
            </w:pPr>
            <w:r w:rsidRPr="00BF4AA8">
              <w:rPr>
                <w:rStyle w:val="Strong"/>
                <w:rFonts w:ascii="Arial" w:hAnsi="Arial" w:cs="Arial"/>
                <w:sz w:val="22"/>
                <w:szCs w:val="22"/>
              </w:rPr>
              <w:t>Assessment Method</w:t>
            </w:r>
          </w:p>
        </w:tc>
        <w:tc>
          <w:tcPr>
            <w:tcW w:w="8022" w:type="dxa"/>
            <w:hideMark/>
          </w:tcPr>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Calculate annual pollutant loads (t/year) using L = C × Q × conversion factor, where concentration and discharge data co-exist.</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Rank river reaches and tributaries by relative contribution to downstream nutrient and sediment loads.</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Use qualitative pathway mapping to trace transport from Phnom Penh canals and MTB system to the Vietnamese delta and Gulf of Thailand.</w:t>
            </w:r>
          </w:p>
          <w:p w:rsidR="00704B24" w:rsidRPr="00BF4AA8" w:rsidRDefault="00704B24" w:rsidP="00704B24">
            <w:pPr>
              <w:pStyle w:val="ListParagraph"/>
              <w:numPr>
                <w:ilvl w:val="0"/>
                <w:numId w:val="146"/>
              </w:numPr>
              <w:ind w:left="202" w:hanging="218"/>
              <w:jc w:val="both"/>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Interpret atmospheric deposition data in relation to terrestrial nutrient sources to judge its relative significance. </w:t>
            </w:r>
          </w:p>
        </w:tc>
      </w:tr>
    </w:tbl>
    <w:p w:rsidR="00704B24" w:rsidRPr="00BF4AA8" w:rsidRDefault="00704B24" w:rsidP="00704B24">
      <w:pPr>
        <w:jc w:val="both"/>
        <w:rPr>
          <w:rFonts w:ascii="Arial" w:hAnsi="Arial" w:cs="Arial"/>
          <w:sz w:val="22"/>
          <w:szCs w:val="22"/>
        </w:rPr>
      </w:pPr>
    </w:p>
    <w:p w:rsidR="00704B24" w:rsidRPr="00BF4AA8" w:rsidRDefault="00704B24" w:rsidP="00704B24">
      <w:pPr>
        <w:jc w:val="both"/>
        <w:rPr>
          <w:rFonts w:ascii="Arial" w:hAnsi="Arial" w:cs="Arial"/>
          <w:sz w:val="22"/>
          <w:szCs w:val="22"/>
        </w:rPr>
      </w:pPr>
      <w:r w:rsidRPr="00BF4AA8">
        <w:rPr>
          <w:rFonts w:ascii="Arial" w:hAnsi="Arial" w:cs="Arial"/>
          <w:sz w:val="22"/>
          <w:szCs w:val="22"/>
        </w:rPr>
        <w:t>Hydrological analysis confirms that the Mekong–Tonle Sap–</w:t>
      </w:r>
      <w:proofErr w:type="spellStart"/>
      <w:r w:rsidRPr="00BF4AA8">
        <w:rPr>
          <w:rFonts w:ascii="Arial" w:hAnsi="Arial" w:cs="Arial"/>
          <w:sz w:val="22"/>
          <w:szCs w:val="22"/>
        </w:rPr>
        <w:t>Bassac</w:t>
      </w:r>
      <w:proofErr w:type="spellEnd"/>
      <w:r w:rsidRPr="00BF4AA8">
        <w:rPr>
          <w:rFonts w:ascii="Arial" w:hAnsi="Arial" w:cs="Arial"/>
          <w:sz w:val="22"/>
          <w:szCs w:val="22"/>
        </w:rPr>
        <w:t xml:space="preserve"> system is the dominant pathway for nutrient and microbial export from Cambodia to the Vietnamese delta, while coastal rivers such as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and </w:t>
      </w:r>
      <w:proofErr w:type="spellStart"/>
      <w:r w:rsidRPr="00BF4AA8">
        <w:rPr>
          <w:rFonts w:ascii="Arial" w:hAnsi="Arial" w:cs="Arial"/>
          <w:sz w:val="22"/>
          <w:szCs w:val="22"/>
        </w:rPr>
        <w:t>Tatai</w:t>
      </w:r>
      <w:proofErr w:type="spellEnd"/>
      <w:r w:rsidRPr="00BF4AA8">
        <w:rPr>
          <w:rFonts w:ascii="Arial" w:hAnsi="Arial" w:cs="Arial"/>
          <w:sz w:val="22"/>
          <w:szCs w:val="22"/>
        </w:rPr>
        <w:t xml:space="preserve"> deliver concentrated loads from local agricultural and urban sources directly to sensitive estuaries. Combined with regional circulation and deposition data, these findings underpin the chapter’s identification of transboundary pollution linkages in both riverine and marine compartments.</w:t>
      </w:r>
    </w:p>
    <w:p w:rsidR="00704B24" w:rsidRPr="00BF4AA8" w:rsidRDefault="00704B24" w:rsidP="00704B24">
      <w:pPr>
        <w:pStyle w:val="Caption"/>
        <w:keepNext/>
        <w:spacing w:before="240" w:after="120"/>
        <w:rPr>
          <w:rFonts w:ascii="Arial" w:hAnsi="Arial" w:cs="Arial"/>
          <w:color w:val="002060"/>
          <w:sz w:val="22"/>
          <w:szCs w:val="22"/>
        </w:rPr>
      </w:pPr>
      <w:r w:rsidRPr="00BF4AA8">
        <w:rPr>
          <w:rFonts w:ascii="Arial" w:hAnsi="Arial" w:cs="Arial"/>
          <w:color w:val="002060"/>
          <w:sz w:val="22"/>
          <w:szCs w:val="22"/>
        </w:rPr>
        <w:t>Annex Table 3-</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Annex_Table_3-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9</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Hydrology (discharge, catchment area, flow reversal) indicator summary</w:t>
      </w:r>
    </w:p>
    <w:tbl>
      <w:tblPr>
        <w:tblStyle w:val="GridTable4-Accent5"/>
        <w:tblW w:w="0" w:type="auto"/>
        <w:tblLook w:val="04A0" w:firstRow="1" w:lastRow="0" w:firstColumn="1" w:lastColumn="0" w:noHBand="0" w:noVBand="1"/>
      </w:tblPr>
      <w:tblGrid>
        <w:gridCol w:w="1297"/>
        <w:gridCol w:w="1447"/>
        <w:gridCol w:w="1308"/>
        <w:gridCol w:w="1297"/>
        <w:gridCol w:w="1479"/>
        <w:gridCol w:w="1660"/>
      </w:tblGrid>
      <w:tr w:rsidR="00704B24"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jc w:val="center"/>
              <w:rPr>
                <w:rFonts w:ascii="Arial" w:hAnsi="Arial" w:cs="Arial"/>
                <w:b w:val="0"/>
                <w:bCs w:val="0"/>
                <w:sz w:val="22"/>
                <w:szCs w:val="22"/>
              </w:rPr>
            </w:pPr>
            <w:r w:rsidRPr="00BF4AA8">
              <w:rPr>
                <w:rStyle w:val="Strong"/>
                <w:rFonts w:ascii="Arial" w:hAnsi="Arial" w:cs="Arial"/>
                <w:b/>
                <w:bCs/>
                <w:sz w:val="22"/>
                <w:szCs w:val="22"/>
              </w:rPr>
              <w:t>Category</w:t>
            </w:r>
          </w:p>
        </w:tc>
        <w:tc>
          <w:tcPr>
            <w:tcW w:w="0" w:type="auto"/>
            <w:hideMark/>
          </w:tcPr>
          <w:p w:rsidR="00704B24" w:rsidRPr="00BF4AA8" w:rsidRDefault="00704B24"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b/>
                <w:bCs/>
                <w:sz w:val="22"/>
                <w:szCs w:val="22"/>
              </w:rPr>
              <w:t>Indicator</w:t>
            </w:r>
          </w:p>
        </w:tc>
        <w:tc>
          <w:tcPr>
            <w:tcW w:w="1053" w:type="dxa"/>
            <w:hideMark/>
          </w:tcPr>
          <w:p w:rsidR="00704B24" w:rsidRPr="00BF4AA8" w:rsidRDefault="00704B24"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b/>
                <w:bCs/>
                <w:sz w:val="22"/>
                <w:szCs w:val="22"/>
              </w:rPr>
              <w:t>Units</w:t>
            </w:r>
          </w:p>
        </w:tc>
        <w:tc>
          <w:tcPr>
            <w:tcW w:w="1625" w:type="dxa"/>
            <w:hideMark/>
          </w:tcPr>
          <w:p w:rsidR="00704B24" w:rsidRPr="00BF4AA8" w:rsidRDefault="00704B24"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b/>
                <w:bCs/>
                <w:sz w:val="22"/>
                <w:szCs w:val="22"/>
              </w:rPr>
              <w:t>Sources</w:t>
            </w:r>
          </w:p>
        </w:tc>
        <w:tc>
          <w:tcPr>
            <w:tcW w:w="0" w:type="auto"/>
            <w:hideMark/>
          </w:tcPr>
          <w:p w:rsidR="00704B24" w:rsidRPr="00BF4AA8" w:rsidRDefault="00704B24"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b/>
                <w:bCs/>
                <w:sz w:val="22"/>
                <w:szCs w:val="22"/>
              </w:rPr>
              <w:t>Methods</w:t>
            </w:r>
          </w:p>
        </w:tc>
        <w:tc>
          <w:tcPr>
            <w:tcW w:w="0" w:type="auto"/>
            <w:hideMark/>
          </w:tcPr>
          <w:p w:rsidR="00704B24" w:rsidRPr="00BF4AA8" w:rsidRDefault="00704B24"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b/>
                <w:bCs/>
                <w:sz w:val="22"/>
                <w:szCs w:val="22"/>
              </w:rPr>
              <w:t>Notes</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rPr>
                <w:rFonts w:ascii="Arial" w:hAnsi="Arial" w:cs="Arial"/>
                <w:b w:val="0"/>
                <w:bCs w:val="0"/>
                <w:sz w:val="22"/>
                <w:szCs w:val="22"/>
              </w:rPr>
            </w:pPr>
            <w:r w:rsidRPr="00BF4AA8">
              <w:rPr>
                <w:rFonts w:ascii="Arial" w:hAnsi="Arial" w:cs="Arial"/>
                <w:sz w:val="22"/>
                <w:szCs w:val="22"/>
              </w:rPr>
              <w:t>Mekong mainstream</w:t>
            </w:r>
          </w:p>
        </w:tc>
        <w:tc>
          <w:tcPr>
            <w:tcW w:w="0" w:type="auto"/>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Mean annual discharge at Phnom Penh / </w:t>
            </w:r>
            <w:proofErr w:type="spellStart"/>
            <w:r w:rsidRPr="00BF4AA8">
              <w:rPr>
                <w:rFonts w:ascii="Arial" w:hAnsi="Arial" w:cs="Arial"/>
                <w:sz w:val="22"/>
                <w:szCs w:val="22"/>
              </w:rPr>
              <w:t>Kratie</w:t>
            </w:r>
            <w:proofErr w:type="spellEnd"/>
          </w:p>
        </w:tc>
        <w:tc>
          <w:tcPr>
            <w:tcW w:w="1053" w:type="dxa"/>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m³/s</w:t>
            </w:r>
          </w:p>
        </w:tc>
        <w:tc>
          <w:tcPr>
            <w:tcW w:w="1625" w:type="dxa"/>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MRC hydrological datasets; MRC annual reports</w:t>
            </w:r>
          </w:p>
        </w:tc>
        <w:tc>
          <w:tcPr>
            <w:tcW w:w="0" w:type="auto"/>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Analyze long-term gauging-station records; compute mean and seasonal range</w:t>
            </w:r>
          </w:p>
        </w:tc>
        <w:tc>
          <w:tcPr>
            <w:tcW w:w="0" w:type="auto"/>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Mekong at </w:t>
            </w:r>
            <w:proofErr w:type="spellStart"/>
            <w:r w:rsidRPr="00BF4AA8">
              <w:rPr>
                <w:rFonts w:ascii="Arial" w:hAnsi="Arial" w:cs="Arial"/>
                <w:sz w:val="22"/>
                <w:szCs w:val="22"/>
              </w:rPr>
              <w:t>Kratie</w:t>
            </w:r>
            <w:proofErr w:type="spellEnd"/>
            <w:r w:rsidRPr="00BF4AA8">
              <w:rPr>
                <w:rFonts w:ascii="Arial" w:hAnsi="Arial" w:cs="Arial"/>
                <w:sz w:val="22"/>
                <w:szCs w:val="22"/>
              </w:rPr>
              <w:t xml:space="preserve"> ≈14,500 m³/s (order of magnitude); large discharge provides strong dilution but also rapid downstream transport of pollutants.</w:t>
            </w:r>
          </w:p>
        </w:tc>
      </w:tr>
      <w:tr w:rsidR="00704B24"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rPr>
                <w:rFonts w:ascii="Arial" w:hAnsi="Arial" w:cs="Arial"/>
                <w:sz w:val="22"/>
                <w:szCs w:val="22"/>
              </w:rPr>
            </w:pPr>
            <w:proofErr w:type="spellStart"/>
            <w:r w:rsidRPr="00BF4AA8">
              <w:rPr>
                <w:rFonts w:ascii="Arial" w:hAnsi="Arial" w:cs="Arial"/>
                <w:sz w:val="22"/>
                <w:szCs w:val="22"/>
              </w:rPr>
              <w:t>Bassac</w:t>
            </w:r>
            <w:proofErr w:type="spellEnd"/>
            <w:r w:rsidRPr="00BF4AA8">
              <w:rPr>
                <w:rFonts w:ascii="Arial" w:hAnsi="Arial" w:cs="Arial"/>
                <w:sz w:val="22"/>
                <w:szCs w:val="22"/>
              </w:rPr>
              <w:t xml:space="preserve"> River (</w:t>
            </w:r>
            <w:proofErr w:type="spellStart"/>
            <w:r w:rsidRPr="00BF4AA8">
              <w:rPr>
                <w:rFonts w:ascii="Arial" w:hAnsi="Arial" w:cs="Arial"/>
                <w:sz w:val="22"/>
                <w:szCs w:val="22"/>
              </w:rPr>
              <w:t>Tonlé</w:t>
            </w:r>
            <w:proofErr w:type="spellEnd"/>
            <w:r w:rsidRPr="00BF4AA8">
              <w:rPr>
                <w:rFonts w:ascii="Arial" w:hAnsi="Arial" w:cs="Arial"/>
                <w:sz w:val="22"/>
                <w:szCs w:val="22"/>
              </w:rPr>
              <w:t xml:space="preserve"> </w:t>
            </w:r>
            <w:proofErr w:type="spellStart"/>
            <w:r w:rsidRPr="00BF4AA8">
              <w:rPr>
                <w:rFonts w:ascii="Arial" w:hAnsi="Arial" w:cs="Arial"/>
                <w:sz w:val="22"/>
                <w:szCs w:val="22"/>
              </w:rPr>
              <w:t>Bassac</w:t>
            </w:r>
            <w:proofErr w:type="spellEnd"/>
            <w:r w:rsidRPr="00BF4AA8">
              <w:rPr>
                <w:rFonts w:ascii="Arial" w:hAnsi="Arial" w:cs="Arial"/>
                <w:sz w:val="22"/>
                <w:szCs w:val="22"/>
              </w:rPr>
              <w:t>)</w:t>
            </w:r>
          </w:p>
        </w:tc>
        <w:tc>
          <w:tcPr>
            <w:tcW w:w="0" w:type="auto"/>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Discharge at Koh Khel / border reach</w:t>
            </w:r>
          </w:p>
        </w:tc>
        <w:tc>
          <w:tcPr>
            <w:tcW w:w="1053" w:type="dxa"/>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m³/s</w:t>
            </w:r>
          </w:p>
        </w:tc>
        <w:tc>
          <w:tcPr>
            <w:tcW w:w="1625" w:type="dxa"/>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MRC WQMN &amp; hydrology; national river reports</w:t>
            </w:r>
          </w:p>
        </w:tc>
        <w:tc>
          <w:tcPr>
            <w:tcW w:w="0" w:type="auto"/>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Use rating curves and stage–discharge relationships; interpolate for missing years</w:t>
            </w:r>
          </w:p>
        </w:tc>
        <w:tc>
          <w:tcPr>
            <w:tcW w:w="0" w:type="auto"/>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Key conduit of Phnom Penh pollutants to Viet Nam; discharge ~10,000 m³/s in wet season; used for pollutant-load estimates where concentration data exist.</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rPr>
                <w:rFonts w:ascii="Arial" w:hAnsi="Arial" w:cs="Arial"/>
                <w:sz w:val="22"/>
                <w:szCs w:val="22"/>
              </w:rPr>
            </w:pPr>
            <w:proofErr w:type="spellStart"/>
            <w:r w:rsidRPr="00BF4AA8">
              <w:rPr>
                <w:rFonts w:ascii="Arial" w:hAnsi="Arial" w:cs="Arial"/>
                <w:sz w:val="22"/>
                <w:szCs w:val="22"/>
              </w:rPr>
              <w:t>Tonlé</w:t>
            </w:r>
            <w:proofErr w:type="spellEnd"/>
            <w:r w:rsidRPr="00BF4AA8">
              <w:rPr>
                <w:rFonts w:ascii="Arial" w:hAnsi="Arial" w:cs="Arial"/>
                <w:sz w:val="22"/>
                <w:szCs w:val="22"/>
              </w:rPr>
              <w:t xml:space="preserve"> Sap River &amp; Lake</w:t>
            </w:r>
          </w:p>
        </w:tc>
        <w:tc>
          <w:tcPr>
            <w:tcW w:w="0" w:type="auto"/>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Catchment area; reverse flow volume</w:t>
            </w:r>
          </w:p>
        </w:tc>
        <w:tc>
          <w:tcPr>
            <w:tcW w:w="1053" w:type="dxa"/>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km²; km³/year</w:t>
            </w:r>
          </w:p>
        </w:tc>
        <w:tc>
          <w:tcPr>
            <w:tcW w:w="1625" w:type="dxa"/>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Peer-reviewed </w:t>
            </w:r>
            <w:proofErr w:type="spellStart"/>
            <w:r w:rsidRPr="00BF4AA8">
              <w:rPr>
                <w:rFonts w:ascii="Arial" w:hAnsi="Arial" w:cs="Arial"/>
                <w:sz w:val="22"/>
                <w:szCs w:val="22"/>
              </w:rPr>
              <w:t>Tonlé</w:t>
            </w:r>
            <w:proofErr w:type="spellEnd"/>
            <w:r w:rsidRPr="00BF4AA8">
              <w:rPr>
                <w:rFonts w:ascii="Arial" w:hAnsi="Arial" w:cs="Arial"/>
                <w:sz w:val="22"/>
                <w:szCs w:val="22"/>
              </w:rPr>
              <w:t xml:space="preserve"> Sap studies; MRC basin reports</w:t>
            </w:r>
          </w:p>
        </w:tc>
        <w:tc>
          <w:tcPr>
            <w:tcW w:w="0" w:type="auto"/>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Derive catchment from GIS; use published reverse-flow estimates (e.g., 30 km³/year)</w:t>
            </w:r>
          </w:p>
        </w:tc>
        <w:tc>
          <w:tcPr>
            <w:tcW w:w="0" w:type="auto"/>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Catchment ≈87,940 km²; unique flow reversal sends Mekong water into the lake in wet season and back out in dry season, redistributing nutrient and sediment loads.</w:t>
            </w:r>
          </w:p>
        </w:tc>
      </w:tr>
      <w:tr w:rsidR="00704B24"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rPr>
                <w:rFonts w:ascii="Arial" w:hAnsi="Arial" w:cs="Arial"/>
                <w:sz w:val="22"/>
                <w:szCs w:val="22"/>
              </w:rPr>
            </w:pPr>
            <w:r w:rsidRPr="00BF4AA8">
              <w:rPr>
                <w:rFonts w:ascii="Arial" w:hAnsi="Arial" w:cs="Arial"/>
                <w:sz w:val="22"/>
                <w:szCs w:val="22"/>
              </w:rPr>
              <w:t>National river network</w:t>
            </w:r>
          </w:p>
        </w:tc>
        <w:tc>
          <w:tcPr>
            <w:tcW w:w="0" w:type="auto"/>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Major river lengths &amp; catchments (Mekong, </w:t>
            </w:r>
            <w:proofErr w:type="spellStart"/>
            <w:r w:rsidRPr="00BF4AA8">
              <w:rPr>
                <w:rFonts w:ascii="Arial" w:hAnsi="Arial" w:cs="Arial"/>
                <w:sz w:val="22"/>
                <w:szCs w:val="22"/>
              </w:rPr>
              <w:t>Tonlé</w:t>
            </w:r>
            <w:proofErr w:type="spellEnd"/>
            <w:r w:rsidRPr="00BF4AA8">
              <w:rPr>
                <w:rFonts w:ascii="Arial" w:hAnsi="Arial" w:cs="Arial"/>
                <w:sz w:val="22"/>
                <w:szCs w:val="22"/>
              </w:rPr>
              <w:t xml:space="preserve"> Sap, </w:t>
            </w:r>
            <w:proofErr w:type="spellStart"/>
            <w:r w:rsidRPr="00BF4AA8">
              <w:rPr>
                <w:rFonts w:ascii="Arial" w:hAnsi="Arial" w:cs="Arial"/>
                <w:sz w:val="22"/>
                <w:szCs w:val="22"/>
              </w:rPr>
              <w:t>Bassac</w:t>
            </w:r>
            <w:proofErr w:type="spellEnd"/>
            <w:r w:rsidRPr="00BF4AA8">
              <w:rPr>
                <w:rFonts w:ascii="Arial" w:hAnsi="Arial" w:cs="Arial"/>
                <w:sz w:val="22"/>
                <w:szCs w:val="22"/>
              </w:rPr>
              <w:t>, coastal rivers)</w:t>
            </w:r>
          </w:p>
        </w:tc>
        <w:tc>
          <w:tcPr>
            <w:tcW w:w="1053" w:type="dxa"/>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km; km²</w:t>
            </w:r>
          </w:p>
        </w:tc>
        <w:tc>
          <w:tcPr>
            <w:tcW w:w="1625" w:type="dxa"/>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MRC &amp; </w:t>
            </w:r>
            <w:proofErr w:type="spellStart"/>
            <w:r w:rsidRPr="00BF4AA8">
              <w:rPr>
                <w:rFonts w:ascii="Arial" w:hAnsi="Arial" w:cs="Arial"/>
                <w:sz w:val="22"/>
                <w:szCs w:val="22"/>
              </w:rPr>
              <w:t>MoE</w:t>
            </w:r>
            <w:proofErr w:type="spellEnd"/>
            <w:r w:rsidRPr="00BF4AA8">
              <w:rPr>
                <w:rFonts w:ascii="Arial" w:hAnsi="Arial" w:cs="Arial"/>
                <w:sz w:val="22"/>
                <w:szCs w:val="22"/>
              </w:rPr>
              <w:t xml:space="preserve"> river atlases; national topographic maps</w:t>
            </w:r>
          </w:p>
        </w:tc>
        <w:tc>
          <w:tcPr>
            <w:tcW w:w="0" w:type="auto"/>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GIS delineation of catchments; </w:t>
            </w:r>
            <w:proofErr w:type="spellStart"/>
            <w:r w:rsidRPr="00BF4AA8">
              <w:rPr>
                <w:rFonts w:ascii="Arial" w:hAnsi="Arial" w:cs="Arial"/>
                <w:sz w:val="22"/>
                <w:szCs w:val="22"/>
              </w:rPr>
              <w:t>digitised</w:t>
            </w:r>
            <w:proofErr w:type="spellEnd"/>
            <w:r w:rsidRPr="00BF4AA8">
              <w:rPr>
                <w:rFonts w:ascii="Arial" w:hAnsi="Arial" w:cs="Arial"/>
                <w:sz w:val="22"/>
                <w:szCs w:val="22"/>
              </w:rPr>
              <w:t xml:space="preserve"> river networks</w:t>
            </w:r>
          </w:p>
        </w:tc>
        <w:tc>
          <w:tcPr>
            <w:tcW w:w="0" w:type="auto"/>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Used to </w:t>
            </w:r>
            <w:proofErr w:type="spellStart"/>
            <w:r w:rsidRPr="00BF4AA8">
              <w:rPr>
                <w:rFonts w:ascii="Arial" w:hAnsi="Arial" w:cs="Arial"/>
                <w:sz w:val="22"/>
                <w:szCs w:val="22"/>
              </w:rPr>
              <w:t>normalise</w:t>
            </w:r>
            <w:proofErr w:type="spellEnd"/>
            <w:r w:rsidRPr="00BF4AA8">
              <w:rPr>
                <w:rFonts w:ascii="Arial" w:hAnsi="Arial" w:cs="Arial"/>
                <w:sz w:val="22"/>
                <w:szCs w:val="22"/>
              </w:rPr>
              <w:t xml:space="preserve"> pollutant loads (e.g., t/year per km²) and to identify sub-basins contributing to coastal hotspots (</w:t>
            </w:r>
            <w:proofErr w:type="spellStart"/>
            <w:r w:rsidRPr="00BF4AA8">
              <w:rPr>
                <w:rFonts w:ascii="Arial" w:hAnsi="Arial" w:cs="Arial"/>
                <w:sz w:val="22"/>
                <w:szCs w:val="22"/>
              </w:rPr>
              <w:t>Tatai</w:t>
            </w:r>
            <w:proofErr w:type="spellEnd"/>
            <w:r w:rsidRPr="00BF4AA8">
              <w:rPr>
                <w:rFonts w:ascii="Arial" w:hAnsi="Arial" w:cs="Arial"/>
                <w:sz w:val="22"/>
                <w:szCs w:val="22"/>
              </w:rPr>
              <w:t xml:space="preserve">,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w:t>
            </w:r>
            <w:proofErr w:type="spellStart"/>
            <w:r w:rsidRPr="00BF4AA8">
              <w:rPr>
                <w:rFonts w:ascii="Arial" w:hAnsi="Arial" w:cs="Arial"/>
                <w:sz w:val="22"/>
                <w:szCs w:val="22"/>
              </w:rPr>
              <w:t>Prek</w:t>
            </w:r>
            <w:proofErr w:type="spellEnd"/>
            <w:r w:rsidRPr="00BF4AA8">
              <w:rPr>
                <w:rFonts w:ascii="Arial" w:hAnsi="Arial" w:cs="Arial"/>
                <w:sz w:val="22"/>
                <w:szCs w:val="22"/>
              </w:rPr>
              <w:t xml:space="preserve"> </w:t>
            </w:r>
            <w:proofErr w:type="spellStart"/>
            <w:r w:rsidRPr="00BF4AA8">
              <w:rPr>
                <w:rFonts w:ascii="Arial" w:hAnsi="Arial" w:cs="Arial"/>
                <w:sz w:val="22"/>
                <w:szCs w:val="22"/>
              </w:rPr>
              <w:t>Toeuk</w:t>
            </w:r>
            <w:proofErr w:type="spellEnd"/>
            <w:r w:rsidRPr="00BF4AA8">
              <w:rPr>
                <w:rFonts w:ascii="Arial" w:hAnsi="Arial" w:cs="Arial"/>
                <w:sz w:val="22"/>
                <w:szCs w:val="22"/>
              </w:rPr>
              <w:t xml:space="preserve"> Sap).</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rPr>
                <w:rFonts w:ascii="Arial" w:hAnsi="Arial" w:cs="Arial"/>
                <w:sz w:val="22"/>
                <w:szCs w:val="22"/>
              </w:rPr>
            </w:pPr>
            <w:r w:rsidRPr="00BF4AA8">
              <w:rPr>
                <w:rFonts w:ascii="Arial" w:hAnsi="Arial" w:cs="Arial"/>
                <w:sz w:val="22"/>
                <w:szCs w:val="22"/>
              </w:rPr>
              <w:t>Pollutant load estimation</w:t>
            </w:r>
          </w:p>
        </w:tc>
        <w:tc>
          <w:tcPr>
            <w:tcW w:w="0" w:type="auto"/>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Loads for BOD, TSS, TN, TP at key stations</w:t>
            </w:r>
          </w:p>
        </w:tc>
        <w:tc>
          <w:tcPr>
            <w:tcW w:w="1053" w:type="dxa"/>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t/year</w:t>
            </w:r>
          </w:p>
        </w:tc>
        <w:tc>
          <w:tcPr>
            <w:tcW w:w="1625" w:type="dxa"/>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Combination of hydrological data (MRC) and water-quality datasets (</w:t>
            </w:r>
            <w:proofErr w:type="spellStart"/>
            <w:r w:rsidRPr="00BF4AA8">
              <w:rPr>
                <w:rFonts w:ascii="Arial" w:hAnsi="Arial" w:cs="Arial"/>
                <w:sz w:val="22"/>
                <w:szCs w:val="22"/>
              </w:rPr>
              <w:t>MoE</w:t>
            </w:r>
            <w:proofErr w:type="spellEnd"/>
            <w:r w:rsidRPr="00BF4AA8">
              <w:rPr>
                <w:rFonts w:ascii="Arial" w:hAnsi="Arial" w:cs="Arial"/>
                <w:sz w:val="22"/>
                <w:szCs w:val="22"/>
              </w:rPr>
              <w:t>, JICA, MRC)</w:t>
            </w:r>
          </w:p>
        </w:tc>
        <w:tc>
          <w:tcPr>
            <w:tcW w:w="0" w:type="auto"/>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Apply L = C × Q × 31.536 (for mg/L × m³/s → t/year); seasonal disaggregation where wet/dry data available</w:t>
            </w:r>
          </w:p>
        </w:tc>
        <w:tc>
          <w:tcPr>
            <w:tcW w:w="0" w:type="auto"/>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Load estimates </w:t>
            </w:r>
            <w:proofErr w:type="gramStart"/>
            <w:r w:rsidRPr="00BF4AA8">
              <w:rPr>
                <w:rFonts w:ascii="Arial" w:hAnsi="Arial" w:cs="Arial"/>
                <w:sz w:val="22"/>
                <w:szCs w:val="22"/>
              </w:rPr>
              <w:t>are used</w:t>
            </w:r>
            <w:proofErr w:type="gramEnd"/>
            <w:r w:rsidRPr="00BF4AA8">
              <w:rPr>
                <w:rFonts w:ascii="Arial" w:hAnsi="Arial" w:cs="Arial"/>
                <w:sz w:val="22"/>
                <w:szCs w:val="22"/>
              </w:rPr>
              <w:t xml:space="preserve"> to rank river reaches as low/medium/high contributors to downstream coastal pollution; uncertainties flagged where discharge or concentration data are sparse.</w:t>
            </w:r>
          </w:p>
        </w:tc>
      </w:tr>
      <w:tr w:rsidR="00704B24"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704B24" w:rsidRPr="00BF4AA8" w:rsidRDefault="00704B24" w:rsidP="005F1F5C">
            <w:pPr>
              <w:rPr>
                <w:rFonts w:ascii="Arial" w:hAnsi="Arial" w:cs="Arial"/>
                <w:sz w:val="22"/>
                <w:szCs w:val="22"/>
              </w:rPr>
            </w:pPr>
            <w:r w:rsidRPr="00BF4AA8">
              <w:rPr>
                <w:rFonts w:ascii="Arial" w:hAnsi="Arial" w:cs="Arial"/>
                <w:sz w:val="22"/>
                <w:szCs w:val="22"/>
              </w:rPr>
              <w:t>River-to-sea pathway mapping</w:t>
            </w:r>
          </w:p>
        </w:tc>
        <w:tc>
          <w:tcPr>
            <w:tcW w:w="0" w:type="auto"/>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Connectivity from inland hotspots to coastal/ transboundary zones</w:t>
            </w:r>
          </w:p>
        </w:tc>
        <w:tc>
          <w:tcPr>
            <w:tcW w:w="1053" w:type="dxa"/>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qualitative (maps; pathway descriptions)</w:t>
            </w:r>
          </w:p>
        </w:tc>
        <w:tc>
          <w:tcPr>
            <w:tcW w:w="1625" w:type="dxa"/>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All above; </w:t>
            </w:r>
            <w:proofErr w:type="gramStart"/>
            <w:r w:rsidRPr="00BF4AA8">
              <w:rPr>
                <w:rFonts w:ascii="Arial" w:hAnsi="Arial" w:cs="Arial"/>
                <w:sz w:val="22"/>
                <w:szCs w:val="22"/>
              </w:rPr>
              <w:t>plus</w:t>
            </w:r>
            <w:proofErr w:type="gramEnd"/>
            <w:r w:rsidRPr="00BF4AA8">
              <w:rPr>
                <w:rFonts w:ascii="Arial" w:hAnsi="Arial" w:cs="Arial"/>
                <w:sz w:val="22"/>
                <w:szCs w:val="22"/>
              </w:rPr>
              <w:t xml:space="preserve"> regional circulation studies</w:t>
            </w:r>
          </w:p>
        </w:tc>
        <w:tc>
          <w:tcPr>
            <w:tcW w:w="0" w:type="auto"/>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Overlay river network, discharge, and monitoring hotspots; trace main pollutant pathways to Gulf of Thailand and Vietnamese delta</w:t>
            </w:r>
          </w:p>
        </w:tc>
        <w:tc>
          <w:tcPr>
            <w:tcW w:w="0" w:type="auto"/>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Highlights Phnom Penh–</w:t>
            </w:r>
            <w:proofErr w:type="spellStart"/>
            <w:r w:rsidRPr="00BF4AA8">
              <w:rPr>
                <w:rFonts w:ascii="Arial" w:hAnsi="Arial" w:cs="Arial"/>
                <w:sz w:val="22"/>
                <w:szCs w:val="22"/>
              </w:rPr>
              <w:t>Bassac</w:t>
            </w:r>
            <w:proofErr w:type="spellEnd"/>
            <w:r w:rsidRPr="00BF4AA8">
              <w:rPr>
                <w:rFonts w:ascii="Arial" w:hAnsi="Arial" w:cs="Arial"/>
                <w:sz w:val="22"/>
                <w:szCs w:val="22"/>
              </w:rPr>
              <w:t>–Viet Nam pathway and coastal rivers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w:t>
            </w:r>
            <w:proofErr w:type="spellStart"/>
            <w:r w:rsidRPr="00BF4AA8">
              <w:rPr>
                <w:rFonts w:ascii="Arial" w:hAnsi="Arial" w:cs="Arial"/>
                <w:sz w:val="22"/>
                <w:szCs w:val="22"/>
              </w:rPr>
              <w:t>Tatai</w:t>
            </w:r>
            <w:proofErr w:type="spellEnd"/>
            <w:r w:rsidRPr="00BF4AA8">
              <w:rPr>
                <w:rFonts w:ascii="Arial" w:hAnsi="Arial" w:cs="Arial"/>
                <w:sz w:val="22"/>
                <w:szCs w:val="22"/>
              </w:rPr>
              <w:t xml:space="preserve">, </w:t>
            </w:r>
            <w:proofErr w:type="spellStart"/>
            <w:r w:rsidRPr="00BF4AA8">
              <w:rPr>
                <w:rFonts w:ascii="Arial" w:hAnsi="Arial" w:cs="Arial"/>
                <w:sz w:val="22"/>
                <w:szCs w:val="22"/>
              </w:rPr>
              <w:t>Prek</w:t>
            </w:r>
            <w:proofErr w:type="spellEnd"/>
            <w:r w:rsidRPr="00BF4AA8">
              <w:rPr>
                <w:rFonts w:ascii="Arial" w:hAnsi="Arial" w:cs="Arial"/>
                <w:sz w:val="22"/>
                <w:szCs w:val="22"/>
              </w:rPr>
              <w:t xml:space="preserve"> </w:t>
            </w:r>
            <w:proofErr w:type="spellStart"/>
            <w:r w:rsidRPr="00BF4AA8">
              <w:rPr>
                <w:rFonts w:ascii="Arial" w:hAnsi="Arial" w:cs="Arial"/>
                <w:sz w:val="22"/>
                <w:szCs w:val="22"/>
              </w:rPr>
              <w:t>Toeuk</w:t>
            </w:r>
            <w:proofErr w:type="spellEnd"/>
            <w:r w:rsidRPr="00BF4AA8">
              <w:rPr>
                <w:rFonts w:ascii="Arial" w:hAnsi="Arial" w:cs="Arial"/>
                <w:sz w:val="22"/>
                <w:szCs w:val="22"/>
              </w:rPr>
              <w:t xml:space="preserve"> Sap) as primary transport routes for land-based pollution to marine ecosystems.</w:t>
            </w:r>
          </w:p>
        </w:tc>
      </w:tr>
    </w:tbl>
    <w:p w:rsidR="00704B24" w:rsidRPr="00BF4AA8" w:rsidRDefault="00704B24" w:rsidP="00704B24">
      <w:pPr>
        <w:pStyle w:val="NormalWeb"/>
        <w:adjustRightInd w:val="0"/>
        <w:snapToGrid w:val="0"/>
        <w:spacing w:before="0" w:beforeAutospacing="0" w:after="0" w:afterAutospacing="0"/>
        <w:rPr>
          <w:rFonts w:ascii="Arial" w:hAnsi="Arial" w:cs="Arial"/>
          <w:sz w:val="22"/>
          <w:szCs w:val="22"/>
        </w:rPr>
      </w:pPr>
    </w:p>
    <w:p w:rsidR="00704B24" w:rsidRPr="00BF4AA8" w:rsidRDefault="00704B24" w:rsidP="00704B24">
      <w:pPr>
        <w:pStyle w:val="Caption"/>
        <w:keepNext/>
        <w:spacing w:before="240" w:after="120"/>
        <w:rPr>
          <w:rFonts w:ascii="Arial" w:hAnsi="Arial" w:cs="Arial"/>
          <w:color w:val="002060"/>
          <w:sz w:val="22"/>
          <w:szCs w:val="22"/>
        </w:rPr>
      </w:pPr>
      <w:r w:rsidRPr="00BF4AA8">
        <w:rPr>
          <w:rFonts w:ascii="Arial" w:hAnsi="Arial" w:cs="Arial"/>
          <w:color w:val="002060"/>
          <w:sz w:val="22"/>
          <w:szCs w:val="22"/>
        </w:rPr>
        <w:t>Annex Table 3-</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Annex_Table_3-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10</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Coastal &amp; riverine pollution risk assessment </w:t>
      </w:r>
    </w:p>
    <w:tbl>
      <w:tblPr>
        <w:tblStyle w:val="GridTable4-Accent5"/>
        <w:tblW w:w="0" w:type="auto"/>
        <w:tblLook w:val="04A0" w:firstRow="1" w:lastRow="0" w:firstColumn="1" w:lastColumn="0" w:noHBand="0" w:noVBand="1"/>
      </w:tblPr>
      <w:tblGrid>
        <w:gridCol w:w="1528"/>
        <w:gridCol w:w="1085"/>
        <w:gridCol w:w="1261"/>
        <w:gridCol w:w="1945"/>
        <w:gridCol w:w="1242"/>
        <w:gridCol w:w="1427"/>
      </w:tblGrid>
      <w:tr w:rsidR="00704B24"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hideMark/>
          </w:tcPr>
          <w:p w:rsidR="00704B24" w:rsidRPr="00BF4AA8" w:rsidRDefault="00704B24" w:rsidP="005F1F5C">
            <w:pPr>
              <w:jc w:val="center"/>
              <w:rPr>
                <w:rFonts w:ascii="Arial" w:hAnsi="Arial" w:cs="Arial"/>
                <w:sz w:val="22"/>
                <w:szCs w:val="22"/>
              </w:rPr>
            </w:pPr>
            <w:r w:rsidRPr="00BF4AA8">
              <w:rPr>
                <w:rFonts w:ascii="Arial" w:hAnsi="Arial" w:cs="Arial"/>
                <w:sz w:val="22"/>
                <w:szCs w:val="22"/>
              </w:rPr>
              <w:t>Risk category</w:t>
            </w:r>
          </w:p>
        </w:tc>
        <w:tc>
          <w:tcPr>
            <w:tcW w:w="934" w:type="dxa"/>
            <w:hideMark/>
          </w:tcPr>
          <w:p w:rsidR="00704B24" w:rsidRPr="00BF4AA8" w:rsidRDefault="00704B24"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Main pollutants / drivers</w:t>
            </w:r>
          </w:p>
        </w:tc>
        <w:tc>
          <w:tcPr>
            <w:tcW w:w="1336" w:type="dxa"/>
            <w:hideMark/>
          </w:tcPr>
          <w:p w:rsidR="00704B24" w:rsidRPr="00BF4AA8" w:rsidRDefault="00704B24"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Likelihood</w:t>
            </w:r>
          </w:p>
        </w:tc>
        <w:tc>
          <w:tcPr>
            <w:tcW w:w="2070" w:type="dxa"/>
            <w:hideMark/>
          </w:tcPr>
          <w:p w:rsidR="00704B24" w:rsidRPr="00BF4AA8" w:rsidRDefault="00704B24"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Key impacts</w:t>
            </w:r>
          </w:p>
        </w:tc>
        <w:tc>
          <w:tcPr>
            <w:tcW w:w="1317" w:type="dxa"/>
            <w:hideMark/>
          </w:tcPr>
          <w:p w:rsidR="00704B24" w:rsidRPr="00BF4AA8" w:rsidRDefault="00704B24"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Main hotspots</w:t>
            </w:r>
          </w:p>
        </w:tc>
        <w:tc>
          <w:tcPr>
            <w:tcW w:w="0" w:type="auto"/>
            <w:hideMark/>
          </w:tcPr>
          <w:p w:rsidR="00704B24" w:rsidRPr="00BF4AA8" w:rsidRDefault="00704B24"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Transboundary significance</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hideMark/>
          </w:tcPr>
          <w:p w:rsidR="00704B24" w:rsidRPr="00BF4AA8" w:rsidRDefault="00704B24" w:rsidP="005F1F5C">
            <w:pPr>
              <w:rPr>
                <w:rFonts w:ascii="Arial" w:hAnsi="Arial" w:cs="Arial"/>
                <w:sz w:val="22"/>
                <w:szCs w:val="22"/>
              </w:rPr>
            </w:pPr>
            <w:r w:rsidRPr="00BF4AA8">
              <w:rPr>
                <w:rFonts w:ascii="Arial" w:hAnsi="Arial" w:cs="Arial"/>
                <w:sz w:val="22"/>
                <w:szCs w:val="22"/>
              </w:rPr>
              <w:t>Nutrient enrichment &amp; eutrophication</w:t>
            </w:r>
          </w:p>
        </w:tc>
        <w:tc>
          <w:tcPr>
            <w:tcW w:w="934" w:type="dxa"/>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Fertilizer and pesticide runoff, aquaculture effluent, untreated municipal wastewater (NO</w:t>
            </w:r>
            <w:r w:rsidRPr="00BF4AA8">
              <w:rPr>
                <w:rFonts w:ascii="Cambria Math" w:hAnsi="Cambria Math" w:cs="Cambria Math"/>
                <w:sz w:val="22"/>
                <w:szCs w:val="22"/>
              </w:rPr>
              <w:t>₃⁻</w:t>
            </w:r>
            <w:r w:rsidRPr="00BF4AA8">
              <w:rPr>
                <w:rFonts w:ascii="Arial" w:hAnsi="Arial" w:cs="Arial"/>
                <w:sz w:val="22"/>
                <w:szCs w:val="22"/>
              </w:rPr>
              <w:t>, PO</w:t>
            </w:r>
            <w:r w:rsidRPr="00BF4AA8">
              <w:rPr>
                <w:rFonts w:ascii="Cambria Math" w:hAnsi="Cambria Math" w:cs="Cambria Math"/>
                <w:sz w:val="22"/>
                <w:szCs w:val="22"/>
              </w:rPr>
              <w:t>₄</w:t>
            </w:r>
            <w:r w:rsidRPr="00BF4AA8">
              <w:rPr>
                <w:rFonts w:ascii="Arial" w:hAnsi="Arial" w:cs="Arial"/>
                <w:sz w:val="22"/>
                <w:szCs w:val="22"/>
              </w:rPr>
              <w:t>³</w:t>
            </w:r>
            <w:r w:rsidRPr="00BF4AA8">
              <w:rPr>
                <w:rFonts w:ascii="Cambria Math" w:hAnsi="Cambria Math" w:cs="Cambria Math"/>
                <w:sz w:val="22"/>
                <w:szCs w:val="22"/>
              </w:rPr>
              <w:t>⁻</w:t>
            </w:r>
            <w:r w:rsidRPr="00BF4AA8">
              <w:rPr>
                <w:rFonts w:ascii="Arial" w:hAnsi="Arial" w:cs="Arial"/>
                <w:sz w:val="22"/>
                <w:szCs w:val="22"/>
              </w:rPr>
              <w:t>, TSS)</w:t>
            </w:r>
          </w:p>
        </w:tc>
        <w:tc>
          <w:tcPr>
            <w:tcW w:w="1336" w:type="dxa"/>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Very high</w:t>
            </w:r>
          </w:p>
        </w:tc>
        <w:tc>
          <w:tcPr>
            <w:tcW w:w="2070" w:type="dxa"/>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Hypoxia (DO &lt;4 mg/L), algal blooms, coral-cover decline, seagrass stress, reduced fisheries productivity</w:t>
            </w:r>
          </w:p>
        </w:tc>
        <w:tc>
          <w:tcPr>
            <w:tcW w:w="1317" w:type="dxa"/>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Kampot</w:t>
            </w:r>
            <w:proofErr w:type="spellEnd"/>
            <w:r w:rsidRPr="00BF4AA8">
              <w:rPr>
                <w:rFonts w:ascii="Arial" w:hAnsi="Arial" w:cs="Arial"/>
                <w:sz w:val="22"/>
                <w:szCs w:val="22"/>
              </w:rPr>
              <w:t xml:space="preserve"> Bay, </w:t>
            </w:r>
            <w:proofErr w:type="spellStart"/>
            <w:r w:rsidRPr="00BF4AA8">
              <w:rPr>
                <w:rFonts w:ascii="Arial" w:hAnsi="Arial" w:cs="Arial"/>
                <w:sz w:val="22"/>
                <w:szCs w:val="22"/>
              </w:rPr>
              <w:t>Kep</w:t>
            </w:r>
            <w:proofErr w:type="spellEnd"/>
            <w:r w:rsidRPr="00BF4AA8">
              <w:rPr>
                <w:rFonts w:ascii="Arial" w:hAnsi="Arial" w:cs="Arial"/>
                <w:sz w:val="22"/>
                <w:szCs w:val="22"/>
              </w:rPr>
              <w:t xml:space="preserve">, Sihanoukville, </w:t>
            </w:r>
            <w:proofErr w:type="spellStart"/>
            <w:r w:rsidRPr="00BF4AA8">
              <w:rPr>
                <w:rFonts w:ascii="Arial" w:hAnsi="Arial" w:cs="Arial"/>
                <w:sz w:val="22"/>
                <w:szCs w:val="22"/>
              </w:rPr>
              <w:t>Trapeang</w:t>
            </w:r>
            <w:proofErr w:type="spellEnd"/>
            <w:r w:rsidRPr="00BF4AA8">
              <w:rPr>
                <w:rFonts w:ascii="Arial" w:hAnsi="Arial" w:cs="Arial"/>
                <w:sz w:val="22"/>
                <w:szCs w:val="22"/>
              </w:rPr>
              <w:t xml:space="preserve"> </w:t>
            </w:r>
            <w:proofErr w:type="spellStart"/>
            <w:r w:rsidRPr="00BF4AA8">
              <w:rPr>
                <w:rFonts w:ascii="Arial" w:hAnsi="Arial" w:cs="Arial"/>
                <w:sz w:val="22"/>
                <w:szCs w:val="22"/>
              </w:rPr>
              <w:t>Ropov</w:t>
            </w:r>
            <w:proofErr w:type="spellEnd"/>
            <w:r w:rsidRPr="00BF4AA8">
              <w:rPr>
                <w:rFonts w:ascii="Arial" w:hAnsi="Arial" w:cs="Arial"/>
                <w:sz w:val="22"/>
                <w:szCs w:val="22"/>
              </w:rPr>
              <w:t xml:space="preserve">, </w:t>
            </w:r>
            <w:proofErr w:type="spellStart"/>
            <w:r w:rsidRPr="00BF4AA8">
              <w:rPr>
                <w:rFonts w:ascii="Arial" w:hAnsi="Arial" w:cs="Arial"/>
                <w:sz w:val="22"/>
                <w:szCs w:val="22"/>
              </w:rPr>
              <w:t>Peam</w:t>
            </w:r>
            <w:proofErr w:type="spellEnd"/>
            <w:r w:rsidRPr="00BF4AA8">
              <w:rPr>
                <w:rFonts w:ascii="Arial" w:hAnsi="Arial" w:cs="Arial"/>
                <w:sz w:val="22"/>
                <w:szCs w:val="22"/>
              </w:rPr>
              <w:t xml:space="preserve"> </w:t>
            </w:r>
            <w:proofErr w:type="spellStart"/>
            <w:r w:rsidRPr="00BF4AA8">
              <w:rPr>
                <w:rFonts w:ascii="Arial" w:hAnsi="Arial" w:cs="Arial"/>
                <w:sz w:val="22"/>
                <w:szCs w:val="22"/>
              </w:rPr>
              <w:t>Krasop</w:t>
            </w:r>
            <w:proofErr w:type="spellEnd"/>
            <w:r w:rsidRPr="00BF4AA8">
              <w:rPr>
                <w:rFonts w:ascii="Arial" w:hAnsi="Arial" w:cs="Arial"/>
                <w:sz w:val="22"/>
                <w:szCs w:val="22"/>
              </w:rPr>
              <w:t xml:space="preserve">,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estuary</w:t>
            </w:r>
          </w:p>
        </w:tc>
        <w:tc>
          <w:tcPr>
            <w:tcW w:w="0" w:type="auto"/>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High</w:t>
            </w:r>
            <w:r w:rsidRPr="00BF4AA8">
              <w:rPr>
                <w:rFonts w:ascii="Arial" w:hAnsi="Arial" w:cs="Arial"/>
                <w:sz w:val="22"/>
                <w:szCs w:val="22"/>
              </w:rPr>
              <w:t xml:space="preserve"> – nutrients and organic matter transported within Gulf of Thailand and affect shared fisheries and water quality</w:t>
            </w:r>
          </w:p>
        </w:tc>
      </w:tr>
      <w:tr w:rsidR="00704B24" w:rsidRPr="00BF4AA8" w:rsidTr="005F1F5C">
        <w:tc>
          <w:tcPr>
            <w:cnfStyle w:val="001000000000" w:firstRow="0" w:lastRow="0" w:firstColumn="1" w:lastColumn="0" w:oddVBand="0" w:evenVBand="0" w:oddHBand="0" w:evenHBand="0" w:firstRowFirstColumn="0" w:firstRowLastColumn="0" w:lastRowFirstColumn="0" w:lastRowLastColumn="0"/>
            <w:tcW w:w="1838" w:type="dxa"/>
            <w:hideMark/>
          </w:tcPr>
          <w:p w:rsidR="00704B24" w:rsidRPr="00BF4AA8" w:rsidRDefault="00704B24" w:rsidP="005F1F5C">
            <w:pPr>
              <w:rPr>
                <w:rFonts w:ascii="Arial" w:hAnsi="Arial" w:cs="Arial"/>
                <w:sz w:val="22"/>
                <w:szCs w:val="22"/>
              </w:rPr>
            </w:pPr>
            <w:r w:rsidRPr="00BF4AA8">
              <w:rPr>
                <w:rFonts w:ascii="Arial" w:hAnsi="Arial" w:cs="Arial"/>
                <w:sz w:val="22"/>
                <w:szCs w:val="22"/>
              </w:rPr>
              <w:t>Microbial contamination &amp; public-health risk</w:t>
            </w:r>
          </w:p>
        </w:tc>
        <w:tc>
          <w:tcPr>
            <w:tcW w:w="934" w:type="dxa"/>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Fecal coliforms, pathogens from low sewerage coverage and direct discharge</w:t>
            </w:r>
          </w:p>
        </w:tc>
        <w:tc>
          <w:tcPr>
            <w:tcW w:w="1336" w:type="dxa"/>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Very high</w:t>
            </w:r>
          </w:p>
        </w:tc>
        <w:tc>
          <w:tcPr>
            <w:tcW w:w="2070" w:type="dxa"/>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Waterborne disease, unsafe bathing water, fish-landing contamination, shellfish and food-safety risks, tourism losses</w:t>
            </w:r>
          </w:p>
        </w:tc>
        <w:tc>
          <w:tcPr>
            <w:tcW w:w="1317" w:type="dxa"/>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Phnom Penh Port/MTB system, Sihanoukville canals, </w:t>
            </w:r>
            <w:proofErr w:type="spellStart"/>
            <w:r w:rsidRPr="00BF4AA8">
              <w:rPr>
                <w:rFonts w:ascii="Arial" w:hAnsi="Arial" w:cs="Arial"/>
                <w:sz w:val="22"/>
                <w:szCs w:val="22"/>
              </w:rPr>
              <w:t>Kep</w:t>
            </w:r>
            <w:proofErr w:type="spellEnd"/>
            <w:r w:rsidRPr="00BF4AA8">
              <w:rPr>
                <w:rFonts w:ascii="Arial" w:hAnsi="Arial" w:cs="Arial"/>
                <w:sz w:val="22"/>
                <w:szCs w:val="22"/>
              </w:rPr>
              <w:t xml:space="preserve"> coastal waters, </w:t>
            </w:r>
            <w:proofErr w:type="spellStart"/>
            <w:r w:rsidRPr="00BF4AA8">
              <w:rPr>
                <w:rFonts w:ascii="Arial" w:hAnsi="Arial" w:cs="Arial"/>
                <w:sz w:val="22"/>
                <w:szCs w:val="22"/>
              </w:rPr>
              <w:t>Prek</w:t>
            </w:r>
            <w:proofErr w:type="spellEnd"/>
            <w:r w:rsidRPr="00BF4AA8">
              <w:rPr>
                <w:rFonts w:ascii="Arial" w:hAnsi="Arial" w:cs="Arial"/>
                <w:sz w:val="22"/>
                <w:szCs w:val="22"/>
              </w:rPr>
              <w:t xml:space="preserve"> </w:t>
            </w:r>
            <w:proofErr w:type="spellStart"/>
            <w:r w:rsidRPr="00BF4AA8">
              <w:rPr>
                <w:rFonts w:ascii="Arial" w:hAnsi="Arial" w:cs="Arial"/>
                <w:sz w:val="22"/>
                <w:szCs w:val="22"/>
              </w:rPr>
              <w:t>Toeuk</w:t>
            </w:r>
            <w:proofErr w:type="spellEnd"/>
            <w:r w:rsidRPr="00BF4AA8">
              <w:rPr>
                <w:rFonts w:ascii="Arial" w:hAnsi="Arial" w:cs="Arial"/>
                <w:sz w:val="22"/>
                <w:szCs w:val="22"/>
              </w:rPr>
              <w:t xml:space="preserve"> Sap, </w:t>
            </w:r>
            <w:proofErr w:type="spellStart"/>
            <w:r w:rsidRPr="00BF4AA8">
              <w:rPr>
                <w:rFonts w:ascii="Arial" w:hAnsi="Arial" w:cs="Arial"/>
                <w:sz w:val="22"/>
                <w:szCs w:val="22"/>
              </w:rPr>
              <w:t>Tumpun</w:t>
            </w:r>
            <w:proofErr w:type="spellEnd"/>
            <w:r w:rsidRPr="00BF4AA8">
              <w:rPr>
                <w:rFonts w:ascii="Arial" w:hAnsi="Arial" w:cs="Arial"/>
                <w:sz w:val="22"/>
                <w:szCs w:val="22"/>
              </w:rPr>
              <w:t xml:space="preserve"> Canal,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River mouth</w:t>
            </w:r>
          </w:p>
        </w:tc>
        <w:tc>
          <w:tcPr>
            <w:tcW w:w="0" w:type="auto"/>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Moderate–high</w:t>
            </w:r>
            <w:r w:rsidRPr="00BF4AA8">
              <w:rPr>
                <w:rFonts w:ascii="Arial" w:hAnsi="Arial" w:cs="Arial"/>
                <w:sz w:val="22"/>
                <w:szCs w:val="22"/>
              </w:rPr>
              <w:t xml:space="preserve"> – microbial loads exported via Mekong–</w:t>
            </w:r>
            <w:proofErr w:type="spellStart"/>
            <w:r w:rsidRPr="00BF4AA8">
              <w:rPr>
                <w:rFonts w:ascii="Arial" w:hAnsi="Arial" w:cs="Arial"/>
                <w:sz w:val="22"/>
                <w:szCs w:val="22"/>
              </w:rPr>
              <w:t>Bassac</w:t>
            </w:r>
            <w:proofErr w:type="spellEnd"/>
            <w:r w:rsidRPr="00BF4AA8">
              <w:rPr>
                <w:rFonts w:ascii="Arial" w:hAnsi="Arial" w:cs="Arial"/>
                <w:sz w:val="22"/>
                <w:szCs w:val="22"/>
              </w:rPr>
              <w:t xml:space="preserve"> and coastal currents</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hideMark/>
          </w:tcPr>
          <w:p w:rsidR="00704B24" w:rsidRPr="00BF4AA8" w:rsidRDefault="00704B24" w:rsidP="005F1F5C">
            <w:pPr>
              <w:rPr>
                <w:rFonts w:ascii="Arial" w:hAnsi="Arial" w:cs="Arial"/>
                <w:sz w:val="22"/>
                <w:szCs w:val="22"/>
              </w:rPr>
            </w:pPr>
            <w:r w:rsidRPr="00BF4AA8">
              <w:rPr>
                <w:rFonts w:ascii="Arial" w:hAnsi="Arial" w:cs="Arial"/>
                <w:sz w:val="22"/>
                <w:szCs w:val="22"/>
              </w:rPr>
              <w:t>Solid waste leakage &amp; microplastics</w:t>
            </w:r>
          </w:p>
        </w:tc>
        <w:tc>
          <w:tcPr>
            <w:tcW w:w="934" w:type="dxa"/>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Poorly managed municipal solid waste, plastics from tourism and urban areas</w:t>
            </w:r>
          </w:p>
        </w:tc>
        <w:tc>
          <w:tcPr>
            <w:tcW w:w="1336" w:type="dxa"/>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High</w:t>
            </w:r>
          </w:p>
        </w:tc>
        <w:tc>
          <w:tcPr>
            <w:tcW w:w="2070" w:type="dxa"/>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Ingestion/entanglement of fauna, seagrass and mangrove damage, </w:t>
            </w:r>
            <w:proofErr w:type="gramStart"/>
            <w:r w:rsidRPr="00BF4AA8">
              <w:rPr>
                <w:rFonts w:ascii="Arial" w:hAnsi="Arial" w:cs="Arial"/>
                <w:sz w:val="22"/>
                <w:szCs w:val="22"/>
              </w:rPr>
              <w:t>beach</w:t>
            </w:r>
            <w:proofErr w:type="gramEnd"/>
            <w:r w:rsidRPr="00BF4AA8">
              <w:rPr>
                <w:rFonts w:ascii="Arial" w:hAnsi="Arial" w:cs="Arial"/>
                <w:sz w:val="22"/>
                <w:szCs w:val="22"/>
              </w:rPr>
              <w:t xml:space="preserve"> and seabed litter, long-term microplastic buildup, visual pollution</w:t>
            </w:r>
          </w:p>
        </w:tc>
        <w:tc>
          <w:tcPr>
            <w:tcW w:w="1317" w:type="dxa"/>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Coastal cities and landfills in Koh Kong, Sihanoukville,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w:t>
            </w:r>
            <w:proofErr w:type="spellStart"/>
            <w:r w:rsidRPr="00BF4AA8">
              <w:rPr>
                <w:rFonts w:ascii="Arial" w:hAnsi="Arial" w:cs="Arial"/>
                <w:sz w:val="22"/>
                <w:szCs w:val="22"/>
              </w:rPr>
              <w:t>Kep</w:t>
            </w:r>
            <w:proofErr w:type="spellEnd"/>
            <w:r w:rsidRPr="00BF4AA8">
              <w:rPr>
                <w:rFonts w:ascii="Arial" w:hAnsi="Arial" w:cs="Arial"/>
                <w:sz w:val="22"/>
                <w:szCs w:val="22"/>
              </w:rPr>
              <w:t>; beaches and port areas</w:t>
            </w:r>
          </w:p>
        </w:tc>
        <w:tc>
          <w:tcPr>
            <w:tcW w:w="0" w:type="auto"/>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Very high</w:t>
            </w:r>
            <w:r w:rsidRPr="00BF4AA8">
              <w:rPr>
                <w:rFonts w:ascii="Arial" w:hAnsi="Arial" w:cs="Arial"/>
                <w:sz w:val="22"/>
                <w:szCs w:val="22"/>
              </w:rPr>
              <w:t xml:space="preserve"> – plastics transported around Gulf of Thailand, contributing to regional hotspots</w:t>
            </w:r>
          </w:p>
        </w:tc>
      </w:tr>
      <w:tr w:rsidR="00704B24" w:rsidRPr="00BF4AA8" w:rsidTr="005F1F5C">
        <w:tc>
          <w:tcPr>
            <w:cnfStyle w:val="001000000000" w:firstRow="0" w:lastRow="0" w:firstColumn="1" w:lastColumn="0" w:oddVBand="0" w:evenVBand="0" w:oddHBand="0" w:evenHBand="0" w:firstRowFirstColumn="0" w:firstRowLastColumn="0" w:lastRowFirstColumn="0" w:lastRowLastColumn="0"/>
            <w:tcW w:w="1838" w:type="dxa"/>
            <w:hideMark/>
          </w:tcPr>
          <w:p w:rsidR="00704B24" w:rsidRPr="00BF4AA8" w:rsidRDefault="00704B24" w:rsidP="005F1F5C">
            <w:pPr>
              <w:rPr>
                <w:rFonts w:ascii="Arial" w:hAnsi="Arial" w:cs="Arial"/>
                <w:sz w:val="22"/>
                <w:szCs w:val="22"/>
              </w:rPr>
            </w:pPr>
            <w:r w:rsidRPr="00BF4AA8">
              <w:rPr>
                <w:rFonts w:ascii="Arial" w:hAnsi="Arial" w:cs="Arial"/>
                <w:sz w:val="22"/>
                <w:szCs w:val="22"/>
              </w:rPr>
              <w:t>Industrial &amp; port-related contaminants</w:t>
            </w:r>
          </w:p>
        </w:tc>
        <w:tc>
          <w:tcPr>
            <w:tcW w:w="934" w:type="dxa"/>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Non-compliant effluents (oil &amp; grease, TPH, Pb, Zn, Cu) from SEZs, industry and ports</w:t>
            </w:r>
          </w:p>
        </w:tc>
        <w:tc>
          <w:tcPr>
            <w:tcW w:w="1336" w:type="dxa"/>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Moderate–high</w:t>
            </w:r>
            <w:r w:rsidRPr="00BF4AA8">
              <w:rPr>
                <w:rFonts w:ascii="Arial" w:hAnsi="Arial" w:cs="Arial"/>
                <w:sz w:val="22"/>
                <w:szCs w:val="22"/>
              </w:rPr>
              <w:t xml:space="preserve"> (spatially concentrated)</w:t>
            </w:r>
          </w:p>
        </w:tc>
        <w:tc>
          <w:tcPr>
            <w:tcW w:w="2070" w:type="dxa"/>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Chronic toxicity, bioaccumulation in fish, estuarine habitat degradation, constraints for aquaculture</w:t>
            </w:r>
          </w:p>
        </w:tc>
        <w:tc>
          <w:tcPr>
            <w:tcW w:w="1317" w:type="dxa"/>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Sihanoukville Autonomous Port, Stung </w:t>
            </w:r>
            <w:proofErr w:type="spellStart"/>
            <w:r w:rsidRPr="00BF4AA8">
              <w:rPr>
                <w:rFonts w:ascii="Arial" w:hAnsi="Arial" w:cs="Arial"/>
                <w:sz w:val="22"/>
                <w:szCs w:val="22"/>
              </w:rPr>
              <w:t>Hav</w:t>
            </w:r>
            <w:proofErr w:type="spellEnd"/>
            <w:r w:rsidRPr="00BF4AA8">
              <w:rPr>
                <w:rFonts w:ascii="Arial" w:hAnsi="Arial" w:cs="Arial"/>
                <w:sz w:val="22"/>
                <w:szCs w:val="22"/>
              </w:rPr>
              <w:t xml:space="preserve"> cluster, </w:t>
            </w:r>
            <w:proofErr w:type="spellStart"/>
            <w:r w:rsidRPr="00BF4AA8">
              <w:rPr>
                <w:rFonts w:ascii="Arial" w:hAnsi="Arial" w:cs="Arial"/>
                <w:sz w:val="22"/>
                <w:szCs w:val="22"/>
              </w:rPr>
              <w:t>Prek</w:t>
            </w:r>
            <w:proofErr w:type="spellEnd"/>
            <w:r w:rsidRPr="00BF4AA8">
              <w:rPr>
                <w:rFonts w:ascii="Arial" w:hAnsi="Arial" w:cs="Arial"/>
                <w:sz w:val="22"/>
                <w:szCs w:val="22"/>
              </w:rPr>
              <w:t xml:space="preserve"> </w:t>
            </w:r>
            <w:proofErr w:type="spellStart"/>
            <w:r w:rsidRPr="00BF4AA8">
              <w:rPr>
                <w:rFonts w:ascii="Arial" w:hAnsi="Arial" w:cs="Arial"/>
                <w:sz w:val="22"/>
                <w:szCs w:val="22"/>
              </w:rPr>
              <w:t>Toeuk</w:t>
            </w:r>
            <w:proofErr w:type="spellEnd"/>
            <w:r w:rsidRPr="00BF4AA8">
              <w:rPr>
                <w:rFonts w:ascii="Arial" w:hAnsi="Arial" w:cs="Arial"/>
                <w:sz w:val="22"/>
                <w:szCs w:val="22"/>
              </w:rPr>
              <w:t xml:space="preserve"> Sap, </w:t>
            </w:r>
            <w:proofErr w:type="spellStart"/>
            <w:r w:rsidRPr="00BF4AA8">
              <w:rPr>
                <w:rFonts w:ascii="Arial" w:hAnsi="Arial" w:cs="Arial"/>
                <w:sz w:val="22"/>
                <w:szCs w:val="22"/>
              </w:rPr>
              <w:t>Tumpun</w:t>
            </w:r>
            <w:proofErr w:type="spellEnd"/>
            <w:r w:rsidRPr="00BF4AA8">
              <w:rPr>
                <w:rFonts w:ascii="Arial" w:hAnsi="Arial" w:cs="Arial"/>
                <w:sz w:val="22"/>
                <w:szCs w:val="22"/>
              </w:rPr>
              <w:t>–</w:t>
            </w:r>
            <w:proofErr w:type="spellStart"/>
            <w:r w:rsidRPr="00BF4AA8">
              <w:rPr>
                <w:rFonts w:ascii="Arial" w:hAnsi="Arial" w:cs="Arial"/>
                <w:sz w:val="22"/>
                <w:szCs w:val="22"/>
              </w:rPr>
              <w:t>Trabek</w:t>
            </w:r>
            <w:proofErr w:type="spellEnd"/>
            <w:r w:rsidRPr="00BF4AA8">
              <w:rPr>
                <w:rFonts w:ascii="Arial" w:hAnsi="Arial" w:cs="Arial"/>
                <w:sz w:val="22"/>
                <w:szCs w:val="22"/>
              </w:rPr>
              <w:t xml:space="preserve"> canal system, </w:t>
            </w:r>
            <w:proofErr w:type="spellStart"/>
            <w:r w:rsidRPr="00BF4AA8">
              <w:rPr>
                <w:rFonts w:ascii="Arial" w:hAnsi="Arial" w:cs="Arial"/>
                <w:sz w:val="22"/>
                <w:szCs w:val="22"/>
              </w:rPr>
              <w:t>Peam</w:t>
            </w:r>
            <w:proofErr w:type="spellEnd"/>
            <w:r w:rsidRPr="00BF4AA8">
              <w:rPr>
                <w:rFonts w:ascii="Arial" w:hAnsi="Arial" w:cs="Arial"/>
                <w:sz w:val="22"/>
                <w:szCs w:val="22"/>
              </w:rPr>
              <w:t xml:space="preserve"> </w:t>
            </w:r>
            <w:proofErr w:type="spellStart"/>
            <w:r w:rsidRPr="00BF4AA8">
              <w:rPr>
                <w:rFonts w:ascii="Arial" w:hAnsi="Arial" w:cs="Arial"/>
                <w:sz w:val="22"/>
                <w:szCs w:val="22"/>
              </w:rPr>
              <w:t>Krasop</w:t>
            </w:r>
            <w:proofErr w:type="spellEnd"/>
            <w:r w:rsidRPr="00BF4AA8">
              <w:rPr>
                <w:rFonts w:ascii="Arial" w:hAnsi="Arial" w:cs="Arial"/>
                <w:sz w:val="22"/>
                <w:szCs w:val="22"/>
              </w:rPr>
              <w:t>/Koh Kong</w:t>
            </w:r>
          </w:p>
        </w:tc>
        <w:tc>
          <w:tcPr>
            <w:tcW w:w="0" w:type="auto"/>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Moderate</w:t>
            </w:r>
            <w:r w:rsidRPr="00BF4AA8">
              <w:rPr>
                <w:rFonts w:ascii="Arial" w:hAnsi="Arial" w:cs="Arial"/>
                <w:sz w:val="22"/>
                <w:szCs w:val="22"/>
              </w:rPr>
              <w:t xml:space="preserve"> – contaminated sediments and plumes transported along nearshore shelf (esp. toward Thai border)</w:t>
            </w:r>
          </w:p>
        </w:tc>
      </w:tr>
      <w:tr w:rsidR="00704B24"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hideMark/>
          </w:tcPr>
          <w:p w:rsidR="00704B24" w:rsidRPr="00BF4AA8" w:rsidRDefault="00704B24" w:rsidP="005F1F5C">
            <w:pPr>
              <w:rPr>
                <w:rFonts w:ascii="Arial" w:hAnsi="Arial" w:cs="Arial"/>
                <w:sz w:val="22"/>
                <w:szCs w:val="22"/>
              </w:rPr>
            </w:pPr>
            <w:r w:rsidRPr="00BF4AA8">
              <w:rPr>
                <w:rFonts w:ascii="Arial" w:hAnsi="Arial" w:cs="Arial"/>
                <w:sz w:val="22"/>
                <w:szCs w:val="22"/>
              </w:rPr>
              <w:t>Oil spills &amp; hydrocarbon pollution</w:t>
            </w:r>
          </w:p>
        </w:tc>
        <w:tc>
          <w:tcPr>
            <w:tcW w:w="934" w:type="dxa"/>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Episodic spills, bilge water, ship repair and port operations</w:t>
            </w:r>
          </w:p>
        </w:tc>
        <w:tc>
          <w:tcPr>
            <w:tcW w:w="1336" w:type="dxa"/>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Low–moderate</w:t>
            </w:r>
            <w:r w:rsidRPr="00BF4AA8">
              <w:rPr>
                <w:rFonts w:ascii="Arial" w:hAnsi="Arial" w:cs="Arial"/>
                <w:sz w:val="22"/>
                <w:szCs w:val="22"/>
              </w:rPr>
              <w:t xml:space="preserve"> (but high consequence)</w:t>
            </w:r>
          </w:p>
        </w:tc>
        <w:tc>
          <w:tcPr>
            <w:tcW w:w="2070" w:type="dxa"/>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Acute smothering of coral and seagrass, fish kills, beach closures, tourism disruption, residual hydrocarbons in sediments</w:t>
            </w:r>
          </w:p>
        </w:tc>
        <w:tc>
          <w:tcPr>
            <w:tcW w:w="1317" w:type="dxa"/>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Port-adjacent waters, shipping lanes near Sihanoukville, </w:t>
            </w:r>
            <w:proofErr w:type="spellStart"/>
            <w:r w:rsidRPr="00BF4AA8">
              <w:rPr>
                <w:rFonts w:ascii="Arial" w:hAnsi="Arial" w:cs="Arial"/>
                <w:sz w:val="22"/>
                <w:szCs w:val="22"/>
              </w:rPr>
              <w:t>Prek</w:t>
            </w:r>
            <w:proofErr w:type="spellEnd"/>
            <w:r w:rsidRPr="00BF4AA8">
              <w:rPr>
                <w:rFonts w:ascii="Arial" w:hAnsi="Arial" w:cs="Arial"/>
                <w:sz w:val="22"/>
                <w:szCs w:val="22"/>
              </w:rPr>
              <w:t xml:space="preserve"> </w:t>
            </w:r>
            <w:proofErr w:type="spellStart"/>
            <w:r w:rsidRPr="00BF4AA8">
              <w:rPr>
                <w:rFonts w:ascii="Arial" w:hAnsi="Arial" w:cs="Arial"/>
                <w:sz w:val="22"/>
                <w:szCs w:val="22"/>
              </w:rPr>
              <w:t>Treng</w:t>
            </w:r>
            <w:proofErr w:type="spellEnd"/>
            <w:r w:rsidRPr="00BF4AA8">
              <w:rPr>
                <w:rFonts w:ascii="Arial" w:hAnsi="Arial" w:cs="Arial"/>
                <w:sz w:val="22"/>
                <w:szCs w:val="22"/>
              </w:rPr>
              <w:t xml:space="preserve"> coastline</w:t>
            </w:r>
          </w:p>
        </w:tc>
        <w:tc>
          <w:tcPr>
            <w:tcW w:w="0" w:type="auto"/>
            <w:hideMark/>
          </w:tcPr>
          <w:p w:rsidR="00704B24" w:rsidRPr="00BF4AA8" w:rsidRDefault="00704B24"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High</w:t>
            </w:r>
            <w:r w:rsidRPr="00BF4AA8">
              <w:rPr>
                <w:rFonts w:ascii="Arial" w:hAnsi="Arial" w:cs="Arial"/>
                <w:sz w:val="22"/>
                <w:szCs w:val="22"/>
              </w:rPr>
              <w:t xml:space="preserve"> – strong currents can move slicks across borders within days</w:t>
            </w:r>
          </w:p>
        </w:tc>
      </w:tr>
      <w:tr w:rsidR="00704B24" w:rsidRPr="00BF4AA8" w:rsidTr="005F1F5C">
        <w:tc>
          <w:tcPr>
            <w:cnfStyle w:val="001000000000" w:firstRow="0" w:lastRow="0" w:firstColumn="1" w:lastColumn="0" w:oddVBand="0" w:evenVBand="0" w:oddHBand="0" w:evenHBand="0" w:firstRowFirstColumn="0" w:firstRowLastColumn="0" w:lastRowFirstColumn="0" w:lastRowLastColumn="0"/>
            <w:tcW w:w="1838" w:type="dxa"/>
            <w:hideMark/>
          </w:tcPr>
          <w:p w:rsidR="00704B24" w:rsidRPr="00BF4AA8" w:rsidRDefault="00704B24" w:rsidP="005F1F5C">
            <w:pPr>
              <w:rPr>
                <w:rFonts w:ascii="Arial" w:hAnsi="Arial" w:cs="Arial"/>
                <w:sz w:val="22"/>
                <w:szCs w:val="22"/>
              </w:rPr>
            </w:pPr>
            <w:r w:rsidRPr="00BF4AA8">
              <w:rPr>
                <w:rFonts w:ascii="Arial" w:hAnsi="Arial" w:cs="Arial"/>
                <w:sz w:val="22"/>
                <w:szCs w:val="22"/>
              </w:rPr>
              <w:t>Hazardous waste mismanagement</w:t>
            </w:r>
          </w:p>
        </w:tc>
        <w:tc>
          <w:tcPr>
            <w:tcW w:w="934" w:type="dxa"/>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Poorly tracked industrial, </w:t>
            </w:r>
            <w:proofErr w:type="gramStart"/>
            <w:r w:rsidRPr="00BF4AA8">
              <w:rPr>
                <w:rFonts w:ascii="Arial" w:hAnsi="Arial" w:cs="Arial"/>
                <w:sz w:val="22"/>
                <w:szCs w:val="22"/>
              </w:rPr>
              <w:t>medical</w:t>
            </w:r>
            <w:proofErr w:type="gramEnd"/>
            <w:r w:rsidRPr="00BF4AA8">
              <w:rPr>
                <w:rFonts w:ascii="Arial" w:hAnsi="Arial" w:cs="Arial"/>
                <w:sz w:val="22"/>
                <w:szCs w:val="22"/>
              </w:rPr>
              <w:t xml:space="preserve"> and hazardous wastes; limited treatment capacity</w:t>
            </w:r>
          </w:p>
        </w:tc>
        <w:tc>
          <w:tcPr>
            <w:tcW w:w="1336" w:type="dxa"/>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Moderate</w:t>
            </w:r>
          </w:p>
        </w:tc>
        <w:tc>
          <w:tcPr>
            <w:tcW w:w="2070" w:type="dxa"/>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Soil and groundwater contamination, toxic residues entering rivers/estuaries, long-term human-health risks</w:t>
            </w:r>
          </w:p>
        </w:tc>
        <w:tc>
          <w:tcPr>
            <w:tcW w:w="1317" w:type="dxa"/>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Industrial corridors, urban disposal sites, facilities lacking secure treatment</w:t>
            </w:r>
          </w:p>
        </w:tc>
        <w:tc>
          <w:tcPr>
            <w:tcW w:w="0" w:type="auto"/>
            <w:hideMark/>
          </w:tcPr>
          <w:p w:rsidR="00704B24" w:rsidRPr="00BF4AA8" w:rsidRDefault="00704B24"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Moderate</w:t>
            </w:r>
            <w:r w:rsidRPr="00BF4AA8">
              <w:rPr>
                <w:rFonts w:ascii="Arial" w:hAnsi="Arial" w:cs="Arial"/>
                <w:sz w:val="22"/>
                <w:szCs w:val="22"/>
              </w:rPr>
              <w:t xml:space="preserve"> – mainly via Mekong–</w:t>
            </w:r>
            <w:proofErr w:type="spellStart"/>
            <w:r w:rsidRPr="00BF4AA8">
              <w:rPr>
                <w:rFonts w:ascii="Arial" w:hAnsi="Arial" w:cs="Arial"/>
                <w:sz w:val="22"/>
                <w:szCs w:val="22"/>
              </w:rPr>
              <w:t>Bassac</w:t>
            </w:r>
            <w:proofErr w:type="spellEnd"/>
            <w:r w:rsidRPr="00BF4AA8">
              <w:rPr>
                <w:rFonts w:ascii="Arial" w:hAnsi="Arial" w:cs="Arial"/>
                <w:sz w:val="22"/>
                <w:szCs w:val="22"/>
              </w:rPr>
              <w:t xml:space="preserve"> and coastal runoff pathways</w:t>
            </w:r>
          </w:p>
        </w:tc>
      </w:tr>
    </w:tbl>
    <w:p w:rsidR="00704B24" w:rsidRPr="00BF4AA8" w:rsidRDefault="00704B24" w:rsidP="00704B24">
      <w:pPr>
        <w:rPr>
          <w:rFonts w:ascii="Arial" w:hAnsi="Arial" w:cs="Arial"/>
          <w:sz w:val="22"/>
          <w:szCs w:val="22"/>
        </w:rPr>
      </w:pPr>
    </w:p>
    <w:p w:rsidR="002675E0" w:rsidRPr="00BF4AA8" w:rsidRDefault="002675E0" w:rsidP="00BF4AA8">
      <w:pPr>
        <w:pStyle w:val="Heading1"/>
      </w:pPr>
      <w:bookmarkStart w:id="20" w:name="_Toc216681453"/>
      <w:r w:rsidRPr="00BF4AA8">
        <w:t>Annex 4</w:t>
      </w:r>
      <w:bookmarkEnd w:id="20"/>
    </w:p>
    <w:p w:rsidR="00F04907" w:rsidRPr="00BF4AA8" w:rsidRDefault="00F04907" w:rsidP="00BF4AA8">
      <w:pPr>
        <w:pStyle w:val="Heading2"/>
        <w:keepNext/>
        <w:adjustRightInd w:val="0"/>
        <w:snapToGrid w:val="0"/>
        <w:spacing w:before="240" w:beforeAutospacing="0" w:after="120" w:afterAutospacing="0"/>
        <w:rPr>
          <w:rFonts w:ascii="Arial" w:hAnsi="Arial" w:cs="Arial"/>
          <w:color w:val="0070C0"/>
          <w:sz w:val="22"/>
          <w:szCs w:val="22"/>
        </w:rPr>
      </w:pPr>
      <w:bookmarkStart w:id="21" w:name="_Toc216681454"/>
      <w:r w:rsidRPr="00BF4AA8">
        <w:rPr>
          <w:rFonts w:ascii="Arial" w:hAnsi="Arial" w:cs="Arial"/>
          <w:color w:val="0070C0"/>
          <w:sz w:val="22"/>
          <w:szCs w:val="22"/>
        </w:rPr>
        <w:t>Annex 4-</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Annex_4-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1</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Data sources</w:t>
      </w:r>
      <w:bookmarkEnd w:id="21"/>
      <w:r w:rsidRPr="00BF4AA8">
        <w:rPr>
          <w:rFonts w:ascii="Arial" w:hAnsi="Arial" w:cs="Arial"/>
          <w:color w:val="0070C0"/>
          <w:sz w:val="22"/>
          <w:szCs w:val="22"/>
        </w:rPr>
        <w:t xml:space="preserve"> </w:t>
      </w:r>
    </w:p>
    <w:p w:rsidR="00F04907" w:rsidRPr="00BF4AA8" w:rsidRDefault="00F04907" w:rsidP="00F04907">
      <w:pPr>
        <w:pStyle w:val="NormalWeb"/>
        <w:jc w:val="both"/>
        <w:rPr>
          <w:rFonts w:ascii="Arial" w:hAnsi="Arial" w:cs="Arial"/>
          <w:sz w:val="22"/>
          <w:szCs w:val="22"/>
        </w:rPr>
      </w:pPr>
      <w:r w:rsidRPr="00BF4AA8">
        <w:rPr>
          <w:rStyle w:val="Strong"/>
          <w:rFonts w:ascii="Arial" w:eastAsiaTheme="majorEastAsia" w:hAnsi="Arial" w:cs="Arial"/>
          <w:sz w:val="22"/>
          <w:szCs w:val="22"/>
        </w:rPr>
        <w:t>Mangroves</w:t>
      </w:r>
    </w:p>
    <w:p w:rsidR="00F04907" w:rsidRPr="00BF4AA8" w:rsidRDefault="00F04907" w:rsidP="00F04907">
      <w:pPr>
        <w:pStyle w:val="NormalWeb"/>
        <w:numPr>
          <w:ilvl w:val="0"/>
          <w:numId w:val="211"/>
        </w:numPr>
        <w:jc w:val="both"/>
        <w:rPr>
          <w:rFonts w:ascii="Arial" w:hAnsi="Arial" w:cs="Arial"/>
          <w:sz w:val="22"/>
          <w:szCs w:val="22"/>
        </w:rPr>
      </w:pPr>
      <w:proofErr w:type="spellStart"/>
      <w:r w:rsidRPr="00BF4AA8">
        <w:rPr>
          <w:rStyle w:val="Strong"/>
          <w:rFonts w:ascii="Arial" w:eastAsiaTheme="majorEastAsia" w:hAnsi="Arial" w:cs="Arial"/>
          <w:sz w:val="22"/>
          <w:szCs w:val="22"/>
        </w:rPr>
        <w:t>MoE</w:t>
      </w:r>
      <w:proofErr w:type="spellEnd"/>
      <w:r w:rsidRPr="00BF4AA8">
        <w:rPr>
          <w:rStyle w:val="Strong"/>
          <w:rFonts w:ascii="Arial" w:eastAsiaTheme="majorEastAsia" w:hAnsi="Arial" w:cs="Arial"/>
          <w:sz w:val="22"/>
          <w:szCs w:val="22"/>
        </w:rPr>
        <w:t xml:space="preserve"> Mangrove Assessment (2014, 2025):</w:t>
      </w:r>
      <w:r w:rsidRPr="00BF4AA8">
        <w:rPr>
          <w:rFonts w:ascii="Arial" w:hAnsi="Arial" w:cs="Arial"/>
          <w:sz w:val="22"/>
          <w:szCs w:val="22"/>
        </w:rPr>
        <w:t xml:space="preserve"> national wall-to-wall mapping (Sentinel-2, 10 m) with consistent methods—chosen as the primary pair for recent trend detection and provincial disaggregation.</w:t>
      </w:r>
    </w:p>
    <w:p w:rsidR="00F04907" w:rsidRPr="00BF4AA8" w:rsidRDefault="00F04907" w:rsidP="00F04907">
      <w:pPr>
        <w:pStyle w:val="NormalWeb"/>
        <w:numPr>
          <w:ilvl w:val="0"/>
          <w:numId w:val="211"/>
        </w:numPr>
        <w:jc w:val="both"/>
        <w:rPr>
          <w:rFonts w:ascii="Arial" w:hAnsi="Arial" w:cs="Arial"/>
          <w:sz w:val="22"/>
          <w:szCs w:val="22"/>
        </w:rPr>
      </w:pPr>
      <w:r w:rsidRPr="00BF4AA8">
        <w:rPr>
          <w:rStyle w:val="Strong"/>
          <w:rFonts w:ascii="Arial" w:eastAsiaTheme="majorEastAsia" w:hAnsi="Arial" w:cs="Arial"/>
          <w:sz w:val="22"/>
          <w:szCs w:val="22"/>
        </w:rPr>
        <w:t>NSOC/PEMSEA compilations (1997, 2011):</w:t>
      </w:r>
      <w:r w:rsidRPr="00BF4AA8">
        <w:rPr>
          <w:rFonts w:ascii="Arial" w:hAnsi="Arial" w:cs="Arial"/>
          <w:sz w:val="22"/>
          <w:szCs w:val="22"/>
        </w:rPr>
        <w:t xml:space="preserve"> used to contextualize the earlier contraction phase and to compare long-run magnitudes.</w:t>
      </w:r>
    </w:p>
    <w:p w:rsidR="00F04907" w:rsidRPr="00BF4AA8" w:rsidRDefault="00F04907" w:rsidP="00F04907">
      <w:pPr>
        <w:pStyle w:val="NormalWeb"/>
        <w:numPr>
          <w:ilvl w:val="0"/>
          <w:numId w:val="211"/>
        </w:numPr>
        <w:jc w:val="both"/>
        <w:rPr>
          <w:rFonts w:ascii="Arial" w:hAnsi="Arial" w:cs="Arial"/>
          <w:sz w:val="22"/>
          <w:szCs w:val="22"/>
        </w:rPr>
      </w:pPr>
      <w:r w:rsidRPr="00BF4AA8">
        <w:rPr>
          <w:rStyle w:val="Strong"/>
          <w:rFonts w:ascii="Arial" w:eastAsiaTheme="majorEastAsia" w:hAnsi="Arial" w:cs="Arial"/>
          <w:sz w:val="22"/>
          <w:szCs w:val="22"/>
        </w:rPr>
        <w:t>Global Mangrove Watch (v3.0):</w:t>
      </w:r>
      <w:r w:rsidRPr="00BF4AA8">
        <w:rPr>
          <w:rFonts w:ascii="Arial" w:hAnsi="Arial" w:cs="Arial"/>
          <w:sz w:val="22"/>
          <w:szCs w:val="22"/>
        </w:rPr>
        <w:t xml:space="preserve"> global consistency </w:t>
      </w:r>
      <w:proofErr w:type="gramStart"/>
      <w:r w:rsidRPr="00BF4AA8">
        <w:rPr>
          <w:rFonts w:ascii="Arial" w:hAnsi="Arial" w:cs="Arial"/>
          <w:sz w:val="22"/>
          <w:szCs w:val="22"/>
        </w:rPr>
        <w:t>check</w:t>
      </w:r>
      <w:proofErr w:type="gramEnd"/>
      <w:r w:rsidRPr="00BF4AA8">
        <w:rPr>
          <w:rFonts w:ascii="Arial" w:hAnsi="Arial" w:cs="Arial"/>
          <w:sz w:val="22"/>
          <w:szCs w:val="22"/>
        </w:rPr>
        <w:t xml:space="preserve"> on 1996–2020 trajectories and spatial plausibility.</w:t>
      </w:r>
    </w:p>
    <w:p w:rsidR="00F04907" w:rsidRPr="00BF4AA8" w:rsidRDefault="00F04907" w:rsidP="00BF4AA8">
      <w:pPr>
        <w:pStyle w:val="NormalWeb"/>
        <w:keepNext/>
        <w:jc w:val="both"/>
        <w:rPr>
          <w:rFonts w:ascii="Arial" w:hAnsi="Arial" w:cs="Arial"/>
          <w:sz w:val="22"/>
          <w:szCs w:val="22"/>
        </w:rPr>
      </w:pPr>
      <w:r w:rsidRPr="00BF4AA8">
        <w:rPr>
          <w:rStyle w:val="Strong"/>
          <w:rFonts w:ascii="Arial" w:eastAsiaTheme="majorEastAsia" w:hAnsi="Arial" w:cs="Arial"/>
          <w:sz w:val="22"/>
          <w:szCs w:val="22"/>
        </w:rPr>
        <w:t>Coral reefs</w:t>
      </w:r>
    </w:p>
    <w:p w:rsidR="00F04907" w:rsidRPr="00BF4AA8" w:rsidRDefault="00F04907" w:rsidP="00F04907">
      <w:pPr>
        <w:pStyle w:val="NormalWeb"/>
        <w:numPr>
          <w:ilvl w:val="0"/>
          <w:numId w:val="212"/>
        </w:numPr>
        <w:jc w:val="both"/>
        <w:rPr>
          <w:rFonts w:ascii="Arial" w:hAnsi="Arial" w:cs="Arial"/>
          <w:sz w:val="22"/>
          <w:szCs w:val="22"/>
        </w:rPr>
      </w:pPr>
      <w:r w:rsidRPr="00BF4AA8">
        <w:rPr>
          <w:rStyle w:val="Strong"/>
          <w:rFonts w:ascii="Arial" w:eastAsiaTheme="majorEastAsia" w:hAnsi="Arial" w:cs="Arial"/>
          <w:sz w:val="22"/>
          <w:szCs w:val="22"/>
        </w:rPr>
        <w:t xml:space="preserve">CCRMN / </w:t>
      </w:r>
      <w:proofErr w:type="spellStart"/>
      <w:r w:rsidRPr="00BF4AA8">
        <w:rPr>
          <w:rStyle w:val="Strong"/>
          <w:rFonts w:ascii="Arial" w:eastAsiaTheme="majorEastAsia" w:hAnsi="Arial" w:cs="Arial"/>
          <w:sz w:val="22"/>
          <w:szCs w:val="22"/>
        </w:rPr>
        <w:t>FiA</w:t>
      </w:r>
      <w:proofErr w:type="spellEnd"/>
      <w:r w:rsidRPr="00BF4AA8">
        <w:rPr>
          <w:rStyle w:val="Strong"/>
          <w:rFonts w:ascii="Arial" w:eastAsiaTheme="majorEastAsia" w:hAnsi="Arial" w:cs="Arial"/>
          <w:sz w:val="22"/>
          <w:szCs w:val="22"/>
        </w:rPr>
        <w:t xml:space="preserve"> national monitoring (since 2019):</w:t>
      </w:r>
      <w:r w:rsidRPr="00BF4AA8">
        <w:rPr>
          <w:rFonts w:ascii="Arial" w:hAnsi="Arial" w:cs="Arial"/>
          <w:sz w:val="22"/>
          <w:szCs w:val="22"/>
        </w:rPr>
        <w:t xml:space="preserve"> standardized line-intercept/photo-quadrats and belt transects for fish/invertebrates—used for mean live cover, life-form composition, and qualitative trend signals.</w:t>
      </w:r>
    </w:p>
    <w:p w:rsidR="00F04907" w:rsidRPr="00BF4AA8" w:rsidRDefault="00F04907" w:rsidP="00F04907">
      <w:pPr>
        <w:pStyle w:val="NormalWeb"/>
        <w:numPr>
          <w:ilvl w:val="0"/>
          <w:numId w:val="212"/>
        </w:numPr>
        <w:jc w:val="both"/>
        <w:rPr>
          <w:rFonts w:ascii="Arial" w:hAnsi="Arial" w:cs="Arial"/>
          <w:sz w:val="22"/>
          <w:szCs w:val="22"/>
        </w:rPr>
      </w:pPr>
      <w:r w:rsidRPr="00BF4AA8">
        <w:rPr>
          <w:rStyle w:val="Strong"/>
          <w:rFonts w:ascii="Arial" w:eastAsiaTheme="majorEastAsia" w:hAnsi="Arial" w:cs="Arial"/>
          <w:sz w:val="22"/>
          <w:szCs w:val="22"/>
        </w:rPr>
        <w:t>Legacy site surveys (Koh Rong/</w:t>
      </w:r>
      <w:proofErr w:type="spellStart"/>
      <w:r w:rsidRPr="00BF4AA8">
        <w:rPr>
          <w:rStyle w:val="Strong"/>
          <w:rFonts w:ascii="Arial" w:eastAsiaTheme="majorEastAsia" w:hAnsi="Arial" w:cs="Arial"/>
          <w:sz w:val="22"/>
          <w:szCs w:val="22"/>
        </w:rPr>
        <w:t>Kep</w:t>
      </w:r>
      <w:proofErr w:type="spellEnd"/>
      <w:r w:rsidRPr="00BF4AA8">
        <w:rPr>
          <w:rStyle w:val="Strong"/>
          <w:rFonts w:ascii="Arial" w:eastAsiaTheme="majorEastAsia" w:hAnsi="Arial" w:cs="Arial"/>
          <w:sz w:val="22"/>
          <w:szCs w:val="22"/>
        </w:rPr>
        <w:t>/</w:t>
      </w:r>
      <w:proofErr w:type="spellStart"/>
      <w:r w:rsidRPr="00BF4AA8">
        <w:rPr>
          <w:rStyle w:val="Strong"/>
          <w:rFonts w:ascii="Arial" w:eastAsiaTheme="majorEastAsia" w:hAnsi="Arial" w:cs="Arial"/>
          <w:sz w:val="22"/>
          <w:szCs w:val="22"/>
        </w:rPr>
        <w:t>Kampot</w:t>
      </w:r>
      <w:proofErr w:type="spellEnd"/>
      <w:r w:rsidRPr="00BF4AA8">
        <w:rPr>
          <w:rStyle w:val="Strong"/>
          <w:rFonts w:ascii="Arial" w:eastAsiaTheme="majorEastAsia" w:hAnsi="Arial" w:cs="Arial"/>
          <w:sz w:val="22"/>
          <w:szCs w:val="22"/>
        </w:rPr>
        <w:t xml:space="preserve">/Koh </w:t>
      </w:r>
      <w:proofErr w:type="spellStart"/>
      <w:r w:rsidRPr="00BF4AA8">
        <w:rPr>
          <w:rStyle w:val="Strong"/>
          <w:rFonts w:ascii="Arial" w:eastAsiaTheme="majorEastAsia" w:hAnsi="Arial" w:cs="Arial"/>
          <w:sz w:val="22"/>
          <w:szCs w:val="22"/>
        </w:rPr>
        <w:t>Sdach</w:t>
      </w:r>
      <w:proofErr w:type="spellEnd"/>
      <w:r w:rsidRPr="00BF4AA8">
        <w:rPr>
          <w:rStyle w:val="Strong"/>
          <w:rFonts w:ascii="Arial" w:eastAsiaTheme="majorEastAsia" w:hAnsi="Arial" w:cs="Arial"/>
          <w:sz w:val="22"/>
          <w:szCs w:val="22"/>
        </w:rPr>
        <w:t>):</w:t>
      </w:r>
      <w:r w:rsidRPr="00BF4AA8">
        <w:rPr>
          <w:rFonts w:ascii="Arial" w:hAnsi="Arial" w:cs="Arial"/>
          <w:sz w:val="22"/>
          <w:szCs w:val="22"/>
        </w:rPr>
        <w:t xml:space="preserve"> provide pre-2019 context and species-level richness.</w:t>
      </w:r>
    </w:p>
    <w:p w:rsidR="00F04907" w:rsidRPr="00BF4AA8" w:rsidRDefault="00F04907" w:rsidP="00F04907">
      <w:pPr>
        <w:pStyle w:val="NormalWeb"/>
        <w:jc w:val="both"/>
        <w:rPr>
          <w:rFonts w:ascii="Arial" w:hAnsi="Arial" w:cs="Arial"/>
          <w:sz w:val="22"/>
          <w:szCs w:val="22"/>
        </w:rPr>
      </w:pPr>
      <w:r w:rsidRPr="00BF4AA8">
        <w:rPr>
          <w:rStyle w:val="Strong"/>
          <w:rFonts w:ascii="Arial" w:eastAsiaTheme="majorEastAsia" w:hAnsi="Arial" w:cs="Arial"/>
          <w:sz w:val="22"/>
          <w:szCs w:val="22"/>
        </w:rPr>
        <w:t>Seagrass</w:t>
      </w:r>
    </w:p>
    <w:p w:rsidR="00F04907" w:rsidRPr="00BF4AA8" w:rsidRDefault="00F04907" w:rsidP="00F04907">
      <w:pPr>
        <w:pStyle w:val="NormalWeb"/>
        <w:numPr>
          <w:ilvl w:val="0"/>
          <w:numId w:val="213"/>
        </w:numPr>
        <w:jc w:val="both"/>
        <w:rPr>
          <w:rFonts w:ascii="Arial" w:hAnsi="Arial" w:cs="Arial"/>
          <w:sz w:val="22"/>
          <w:szCs w:val="22"/>
        </w:rPr>
      </w:pPr>
      <w:proofErr w:type="spellStart"/>
      <w:r w:rsidRPr="00BF4AA8">
        <w:rPr>
          <w:rStyle w:val="Strong"/>
          <w:rFonts w:ascii="Arial" w:eastAsiaTheme="majorEastAsia" w:hAnsi="Arial" w:cs="Arial"/>
          <w:sz w:val="22"/>
          <w:szCs w:val="22"/>
        </w:rPr>
        <w:t>MoE</w:t>
      </w:r>
      <w:proofErr w:type="spellEnd"/>
      <w:r w:rsidRPr="00BF4AA8">
        <w:rPr>
          <w:rStyle w:val="Strong"/>
          <w:rFonts w:ascii="Arial" w:eastAsiaTheme="majorEastAsia" w:hAnsi="Arial" w:cs="Arial"/>
          <w:sz w:val="22"/>
          <w:szCs w:val="22"/>
        </w:rPr>
        <w:t xml:space="preserve"> Seagrass Assessment (2014, 2025):</w:t>
      </w:r>
      <w:r w:rsidRPr="00BF4AA8">
        <w:rPr>
          <w:rFonts w:ascii="Arial" w:hAnsi="Arial" w:cs="Arial"/>
          <w:sz w:val="22"/>
          <w:szCs w:val="22"/>
        </w:rPr>
        <w:t xml:space="preserve"> provincewide tallies with </w:t>
      </w:r>
      <w:proofErr w:type="spellStart"/>
      <w:r w:rsidRPr="00BF4AA8">
        <w:rPr>
          <w:rFonts w:ascii="Arial" w:hAnsi="Arial" w:cs="Arial"/>
          <w:sz w:val="22"/>
          <w:szCs w:val="22"/>
        </w:rPr>
        <w:t>CFi</w:t>
      </w:r>
      <w:proofErr w:type="spellEnd"/>
      <w:r w:rsidRPr="00BF4AA8">
        <w:rPr>
          <w:rFonts w:ascii="Arial" w:hAnsi="Arial" w:cs="Arial"/>
          <w:sz w:val="22"/>
          <w:szCs w:val="22"/>
        </w:rPr>
        <w:t>-resolved meadows (</w:t>
      </w:r>
      <w:proofErr w:type="spellStart"/>
      <w:r w:rsidRPr="00BF4AA8">
        <w:rPr>
          <w:rFonts w:ascii="Arial" w:hAnsi="Arial" w:cs="Arial"/>
          <w:sz w:val="22"/>
          <w:szCs w:val="22"/>
        </w:rPr>
        <w:t>Kep</w:t>
      </w:r>
      <w:proofErr w:type="spellEnd"/>
      <w:r w:rsidRPr="00BF4AA8">
        <w:rPr>
          <w:rFonts w:ascii="Arial" w:hAnsi="Arial" w:cs="Arial"/>
          <w:sz w:val="22"/>
          <w:szCs w:val="22"/>
        </w:rPr>
        <w:t>–</w:t>
      </w:r>
      <w:proofErr w:type="spellStart"/>
      <w:r w:rsidRPr="00BF4AA8">
        <w:rPr>
          <w:rFonts w:ascii="Arial" w:hAnsi="Arial" w:cs="Arial"/>
          <w:sz w:val="22"/>
          <w:szCs w:val="22"/>
        </w:rPr>
        <w:t>Kampot</w:t>
      </w:r>
      <w:proofErr w:type="spellEnd"/>
      <w:r w:rsidRPr="00BF4AA8">
        <w:rPr>
          <w:rFonts w:ascii="Arial" w:hAnsi="Arial" w:cs="Arial"/>
          <w:sz w:val="22"/>
          <w:szCs w:val="22"/>
        </w:rPr>
        <w:t>) to support management-relevant accounting.</w:t>
      </w:r>
    </w:p>
    <w:p w:rsidR="00F04907" w:rsidRPr="00BF4AA8" w:rsidRDefault="00F04907" w:rsidP="00F04907">
      <w:pPr>
        <w:pStyle w:val="NormalWeb"/>
        <w:numPr>
          <w:ilvl w:val="0"/>
          <w:numId w:val="213"/>
        </w:numPr>
        <w:jc w:val="both"/>
        <w:rPr>
          <w:rFonts w:ascii="Arial" w:hAnsi="Arial" w:cs="Arial"/>
          <w:sz w:val="22"/>
          <w:szCs w:val="22"/>
        </w:rPr>
      </w:pPr>
      <w:r w:rsidRPr="00BF4AA8">
        <w:rPr>
          <w:rStyle w:val="Strong"/>
          <w:rFonts w:ascii="Arial" w:eastAsiaTheme="majorEastAsia" w:hAnsi="Arial" w:cs="Arial"/>
          <w:sz w:val="22"/>
          <w:szCs w:val="22"/>
        </w:rPr>
        <w:t>FFI–</w:t>
      </w:r>
      <w:proofErr w:type="spellStart"/>
      <w:r w:rsidRPr="00BF4AA8">
        <w:rPr>
          <w:rStyle w:val="Strong"/>
          <w:rFonts w:ascii="Arial" w:eastAsiaTheme="majorEastAsia" w:hAnsi="Arial" w:cs="Arial"/>
          <w:sz w:val="22"/>
          <w:szCs w:val="22"/>
        </w:rPr>
        <w:t>FiA</w:t>
      </w:r>
      <w:proofErr w:type="spellEnd"/>
      <w:r w:rsidRPr="00BF4AA8">
        <w:rPr>
          <w:rStyle w:val="Strong"/>
          <w:rFonts w:ascii="Arial" w:eastAsiaTheme="majorEastAsia" w:hAnsi="Arial" w:cs="Arial"/>
          <w:sz w:val="22"/>
          <w:szCs w:val="22"/>
        </w:rPr>
        <w:t xml:space="preserve"> 2021–2023 mapping (Koh Kong–Preah Sihanouk):</w:t>
      </w:r>
      <w:r w:rsidRPr="00BF4AA8">
        <w:rPr>
          <w:rFonts w:ascii="Arial" w:hAnsi="Arial" w:cs="Arial"/>
          <w:sz w:val="22"/>
          <w:szCs w:val="22"/>
        </w:rPr>
        <w:t xml:space="preserve"> eleven-site campaign (e.g., </w:t>
      </w:r>
      <w:proofErr w:type="spellStart"/>
      <w:r w:rsidRPr="00BF4AA8">
        <w:rPr>
          <w:rFonts w:ascii="Arial" w:hAnsi="Arial" w:cs="Arial"/>
          <w:sz w:val="22"/>
          <w:szCs w:val="22"/>
        </w:rPr>
        <w:t>Chrouy</w:t>
      </w:r>
      <w:proofErr w:type="spellEnd"/>
      <w:r w:rsidRPr="00BF4AA8">
        <w:rPr>
          <w:rFonts w:ascii="Arial" w:hAnsi="Arial" w:cs="Arial"/>
          <w:sz w:val="22"/>
          <w:szCs w:val="22"/>
        </w:rPr>
        <w:t xml:space="preserve"> Pros, </w:t>
      </w:r>
      <w:proofErr w:type="spellStart"/>
      <w:r w:rsidRPr="00BF4AA8">
        <w:rPr>
          <w:rFonts w:ascii="Arial" w:hAnsi="Arial" w:cs="Arial"/>
          <w:sz w:val="22"/>
          <w:szCs w:val="22"/>
        </w:rPr>
        <w:t>Steung</w:t>
      </w:r>
      <w:proofErr w:type="spellEnd"/>
      <w:r w:rsidRPr="00BF4AA8">
        <w:rPr>
          <w:rFonts w:ascii="Arial" w:hAnsi="Arial" w:cs="Arial"/>
          <w:sz w:val="22"/>
          <w:szCs w:val="22"/>
        </w:rPr>
        <w:t xml:space="preserve"> </w:t>
      </w:r>
      <w:proofErr w:type="spellStart"/>
      <w:r w:rsidRPr="00BF4AA8">
        <w:rPr>
          <w:rFonts w:ascii="Arial" w:hAnsi="Arial" w:cs="Arial"/>
          <w:sz w:val="22"/>
          <w:szCs w:val="22"/>
        </w:rPr>
        <w:t>Hav</w:t>
      </w:r>
      <w:proofErr w:type="spellEnd"/>
      <w:r w:rsidRPr="00BF4AA8">
        <w:rPr>
          <w:rFonts w:ascii="Arial" w:hAnsi="Arial" w:cs="Arial"/>
          <w:sz w:val="22"/>
          <w:szCs w:val="22"/>
        </w:rPr>
        <w:t>, Prey Nob) for area/patch morphology and ground validation.</w:t>
      </w:r>
    </w:p>
    <w:p w:rsidR="00F04907" w:rsidRPr="00BF4AA8" w:rsidRDefault="00F04907" w:rsidP="00F04907">
      <w:pPr>
        <w:pStyle w:val="NormalWeb"/>
        <w:numPr>
          <w:ilvl w:val="0"/>
          <w:numId w:val="213"/>
        </w:numPr>
        <w:jc w:val="both"/>
        <w:rPr>
          <w:rFonts w:ascii="Arial" w:hAnsi="Arial" w:cs="Arial"/>
          <w:sz w:val="22"/>
          <w:szCs w:val="22"/>
        </w:rPr>
      </w:pPr>
      <w:r w:rsidRPr="00BF4AA8">
        <w:rPr>
          <w:rStyle w:val="Strong"/>
          <w:rFonts w:ascii="Arial" w:eastAsiaTheme="majorEastAsia" w:hAnsi="Arial" w:cs="Arial"/>
          <w:sz w:val="22"/>
          <w:szCs w:val="22"/>
        </w:rPr>
        <w:t>MCC/FAO and partner baselines:</w:t>
      </w:r>
      <w:r w:rsidRPr="00BF4AA8">
        <w:rPr>
          <w:rFonts w:ascii="Arial" w:hAnsi="Arial" w:cs="Arial"/>
          <w:sz w:val="22"/>
          <w:szCs w:val="22"/>
        </w:rPr>
        <w:t xml:space="preserve"> used where community patrol and anti-trawl pilots supply fine-scale edges and scars.</w:t>
      </w:r>
    </w:p>
    <w:p w:rsidR="00F04907" w:rsidRPr="00BF4AA8" w:rsidRDefault="00F04907" w:rsidP="00F04907">
      <w:pPr>
        <w:pStyle w:val="NormalWeb"/>
        <w:jc w:val="both"/>
        <w:rPr>
          <w:rFonts w:ascii="Arial" w:hAnsi="Arial" w:cs="Arial"/>
          <w:sz w:val="22"/>
          <w:szCs w:val="22"/>
        </w:rPr>
      </w:pPr>
      <w:r w:rsidRPr="00BF4AA8">
        <w:rPr>
          <w:rStyle w:val="Strong"/>
          <w:rFonts w:ascii="Arial" w:eastAsiaTheme="majorEastAsia" w:hAnsi="Arial" w:cs="Arial"/>
          <w:sz w:val="22"/>
          <w:szCs w:val="22"/>
        </w:rPr>
        <w:t>Wetlands/biodiversity &amp; governance</w:t>
      </w:r>
    </w:p>
    <w:p w:rsidR="00F04907" w:rsidRPr="00BF4AA8" w:rsidRDefault="00F04907" w:rsidP="00F04907">
      <w:pPr>
        <w:pStyle w:val="NormalWeb"/>
        <w:numPr>
          <w:ilvl w:val="0"/>
          <w:numId w:val="214"/>
        </w:numPr>
        <w:jc w:val="both"/>
        <w:rPr>
          <w:rFonts w:ascii="Arial" w:hAnsi="Arial" w:cs="Arial"/>
          <w:sz w:val="22"/>
          <w:szCs w:val="22"/>
        </w:rPr>
      </w:pPr>
      <w:r w:rsidRPr="00BF4AA8">
        <w:rPr>
          <w:rStyle w:val="Strong"/>
          <w:rFonts w:ascii="Arial" w:eastAsiaTheme="majorEastAsia" w:hAnsi="Arial" w:cs="Arial"/>
          <w:sz w:val="22"/>
          <w:szCs w:val="22"/>
        </w:rPr>
        <w:t xml:space="preserve">Ramsar (Koh </w:t>
      </w:r>
      <w:proofErr w:type="spellStart"/>
      <w:r w:rsidRPr="00BF4AA8">
        <w:rPr>
          <w:rStyle w:val="Strong"/>
          <w:rFonts w:ascii="Arial" w:eastAsiaTheme="majorEastAsia" w:hAnsi="Arial" w:cs="Arial"/>
          <w:sz w:val="22"/>
          <w:szCs w:val="22"/>
        </w:rPr>
        <w:t>Kapik</w:t>
      </w:r>
      <w:proofErr w:type="spellEnd"/>
      <w:r w:rsidRPr="00BF4AA8">
        <w:rPr>
          <w:rStyle w:val="Strong"/>
          <w:rFonts w:ascii="Arial" w:eastAsiaTheme="majorEastAsia" w:hAnsi="Arial" w:cs="Arial"/>
          <w:sz w:val="22"/>
          <w:szCs w:val="22"/>
        </w:rPr>
        <w:t xml:space="preserve"> &amp; Associated Islets) and </w:t>
      </w:r>
      <w:proofErr w:type="spellStart"/>
      <w:r w:rsidRPr="00BF4AA8">
        <w:rPr>
          <w:rStyle w:val="Strong"/>
          <w:rFonts w:ascii="Arial" w:eastAsiaTheme="majorEastAsia" w:hAnsi="Arial" w:cs="Arial"/>
          <w:sz w:val="22"/>
          <w:szCs w:val="22"/>
        </w:rPr>
        <w:t>Peam</w:t>
      </w:r>
      <w:proofErr w:type="spellEnd"/>
      <w:r w:rsidRPr="00BF4AA8">
        <w:rPr>
          <w:rStyle w:val="Strong"/>
          <w:rFonts w:ascii="Arial" w:eastAsiaTheme="majorEastAsia" w:hAnsi="Arial" w:cs="Arial"/>
          <w:sz w:val="22"/>
          <w:szCs w:val="22"/>
        </w:rPr>
        <w:t xml:space="preserve"> </w:t>
      </w:r>
      <w:proofErr w:type="spellStart"/>
      <w:r w:rsidRPr="00BF4AA8">
        <w:rPr>
          <w:rStyle w:val="Strong"/>
          <w:rFonts w:ascii="Arial" w:eastAsiaTheme="majorEastAsia" w:hAnsi="Arial" w:cs="Arial"/>
          <w:sz w:val="22"/>
          <w:szCs w:val="22"/>
        </w:rPr>
        <w:t>Krasop</w:t>
      </w:r>
      <w:proofErr w:type="spellEnd"/>
      <w:r w:rsidRPr="00BF4AA8">
        <w:rPr>
          <w:rStyle w:val="Strong"/>
          <w:rFonts w:ascii="Arial" w:eastAsiaTheme="majorEastAsia" w:hAnsi="Arial" w:cs="Arial"/>
          <w:sz w:val="22"/>
          <w:szCs w:val="22"/>
        </w:rPr>
        <w:t xml:space="preserve"> WS documents:</w:t>
      </w:r>
      <w:r w:rsidRPr="00BF4AA8">
        <w:rPr>
          <w:rFonts w:ascii="Arial" w:hAnsi="Arial" w:cs="Arial"/>
          <w:sz w:val="22"/>
          <w:szCs w:val="22"/>
        </w:rPr>
        <w:t xml:space="preserve"> ecological function and household dependence.</w:t>
      </w:r>
    </w:p>
    <w:p w:rsidR="00F04907" w:rsidRPr="00BF4AA8" w:rsidRDefault="00F04907" w:rsidP="00F04907">
      <w:pPr>
        <w:pStyle w:val="NormalWeb"/>
        <w:numPr>
          <w:ilvl w:val="0"/>
          <w:numId w:val="214"/>
        </w:numPr>
        <w:jc w:val="both"/>
        <w:rPr>
          <w:rFonts w:ascii="Arial" w:hAnsi="Arial" w:cs="Arial"/>
          <w:sz w:val="22"/>
          <w:szCs w:val="22"/>
        </w:rPr>
      </w:pPr>
      <w:r w:rsidRPr="00BF4AA8">
        <w:rPr>
          <w:rStyle w:val="Strong"/>
          <w:rFonts w:ascii="Arial" w:eastAsiaTheme="majorEastAsia" w:hAnsi="Arial" w:cs="Arial"/>
          <w:sz w:val="22"/>
          <w:szCs w:val="22"/>
        </w:rPr>
        <w:t>Protected-area legal updates (ODC) &amp; management plans:</w:t>
      </w:r>
      <w:r w:rsidRPr="00BF4AA8">
        <w:rPr>
          <w:rFonts w:ascii="Arial" w:hAnsi="Arial" w:cs="Arial"/>
          <w:sz w:val="22"/>
          <w:szCs w:val="22"/>
        </w:rPr>
        <w:t xml:space="preserve"> boundary changes, governance status.</w:t>
      </w:r>
    </w:p>
    <w:p w:rsidR="00F04907" w:rsidRPr="00BF4AA8" w:rsidRDefault="00F04907" w:rsidP="00F04907">
      <w:pPr>
        <w:pStyle w:val="NormalWeb"/>
        <w:numPr>
          <w:ilvl w:val="0"/>
          <w:numId w:val="214"/>
        </w:numPr>
        <w:jc w:val="both"/>
        <w:rPr>
          <w:rFonts w:ascii="Arial" w:hAnsi="Arial" w:cs="Arial"/>
          <w:sz w:val="22"/>
          <w:szCs w:val="22"/>
        </w:rPr>
      </w:pPr>
      <w:r w:rsidRPr="00BF4AA8">
        <w:rPr>
          <w:rStyle w:val="Strong"/>
          <w:rFonts w:ascii="Arial" w:eastAsiaTheme="majorEastAsia" w:hAnsi="Arial" w:cs="Arial"/>
          <w:sz w:val="22"/>
          <w:szCs w:val="22"/>
        </w:rPr>
        <w:t>Bycatch/megafauna records:</w:t>
      </w:r>
      <w:r w:rsidRPr="00BF4AA8">
        <w:rPr>
          <w:rFonts w:ascii="Arial" w:hAnsi="Arial" w:cs="Arial"/>
          <w:sz w:val="22"/>
          <w:szCs w:val="22"/>
        </w:rPr>
        <w:t xml:space="preserve"> peer-reviewed/technical notes (Irrawaddy dolphins, dugongs, turtles) to anchor risk pathways.</w:t>
      </w:r>
    </w:p>
    <w:p w:rsidR="00F04907" w:rsidRPr="00BF4AA8" w:rsidRDefault="00F04907" w:rsidP="00F04907">
      <w:pPr>
        <w:pStyle w:val="NormalWeb"/>
        <w:jc w:val="both"/>
        <w:rPr>
          <w:rFonts w:ascii="Arial" w:hAnsi="Arial" w:cs="Arial"/>
          <w:sz w:val="22"/>
          <w:szCs w:val="22"/>
        </w:rPr>
      </w:pPr>
      <w:r w:rsidRPr="00BF4AA8">
        <w:rPr>
          <w:rStyle w:val="Strong"/>
          <w:rFonts w:ascii="Arial" w:eastAsiaTheme="majorEastAsia" w:hAnsi="Arial" w:cs="Arial"/>
          <w:sz w:val="22"/>
          <w:szCs w:val="22"/>
        </w:rPr>
        <w:t>Water quality/pollution (context)</w:t>
      </w:r>
    </w:p>
    <w:p w:rsidR="00F04907" w:rsidRPr="00BF4AA8" w:rsidRDefault="00F04907" w:rsidP="00F04907">
      <w:pPr>
        <w:pStyle w:val="NormalWeb"/>
        <w:numPr>
          <w:ilvl w:val="0"/>
          <w:numId w:val="215"/>
        </w:numPr>
        <w:jc w:val="both"/>
        <w:rPr>
          <w:rFonts w:ascii="Arial" w:hAnsi="Arial" w:cs="Arial"/>
          <w:sz w:val="22"/>
          <w:szCs w:val="22"/>
        </w:rPr>
      </w:pPr>
      <w:r w:rsidRPr="00BF4AA8">
        <w:rPr>
          <w:rStyle w:val="Strong"/>
          <w:rFonts w:ascii="Arial" w:eastAsiaTheme="majorEastAsia" w:hAnsi="Arial" w:cs="Arial"/>
          <w:sz w:val="22"/>
          <w:szCs w:val="22"/>
        </w:rPr>
        <w:t>ASEAN Marine Water Quality Guidelines</w:t>
      </w:r>
      <w:r w:rsidRPr="00BF4AA8">
        <w:rPr>
          <w:rFonts w:ascii="Arial" w:hAnsi="Arial" w:cs="Arial"/>
          <w:sz w:val="22"/>
          <w:szCs w:val="22"/>
        </w:rPr>
        <w:t xml:space="preserve"> and </w:t>
      </w:r>
      <w:proofErr w:type="spellStart"/>
      <w:r w:rsidRPr="00BF4AA8">
        <w:rPr>
          <w:rFonts w:ascii="Arial" w:hAnsi="Arial" w:cs="Arial"/>
          <w:sz w:val="22"/>
          <w:szCs w:val="22"/>
        </w:rPr>
        <w:t>MoE</w:t>
      </w:r>
      <w:proofErr w:type="spellEnd"/>
      <w:r w:rsidRPr="00BF4AA8">
        <w:rPr>
          <w:rFonts w:ascii="Arial" w:hAnsi="Arial" w:cs="Arial"/>
          <w:sz w:val="22"/>
          <w:szCs w:val="22"/>
        </w:rPr>
        <w:t xml:space="preserve"> routine checks (nutrients, BOD, coliforms) to interpret pressures on reefs/seagrass near growth nodes.</w:t>
      </w:r>
    </w:p>
    <w:p w:rsidR="00F04907" w:rsidRPr="00BF4AA8" w:rsidRDefault="00F04907" w:rsidP="00F04907">
      <w:pPr>
        <w:pStyle w:val="NormalWeb"/>
        <w:jc w:val="both"/>
        <w:rPr>
          <w:rFonts w:ascii="Arial" w:hAnsi="Arial" w:cs="Arial"/>
          <w:sz w:val="22"/>
          <w:szCs w:val="22"/>
        </w:rPr>
      </w:pPr>
      <w:r w:rsidRPr="00BF4AA8">
        <w:rPr>
          <w:rFonts w:ascii="Arial" w:hAnsi="Arial" w:cs="Arial"/>
          <w:sz w:val="22"/>
          <w:szCs w:val="22"/>
        </w:rPr>
        <w:t xml:space="preserve">These sources </w:t>
      </w:r>
      <w:proofErr w:type="gramStart"/>
      <w:r w:rsidRPr="00BF4AA8">
        <w:rPr>
          <w:rFonts w:ascii="Arial" w:hAnsi="Arial" w:cs="Arial"/>
          <w:sz w:val="22"/>
          <w:szCs w:val="22"/>
        </w:rPr>
        <w:t>were chosen</w:t>
      </w:r>
      <w:proofErr w:type="gramEnd"/>
      <w:r w:rsidRPr="00BF4AA8">
        <w:rPr>
          <w:rFonts w:ascii="Arial" w:hAnsi="Arial" w:cs="Arial"/>
          <w:sz w:val="22"/>
          <w:szCs w:val="22"/>
        </w:rPr>
        <w:t xml:space="preserve"> for (</w:t>
      </w:r>
      <w:proofErr w:type="spellStart"/>
      <w:r w:rsidRPr="00BF4AA8">
        <w:rPr>
          <w:rFonts w:ascii="Arial" w:hAnsi="Arial" w:cs="Arial"/>
          <w:sz w:val="22"/>
          <w:szCs w:val="22"/>
        </w:rPr>
        <w:t>i</w:t>
      </w:r>
      <w:proofErr w:type="spellEnd"/>
      <w:r w:rsidRPr="00BF4AA8">
        <w:rPr>
          <w:rFonts w:ascii="Arial" w:hAnsi="Arial" w:cs="Arial"/>
          <w:sz w:val="22"/>
          <w:szCs w:val="22"/>
        </w:rPr>
        <w:t>) national coverage with recent vintages, (ii) method transparency enabling cross-walks, and (iii) direct linkage to management units (MFMAs/</w:t>
      </w:r>
      <w:proofErr w:type="spellStart"/>
      <w:r w:rsidRPr="00BF4AA8">
        <w:rPr>
          <w:rFonts w:ascii="Arial" w:hAnsi="Arial" w:cs="Arial"/>
          <w:sz w:val="22"/>
          <w:szCs w:val="22"/>
        </w:rPr>
        <w:t>CFis</w:t>
      </w:r>
      <w:proofErr w:type="spellEnd"/>
      <w:r w:rsidRPr="00BF4AA8">
        <w:rPr>
          <w:rFonts w:ascii="Arial" w:hAnsi="Arial" w:cs="Arial"/>
          <w:sz w:val="22"/>
          <w:szCs w:val="22"/>
        </w:rPr>
        <w:t>/CPAs/MNPs).</w:t>
      </w:r>
    </w:p>
    <w:p w:rsidR="00F04907" w:rsidRPr="00BF4AA8" w:rsidRDefault="00F04907" w:rsidP="00BF4AA8">
      <w:pPr>
        <w:pStyle w:val="Heading2"/>
        <w:keepNext/>
        <w:adjustRightInd w:val="0"/>
        <w:snapToGrid w:val="0"/>
        <w:spacing w:before="240" w:beforeAutospacing="0" w:after="120" w:afterAutospacing="0"/>
        <w:rPr>
          <w:rFonts w:ascii="Arial" w:hAnsi="Arial" w:cs="Arial"/>
          <w:color w:val="0070C0"/>
          <w:sz w:val="22"/>
          <w:szCs w:val="22"/>
        </w:rPr>
      </w:pPr>
      <w:bookmarkStart w:id="22" w:name="_Toc216681455"/>
      <w:r w:rsidRPr="00BF4AA8">
        <w:rPr>
          <w:rFonts w:ascii="Arial" w:hAnsi="Arial" w:cs="Arial"/>
          <w:color w:val="0070C0"/>
          <w:sz w:val="22"/>
          <w:szCs w:val="22"/>
        </w:rPr>
        <w:t>Annex 4-</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Annex_4-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2</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Indicator construction &amp; computations</w:t>
      </w:r>
      <w:bookmarkEnd w:id="22"/>
    </w:p>
    <w:p w:rsidR="00F04907" w:rsidRPr="00BF4AA8" w:rsidRDefault="00F04907" w:rsidP="00F04907">
      <w:pPr>
        <w:pStyle w:val="NormalWeb"/>
        <w:jc w:val="both"/>
        <w:rPr>
          <w:rFonts w:ascii="Arial" w:hAnsi="Arial" w:cs="Arial"/>
          <w:sz w:val="22"/>
          <w:szCs w:val="22"/>
        </w:rPr>
      </w:pPr>
      <w:r w:rsidRPr="00BF4AA8">
        <w:rPr>
          <w:rStyle w:val="Strong"/>
          <w:rFonts w:ascii="Arial" w:eastAsiaTheme="majorEastAsia" w:hAnsi="Arial" w:cs="Arial"/>
          <w:sz w:val="22"/>
          <w:szCs w:val="22"/>
        </w:rPr>
        <w:t>Change in mangrove extent (2014→2025)</w:t>
      </w:r>
    </w:p>
    <w:p w:rsidR="00F04907" w:rsidRPr="00BF4AA8" w:rsidRDefault="00F04907" w:rsidP="00F04907">
      <w:pPr>
        <w:pStyle w:val="NormalWeb"/>
        <w:numPr>
          <w:ilvl w:val="0"/>
          <w:numId w:val="216"/>
        </w:numPr>
        <w:jc w:val="both"/>
        <w:rPr>
          <w:rFonts w:ascii="Arial" w:hAnsi="Arial" w:cs="Arial"/>
          <w:sz w:val="22"/>
          <w:szCs w:val="22"/>
        </w:rPr>
      </w:pPr>
      <w:r w:rsidRPr="00BF4AA8">
        <w:rPr>
          <w:rFonts w:ascii="Arial" w:hAnsi="Arial" w:cs="Arial"/>
          <w:sz w:val="22"/>
          <w:szCs w:val="22"/>
        </w:rPr>
        <w:t xml:space="preserve">Harmonized class keys across the two </w:t>
      </w:r>
      <w:proofErr w:type="spellStart"/>
      <w:r w:rsidRPr="00BF4AA8">
        <w:rPr>
          <w:rFonts w:ascii="Arial" w:hAnsi="Arial" w:cs="Arial"/>
          <w:sz w:val="22"/>
          <w:szCs w:val="22"/>
        </w:rPr>
        <w:t>MoE</w:t>
      </w:r>
      <w:proofErr w:type="spellEnd"/>
      <w:r w:rsidRPr="00BF4AA8">
        <w:rPr>
          <w:rFonts w:ascii="Arial" w:hAnsi="Arial" w:cs="Arial"/>
          <w:sz w:val="22"/>
          <w:szCs w:val="22"/>
        </w:rPr>
        <w:t xml:space="preserve"> epochs; excluded known reclass artifacts (e.g., aquaculture pond edges, nipa-dominant fringes misread as non-mangrove).</w:t>
      </w:r>
    </w:p>
    <w:p w:rsidR="00F04907" w:rsidRPr="00BF4AA8" w:rsidRDefault="00F04907" w:rsidP="00F04907">
      <w:pPr>
        <w:pStyle w:val="NormalWeb"/>
        <w:numPr>
          <w:ilvl w:val="0"/>
          <w:numId w:val="216"/>
        </w:numPr>
        <w:jc w:val="both"/>
        <w:rPr>
          <w:rFonts w:ascii="Arial" w:hAnsi="Arial" w:cs="Arial"/>
          <w:sz w:val="22"/>
          <w:szCs w:val="22"/>
        </w:rPr>
      </w:pPr>
      <w:r w:rsidRPr="00BF4AA8">
        <w:rPr>
          <w:rFonts w:ascii="Arial" w:hAnsi="Arial" w:cs="Arial"/>
          <w:sz w:val="22"/>
          <w:szCs w:val="22"/>
        </w:rPr>
        <w:t>Reported both absolute (ha) and relative (%) change; flagged hotspot polygons where losses cluster (&gt;500 ha within a 5-km radius).</w:t>
      </w:r>
    </w:p>
    <w:p w:rsidR="00F04907" w:rsidRPr="00BF4AA8" w:rsidRDefault="00F04907" w:rsidP="00F04907">
      <w:pPr>
        <w:pStyle w:val="NormalWeb"/>
        <w:jc w:val="both"/>
        <w:rPr>
          <w:rFonts w:ascii="Arial" w:hAnsi="Arial" w:cs="Arial"/>
          <w:sz w:val="22"/>
          <w:szCs w:val="22"/>
        </w:rPr>
      </w:pPr>
      <w:r w:rsidRPr="00BF4AA8">
        <w:rPr>
          <w:rStyle w:val="Strong"/>
          <w:rFonts w:ascii="Arial" w:eastAsiaTheme="majorEastAsia" w:hAnsi="Arial" w:cs="Arial"/>
          <w:sz w:val="22"/>
          <w:szCs w:val="22"/>
        </w:rPr>
        <w:t>Coral condition &amp; structure</w:t>
      </w:r>
    </w:p>
    <w:p w:rsidR="00F04907" w:rsidRPr="00BF4AA8" w:rsidRDefault="00F04907" w:rsidP="00F04907">
      <w:pPr>
        <w:pStyle w:val="NormalWeb"/>
        <w:numPr>
          <w:ilvl w:val="0"/>
          <w:numId w:val="217"/>
        </w:numPr>
        <w:jc w:val="both"/>
        <w:rPr>
          <w:rFonts w:ascii="Arial" w:hAnsi="Arial" w:cs="Arial"/>
          <w:sz w:val="22"/>
          <w:szCs w:val="22"/>
        </w:rPr>
      </w:pPr>
      <w:r w:rsidRPr="00BF4AA8">
        <w:rPr>
          <w:rStyle w:val="Strong"/>
          <w:rFonts w:ascii="Arial" w:eastAsiaTheme="majorEastAsia" w:hAnsi="Arial" w:cs="Arial"/>
          <w:sz w:val="22"/>
          <w:szCs w:val="22"/>
        </w:rPr>
        <w:t>Live coral cover (%):</w:t>
      </w:r>
      <w:r w:rsidRPr="00BF4AA8">
        <w:rPr>
          <w:rFonts w:ascii="Arial" w:hAnsi="Arial" w:cs="Arial"/>
          <w:sz w:val="22"/>
          <w:szCs w:val="22"/>
        </w:rPr>
        <w:t xml:space="preserve"> site means (±SD) from line-intercept/photo-quadrats; aggregated to island groups and provinces (inverse-variance weighting where available).</w:t>
      </w:r>
    </w:p>
    <w:p w:rsidR="00F04907" w:rsidRPr="00BF4AA8" w:rsidRDefault="00F04907" w:rsidP="00F04907">
      <w:pPr>
        <w:pStyle w:val="NormalWeb"/>
        <w:numPr>
          <w:ilvl w:val="0"/>
          <w:numId w:val="217"/>
        </w:numPr>
        <w:jc w:val="both"/>
        <w:rPr>
          <w:rFonts w:ascii="Arial" w:hAnsi="Arial" w:cs="Arial"/>
          <w:sz w:val="22"/>
          <w:szCs w:val="22"/>
        </w:rPr>
      </w:pPr>
      <w:r w:rsidRPr="00BF4AA8">
        <w:rPr>
          <w:rStyle w:val="Strong"/>
          <w:rFonts w:ascii="Arial" w:eastAsiaTheme="majorEastAsia" w:hAnsi="Arial" w:cs="Arial"/>
          <w:sz w:val="22"/>
          <w:szCs w:val="22"/>
        </w:rPr>
        <w:t>Life-form composition:</w:t>
      </w:r>
      <w:r w:rsidRPr="00BF4AA8">
        <w:rPr>
          <w:rFonts w:ascii="Arial" w:hAnsi="Arial" w:cs="Arial"/>
          <w:sz w:val="22"/>
          <w:szCs w:val="22"/>
        </w:rPr>
        <w:t xml:space="preserve"> massive/encrusting vs branching/foliose shares to infer sediment/light stress.</w:t>
      </w:r>
    </w:p>
    <w:p w:rsidR="00F04907" w:rsidRPr="00BF4AA8" w:rsidRDefault="00F04907" w:rsidP="00F04907">
      <w:pPr>
        <w:pStyle w:val="NormalWeb"/>
        <w:numPr>
          <w:ilvl w:val="0"/>
          <w:numId w:val="217"/>
        </w:numPr>
        <w:jc w:val="both"/>
        <w:rPr>
          <w:rFonts w:ascii="Arial" w:hAnsi="Arial" w:cs="Arial"/>
          <w:sz w:val="22"/>
          <w:szCs w:val="22"/>
        </w:rPr>
      </w:pPr>
      <w:r w:rsidRPr="00BF4AA8">
        <w:rPr>
          <w:rStyle w:val="Strong"/>
          <w:rFonts w:ascii="Arial" w:eastAsiaTheme="majorEastAsia" w:hAnsi="Arial" w:cs="Arial"/>
          <w:sz w:val="22"/>
          <w:szCs w:val="22"/>
        </w:rPr>
        <w:t>Fish/invertebrate indicators:</w:t>
      </w:r>
      <w:r w:rsidRPr="00BF4AA8">
        <w:rPr>
          <w:rFonts w:ascii="Arial" w:hAnsi="Arial" w:cs="Arial"/>
          <w:sz w:val="22"/>
          <w:szCs w:val="22"/>
        </w:rPr>
        <w:t xml:space="preserve"> density/biomass summarized by functional groups when transect lengths and ID levels were consistent; otherwise used qualitative categories (low/moderate/high relative to Gulf references).</w:t>
      </w:r>
    </w:p>
    <w:p w:rsidR="00F04907" w:rsidRPr="00BF4AA8" w:rsidRDefault="00F04907" w:rsidP="00F04907">
      <w:pPr>
        <w:pStyle w:val="NormalWeb"/>
        <w:jc w:val="both"/>
        <w:rPr>
          <w:rFonts w:ascii="Arial" w:hAnsi="Arial" w:cs="Arial"/>
          <w:sz w:val="22"/>
          <w:szCs w:val="22"/>
        </w:rPr>
      </w:pPr>
      <w:r w:rsidRPr="00BF4AA8">
        <w:rPr>
          <w:rStyle w:val="Strong"/>
          <w:rFonts w:ascii="Arial" w:eastAsiaTheme="majorEastAsia" w:hAnsi="Arial" w:cs="Arial"/>
          <w:sz w:val="22"/>
          <w:szCs w:val="22"/>
        </w:rPr>
        <w:t>Seagrass extent &amp; sensitivity</w:t>
      </w:r>
    </w:p>
    <w:p w:rsidR="00F04907" w:rsidRPr="00BF4AA8" w:rsidRDefault="00F04907" w:rsidP="00F04907">
      <w:pPr>
        <w:pStyle w:val="NormalWeb"/>
        <w:numPr>
          <w:ilvl w:val="0"/>
          <w:numId w:val="218"/>
        </w:numPr>
        <w:jc w:val="both"/>
        <w:rPr>
          <w:rFonts w:ascii="Arial" w:hAnsi="Arial" w:cs="Arial"/>
          <w:sz w:val="22"/>
          <w:szCs w:val="22"/>
        </w:rPr>
      </w:pPr>
      <w:r w:rsidRPr="00BF4AA8">
        <w:rPr>
          <w:rStyle w:val="Strong"/>
          <w:rFonts w:ascii="Arial" w:eastAsiaTheme="majorEastAsia" w:hAnsi="Arial" w:cs="Arial"/>
          <w:sz w:val="22"/>
          <w:szCs w:val="22"/>
        </w:rPr>
        <w:t>Area (ha):</w:t>
      </w:r>
      <w:r w:rsidRPr="00BF4AA8">
        <w:rPr>
          <w:rFonts w:ascii="Arial" w:hAnsi="Arial" w:cs="Arial"/>
          <w:sz w:val="22"/>
          <w:szCs w:val="22"/>
        </w:rPr>
        <w:t xml:space="preserve"> meadow polygons merged per </w:t>
      </w:r>
      <w:proofErr w:type="spellStart"/>
      <w:r w:rsidRPr="00BF4AA8">
        <w:rPr>
          <w:rFonts w:ascii="Arial" w:hAnsi="Arial" w:cs="Arial"/>
          <w:sz w:val="22"/>
          <w:szCs w:val="22"/>
        </w:rPr>
        <w:t>CFi</w:t>
      </w:r>
      <w:proofErr w:type="spellEnd"/>
      <w:r w:rsidRPr="00BF4AA8">
        <w:rPr>
          <w:rFonts w:ascii="Arial" w:hAnsi="Arial" w:cs="Arial"/>
          <w:sz w:val="22"/>
          <w:szCs w:val="22"/>
        </w:rPr>
        <w:t>; overlaps resolved by priority to the most recent, ground-validated layer.</w:t>
      </w:r>
    </w:p>
    <w:p w:rsidR="00F04907" w:rsidRPr="00BF4AA8" w:rsidRDefault="00F04907" w:rsidP="00F04907">
      <w:pPr>
        <w:pStyle w:val="NormalWeb"/>
        <w:numPr>
          <w:ilvl w:val="0"/>
          <w:numId w:val="218"/>
        </w:numPr>
        <w:jc w:val="both"/>
        <w:rPr>
          <w:rFonts w:ascii="Arial" w:hAnsi="Arial" w:cs="Arial"/>
          <w:sz w:val="22"/>
          <w:szCs w:val="22"/>
        </w:rPr>
      </w:pPr>
      <w:r w:rsidRPr="00BF4AA8">
        <w:rPr>
          <w:rStyle w:val="Strong"/>
          <w:rFonts w:ascii="Arial" w:eastAsiaTheme="majorEastAsia" w:hAnsi="Arial" w:cs="Arial"/>
          <w:sz w:val="22"/>
          <w:szCs w:val="22"/>
        </w:rPr>
        <w:t>Edge stability &amp; trawl scars:</w:t>
      </w:r>
      <w:r w:rsidRPr="00BF4AA8">
        <w:rPr>
          <w:rFonts w:ascii="Arial" w:hAnsi="Arial" w:cs="Arial"/>
          <w:sz w:val="22"/>
          <w:szCs w:val="22"/>
        </w:rPr>
        <w:t xml:space="preserve"> where GPS patrol tracks and drone imagery existed, computed edge retreat/advance (m·yr</w:t>
      </w:r>
      <w:r w:rsidRPr="00BF4AA8">
        <w:rPr>
          <w:rFonts w:ascii="Cambria Math" w:hAnsi="Cambria Math" w:cs="Cambria Math"/>
          <w:sz w:val="22"/>
          <w:szCs w:val="22"/>
        </w:rPr>
        <w:t>⁻</w:t>
      </w:r>
      <w:r w:rsidRPr="00BF4AA8">
        <w:rPr>
          <w:rFonts w:ascii="Arial" w:hAnsi="Arial" w:cs="Arial"/>
          <w:sz w:val="22"/>
          <w:szCs w:val="22"/>
        </w:rPr>
        <w:t>¹) and scar density (km·km</w:t>
      </w:r>
      <w:r w:rsidRPr="00BF4AA8">
        <w:rPr>
          <w:rFonts w:ascii="Cambria Math" w:hAnsi="Cambria Math" w:cs="Cambria Math"/>
          <w:sz w:val="22"/>
          <w:szCs w:val="22"/>
        </w:rPr>
        <w:t>⁻</w:t>
      </w:r>
      <w:r w:rsidRPr="00BF4AA8">
        <w:rPr>
          <w:rFonts w:ascii="Arial" w:hAnsi="Arial" w:cs="Arial"/>
          <w:sz w:val="22"/>
          <w:szCs w:val="22"/>
        </w:rPr>
        <w:t>²).</w:t>
      </w:r>
    </w:p>
    <w:p w:rsidR="00F04907" w:rsidRPr="00BF4AA8" w:rsidRDefault="00F04907" w:rsidP="00F04907">
      <w:pPr>
        <w:pStyle w:val="NormalWeb"/>
        <w:numPr>
          <w:ilvl w:val="0"/>
          <w:numId w:val="218"/>
        </w:numPr>
        <w:jc w:val="both"/>
        <w:rPr>
          <w:rFonts w:ascii="Arial" w:hAnsi="Arial" w:cs="Arial"/>
          <w:sz w:val="22"/>
          <w:szCs w:val="22"/>
        </w:rPr>
      </w:pPr>
      <w:r w:rsidRPr="00BF4AA8">
        <w:rPr>
          <w:rStyle w:val="Strong"/>
          <w:rFonts w:ascii="Arial" w:eastAsiaTheme="majorEastAsia" w:hAnsi="Arial" w:cs="Arial"/>
          <w:sz w:val="22"/>
          <w:szCs w:val="22"/>
        </w:rPr>
        <w:t>Light limitation proxy:</w:t>
      </w:r>
      <w:r w:rsidRPr="00BF4AA8">
        <w:rPr>
          <w:rFonts w:ascii="Arial" w:hAnsi="Arial" w:cs="Arial"/>
          <w:sz w:val="22"/>
          <w:szCs w:val="22"/>
        </w:rPr>
        <w:t xml:space="preserve"> used turbidity notes and depth-of-occurrence shifts (when repeated depth belts were available) as qualitative </w:t>
      </w:r>
      <w:proofErr w:type="spellStart"/>
      <w:r w:rsidRPr="00BF4AA8">
        <w:rPr>
          <w:rFonts w:ascii="Arial" w:hAnsi="Arial" w:cs="Arial"/>
          <w:sz w:val="22"/>
          <w:szCs w:val="22"/>
        </w:rPr>
        <w:t>Kd</w:t>
      </w:r>
      <w:proofErr w:type="spellEnd"/>
      <w:r w:rsidRPr="00BF4AA8">
        <w:rPr>
          <w:rFonts w:ascii="Arial" w:hAnsi="Arial" w:cs="Arial"/>
          <w:sz w:val="22"/>
          <w:szCs w:val="22"/>
        </w:rPr>
        <w:t xml:space="preserve"> proxies.</w:t>
      </w:r>
    </w:p>
    <w:p w:rsidR="00F04907" w:rsidRPr="00BF4AA8" w:rsidRDefault="00F04907" w:rsidP="00F04907">
      <w:pPr>
        <w:pStyle w:val="NormalWeb"/>
        <w:jc w:val="both"/>
        <w:rPr>
          <w:rFonts w:ascii="Arial" w:hAnsi="Arial" w:cs="Arial"/>
          <w:sz w:val="22"/>
          <w:szCs w:val="22"/>
        </w:rPr>
      </w:pPr>
      <w:r w:rsidRPr="00BF4AA8">
        <w:rPr>
          <w:rStyle w:val="Strong"/>
          <w:rFonts w:ascii="Arial" w:eastAsiaTheme="majorEastAsia" w:hAnsi="Arial" w:cs="Arial"/>
          <w:sz w:val="22"/>
          <w:szCs w:val="22"/>
        </w:rPr>
        <w:t>Blue-carbon screening (order-of-magnitude)</w:t>
      </w:r>
    </w:p>
    <w:p w:rsidR="00F04907" w:rsidRPr="00BF4AA8" w:rsidRDefault="00F04907" w:rsidP="00F04907">
      <w:pPr>
        <w:pStyle w:val="NormalWeb"/>
        <w:numPr>
          <w:ilvl w:val="0"/>
          <w:numId w:val="219"/>
        </w:numPr>
        <w:jc w:val="both"/>
        <w:rPr>
          <w:rFonts w:ascii="Arial" w:hAnsi="Arial" w:cs="Arial"/>
          <w:sz w:val="22"/>
          <w:szCs w:val="22"/>
        </w:rPr>
      </w:pPr>
      <w:r w:rsidRPr="00BF4AA8">
        <w:rPr>
          <w:rFonts w:ascii="Arial" w:hAnsi="Arial" w:cs="Arial"/>
          <w:sz w:val="22"/>
          <w:szCs w:val="22"/>
        </w:rPr>
        <w:t xml:space="preserve">For policy framing only (not crediting): multiplied areas by Tier-1/2 stock factors from peer-reviewed syntheses for </w:t>
      </w:r>
      <w:r w:rsidRPr="00BF4AA8">
        <w:rPr>
          <w:rStyle w:val="Strong"/>
          <w:rFonts w:ascii="Arial" w:eastAsiaTheme="majorEastAsia" w:hAnsi="Arial" w:cs="Arial"/>
          <w:sz w:val="22"/>
          <w:szCs w:val="22"/>
        </w:rPr>
        <w:t>mangrove peat</w:t>
      </w:r>
      <w:r w:rsidRPr="00BF4AA8">
        <w:rPr>
          <w:rFonts w:ascii="Arial" w:hAnsi="Arial" w:cs="Arial"/>
          <w:sz w:val="22"/>
          <w:szCs w:val="22"/>
        </w:rPr>
        <w:t xml:space="preserve"> and </w:t>
      </w:r>
      <w:r w:rsidRPr="00BF4AA8">
        <w:rPr>
          <w:rStyle w:val="Strong"/>
          <w:rFonts w:ascii="Arial" w:eastAsiaTheme="majorEastAsia" w:hAnsi="Arial" w:cs="Arial"/>
          <w:sz w:val="22"/>
          <w:szCs w:val="22"/>
        </w:rPr>
        <w:t>seagrass soils</w:t>
      </w:r>
      <w:r w:rsidRPr="00BF4AA8">
        <w:rPr>
          <w:rFonts w:ascii="Arial" w:hAnsi="Arial" w:cs="Arial"/>
          <w:sz w:val="22"/>
          <w:szCs w:val="22"/>
        </w:rPr>
        <w:t xml:space="preserve">; reported as ranges (±25–50%) and </w:t>
      </w:r>
      <w:r w:rsidRPr="00BF4AA8">
        <w:rPr>
          <w:rStyle w:val="Strong"/>
          <w:rFonts w:ascii="Arial" w:eastAsiaTheme="majorEastAsia" w:hAnsi="Arial" w:cs="Arial"/>
          <w:sz w:val="22"/>
          <w:szCs w:val="22"/>
        </w:rPr>
        <w:t>not</w:t>
      </w:r>
      <w:r w:rsidRPr="00BF4AA8">
        <w:rPr>
          <w:rFonts w:ascii="Arial" w:hAnsi="Arial" w:cs="Arial"/>
          <w:sz w:val="22"/>
          <w:szCs w:val="22"/>
        </w:rPr>
        <w:t xml:space="preserve"> used for valuation without site-level MRV.</w:t>
      </w:r>
    </w:p>
    <w:p w:rsidR="00F04907" w:rsidRPr="00BF4AA8" w:rsidRDefault="00F04907" w:rsidP="00F04907">
      <w:pPr>
        <w:pStyle w:val="NormalWeb"/>
        <w:jc w:val="both"/>
        <w:rPr>
          <w:rFonts w:ascii="Arial" w:hAnsi="Arial" w:cs="Arial"/>
          <w:sz w:val="22"/>
          <w:szCs w:val="22"/>
        </w:rPr>
      </w:pPr>
      <w:r w:rsidRPr="00BF4AA8">
        <w:rPr>
          <w:rStyle w:val="Strong"/>
          <w:rFonts w:ascii="Arial" w:eastAsiaTheme="majorEastAsia" w:hAnsi="Arial" w:cs="Arial"/>
          <w:sz w:val="22"/>
          <w:szCs w:val="22"/>
        </w:rPr>
        <w:t>Socio-ecological coupling</w:t>
      </w:r>
    </w:p>
    <w:p w:rsidR="00F04907" w:rsidRPr="00BF4AA8" w:rsidRDefault="00F04907" w:rsidP="00F04907">
      <w:pPr>
        <w:pStyle w:val="NormalWeb"/>
        <w:numPr>
          <w:ilvl w:val="0"/>
          <w:numId w:val="220"/>
        </w:numPr>
        <w:jc w:val="both"/>
        <w:rPr>
          <w:rFonts w:ascii="Arial" w:hAnsi="Arial" w:cs="Arial"/>
          <w:sz w:val="22"/>
          <w:szCs w:val="22"/>
        </w:rPr>
      </w:pPr>
      <w:r w:rsidRPr="00BF4AA8">
        <w:rPr>
          <w:rFonts w:ascii="Arial" w:hAnsi="Arial" w:cs="Arial"/>
          <w:sz w:val="22"/>
          <w:szCs w:val="22"/>
        </w:rPr>
        <w:t xml:space="preserve">Linked habitat units to adjacent </w:t>
      </w:r>
      <w:proofErr w:type="spellStart"/>
      <w:r w:rsidRPr="00BF4AA8">
        <w:rPr>
          <w:rFonts w:ascii="Arial" w:hAnsi="Arial" w:cs="Arial"/>
          <w:sz w:val="22"/>
          <w:szCs w:val="22"/>
        </w:rPr>
        <w:t>CFis</w:t>
      </w:r>
      <w:proofErr w:type="spellEnd"/>
      <w:r w:rsidRPr="00BF4AA8">
        <w:rPr>
          <w:rFonts w:ascii="Arial" w:hAnsi="Arial" w:cs="Arial"/>
          <w:sz w:val="22"/>
          <w:szCs w:val="22"/>
        </w:rPr>
        <w:t xml:space="preserve">/settlements (2-km coastal buffer) to flag livelihood exposure where </w:t>
      </w:r>
      <w:r w:rsidRPr="00BF4AA8">
        <w:rPr>
          <w:rStyle w:val="Strong"/>
          <w:rFonts w:ascii="Arial" w:eastAsiaTheme="majorEastAsia" w:hAnsi="Arial" w:cs="Arial"/>
          <w:sz w:val="22"/>
          <w:szCs w:val="22"/>
        </w:rPr>
        <w:t>&gt;50%</w:t>
      </w:r>
      <w:r w:rsidRPr="00BF4AA8">
        <w:rPr>
          <w:rFonts w:ascii="Arial" w:hAnsi="Arial" w:cs="Arial"/>
          <w:sz w:val="22"/>
          <w:szCs w:val="22"/>
        </w:rPr>
        <w:t xml:space="preserve"> of local income is wetland/fishery-derived (per Ramsar/field studies).</w:t>
      </w:r>
    </w:p>
    <w:p w:rsidR="00F04907" w:rsidRPr="00BF4AA8" w:rsidRDefault="00F04907" w:rsidP="00F04907">
      <w:pPr>
        <w:pStyle w:val="NormalWeb"/>
        <w:numPr>
          <w:ilvl w:val="0"/>
          <w:numId w:val="220"/>
        </w:numPr>
        <w:jc w:val="both"/>
        <w:rPr>
          <w:rFonts w:ascii="Arial" w:hAnsi="Arial" w:cs="Arial"/>
          <w:sz w:val="22"/>
          <w:szCs w:val="22"/>
        </w:rPr>
      </w:pPr>
      <w:r w:rsidRPr="00BF4AA8">
        <w:rPr>
          <w:rFonts w:ascii="Arial" w:hAnsi="Arial" w:cs="Arial"/>
          <w:sz w:val="22"/>
          <w:szCs w:val="22"/>
        </w:rPr>
        <w:t>For hotspot narratives, combined hydrologic connectivity (freshwater inlets, tidal prisms), nursery adjacency (</w:t>
      </w:r>
      <w:proofErr w:type="spellStart"/>
      <w:r w:rsidRPr="00BF4AA8">
        <w:rPr>
          <w:rFonts w:ascii="Arial" w:hAnsi="Arial" w:cs="Arial"/>
          <w:sz w:val="22"/>
          <w:szCs w:val="22"/>
        </w:rPr>
        <w:t>mangrove</w:t>
      </w:r>
      <w:r w:rsidRPr="00BF4AA8">
        <w:rPr>
          <w:rFonts w:ascii="Cambria Math" w:hAnsi="Cambria Math" w:cs="Cambria Math"/>
          <w:sz w:val="22"/>
          <w:szCs w:val="22"/>
        </w:rPr>
        <w:t>⇄</w:t>
      </w:r>
      <w:r w:rsidRPr="00BF4AA8">
        <w:rPr>
          <w:rFonts w:ascii="Arial" w:hAnsi="Arial" w:cs="Arial"/>
          <w:sz w:val="22"/>
          <w:szCs w:val="22"/>
        </w:rPr>
        <w:t>seagrass</w:t>
      </w:r>
      <w:proofErr w:type="spellEnd"/>
      <w:r w:rsidRPr="00BF4AA8">
        <w:rPr>
          <w:rFonts w:ascii="Arial" w:hAnsi="Arial" w:cs="Arial"/>
          <w:sz w:val="22"/>
          <w:szCs w:val="22"/>
        </w:rPr>
        <w:t xml:space="preserve"> corridors), and enforcement footprint (patrol hours, anti-trawl deployments).</w:t>
      </w:r>
    </w:p>
    <w:p w:rsidR="00F04907" w:rsidRPr="00BF4AA8" w:rsidRDefault="00F04907" w:rsidP="00F04907">
      <w:pPr>
        <w:pStyle w:val="NormalWeb"/>
        <w:jc w:val="both"/>
        <w:rPr>
          <w:rFonts w:ascii="Arial" w:hAnsi="Arial" w:cs="Arial"/>
          <w:sz w:val="22"/>
          <w:szCs w:val="22"/>
        </w:rPr>
      </w:pPr>
      <w:r w:rsidRPr="00BF4AA8">
        <w:rPr>
          <w:rStyle w:val="Strong"/>
          <w:rFonts w:ascii="Arial" w:eastAsiaTheme="majorEastAsia" w:hAnsi="Arial" w:cs="Arial"/>
          <w:sz w:val="22"/>
          <w:szCs w:val="22"/>
        </w:rPr>
        <w:t>Trend language</w:t>
      </w:r>
    </w:p>
    <w:p w:rsidR="00F04907" w:rsidRPr="00BF4AA8" w:rsidRDefault="00F04907" w:rsidP="00F04907">
      <w:pPr>
        <w:pStyle w:val="NormalWeb"/>
        <w:numPr>
          <w:ilvl w:val="0"/>
          <w:numId w:val="221"/>
        </w:numPr>
        <w:jc w:val="both"/>
        <w:rPr>
          <w:rFonts w:ascii="Arial" w:hAnsi="Arial" w:cs="Arial"/>
          <w:sz w:val="22"/>
          <w:szCs w:val="22"/>
        </w:rPr>
      </w:pPr>
      <w:r w:rsidRPr="00BF4AA8">
        <w:rPr>
          <w:rFonts w:ascii="Arial" w:hAnsi="Arial" w:cs="Arial"/>
          <w:sz w:val="22"/>
          <w:szCs w:val="22"/>
        </w:rPr>
        <w:t>“Decline/Recovery” used only when (a) at least two independent observations with consistent method exist, or (b) one observation with strong ancillary evidence (e.g., trawl-scar proliferation, dredging chronology) and expert validation.</w:t>
      </w:r>
    </w:p>
    <w:p w:rsidR="00F04907" w:rsidRPr="00BF4AA8" w:rsidRDefault="00F04907" w:rsidP="00BF4AA8">
      <w:pPr>
        <w:pStyle w:val="Heading2"/>
        <w:keepNext/>
        <w:adjustRightInd w:val="0"/>
        <w:snapToGrid w:val="0"/>
        <w:spacing w:before="240" w:beforeAutospacing="0" w:after="120" w:afterAutospacing="0"/>
        <w:rPr>
          <w:rFonts w:ascii="Arial" w:hAnsi="Arial" w:cs="Arial"/>
          <w:color w:val="0070C0"/>
          <w:sz w:val="22"/>
          <w:szCs w:val="22"/>
        </w:rPr>
      </w:pPr>
      <w:bookmarkStart w:id="23" w:name="_Toc216681456"/>
      <w:r w:rsidRPr="00BF4AA8">
        <w:rPr>
          <w:rFonts w:ascii="Arial" w:hAnsi="Arial" w:cs="Arial"/>
          <w:color w:val="0070C0"/>
          <w:sz w:val="22"/>
          <w:szCs w:val="22"/>
        </w:rPr>
        <w:t>Annex 4-</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Annex_4-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3</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Spatial &amp; temporal frame</w:t>
      </w:r>
      <w:bookmarkEnd w:id="23"/>
    </w:p>
    <w:p w:rsidR="00F04907" w:rsidRPr="00BF4AA8" w:rsidRDefault="00F04907" w:rsidP="00F04907">
      <w:pPr>
        <w:pStyle w:val="NormalWeb"/>
        <w:jc w:val="both"/>
        <w:rPr>
          <w:rFonts w:ascii="Arial" w:hAnsi="Arial" w:cs="Arial"/>
          <w:sz w:val="22"/>
          <w:szCs w:val="22"/>
        </w:rPr>
      </w:pPr>
      <w:r w:rsidRPr="00BF4AA8">
        <w:rPr>
          <w:rStyle w:val="Strong"/>
          <w:rFonts w:ascii="Arial" w:eastAsiaTheme="majorEastAsia" w:hAnsi="Arial" w:cs="Arial"/>
          <w:sz w:val="22"/>
          <w:szCs w:val="22"/>
        </w:rPr>
        <w:t>Spatial definitions.</w:t>
      </w:r>
      <w:r w:rsidRPr="00BF4AA8">
        <w:rPr>
          <w:rFonts w:ascii="Arial" w:hAnsi="Arial" w:cs="Arial"/>
          <w:sz w:val="22"/>
          <w:szCs w:val="22"/>
        </w:rPr>
        <w:t xml:space="preserve"> Provincial boundaries follow official census geographies. Ecosystem units combine (</w:t>
      </w:r>
      <w:proofErr w:type="spellStart"/>
      <w:r w:rsidRPr="00BF4AA8">
        <w:rPr>
          <w:rFonts w:ascii="Arial" w:hAnsi="Arial" w:cs="Arial"/>
          <w:sz w:val="22"/>
          <w:szCs w:val="22"/>
        </w:rPr>
        <w:t>i</w:t>
      </w:r>
      <w:proofErr w:type="spellEnd"/>
      <w:r w:rsidRPr="00BF4AA8">
        <w:rPr>
          <w:rFonts w:ascii="Arial" w:hAnsi="Arial" w:cs="Arial"/>
          <w:sz w:val="22"/>
          <w:szCs w:val="22"/>
        </w:rPr>
        <w:t>) national/provincial extents (mangroves, coral, seagrass, wetlands), (ii) legally designated areas (MNPs, MFMAs, Ramsar/WS/NP/PL), and (iii) community zones (</w:t>
      </w:r>
      <w:proofErr w:type="spellStart"/>
      <w:r w:rsidRPr="00BF4AA8">
        <w:rPr>
          <w:rFonts w:ascii="Arial" w:hAnsi="Arial" w:cs="Arial"/>
          <w:sz w:val="22"/>
          <w:szCs w:val="22"/>
        </w:rPr>
        <w:t>CFis</w:t>
      </w:r>
      <w:proofErr w:type="spellEnd"/>
      <w:r w:rsidRPr="00BF4AA8">
        <w:rPr>
          <w:rFonts w:ascii="Arial" w:hAnsi="Arial" w:cs="Arial"/>
          <w:sz w:val="22"/>
          <w:szCs w:val="22"/>
        </w:rPr>
        <w:t xml:space="preserve">/CPAs) for co-management analyses. Where zoning overlaps (e.g., Koh Rong MNP over earlier MFMA), rules </w:t>
      </w:r>
      <w:proofErr w:type="gramStart"/>
      <w:r w:rsidRPr="00BF4AA8">
        <w:rPr>
          <w:rFonts w:ascii="Arial" w:hAnsi="Arial" w:cs="Arial"/>
          <w:sz w:val="22"/>
          <w:szCs w:val="22"/>
        </w:rPr>
        <w:t>are harmonized</w:t>
      </w:r>
      <w:proofErr w:type="gramEnd"/>
      <w:r w:rsidRPr="00BF4AA8">
        <w:rPr>
          <w:rFonts w:ascii="Arial" w:hAnsi="Arial" w:cs="Arial"/>
          <w:sz w:val="22"/>
          <w:szCs w:val="22"/>
        </w:rPr>
        <w:t xml:space="preserve"> by the most recent legal designation for maps/tables.</w:t>
      </w:r>
    </w:p>
    <w:p w:rsidR="00F04907" w:rsidRPr="00BF4AA8" w:rsidRDefault="00F04907" w:rsidP="00F04907">
      <w:pPr>
        <w:pStyle w:val="NormalWeb"/>
        <w:jc w:val="both"/>
        <w:rPr>
          <w:rFonts w:ascii="Arial" w:hAnsi="Arial" w:cs="Arial"/>
          <w:sz w:val="22"/>
          <w:szCs w:val="22"/>
        </w:rPr>
      </w:pPr>
      <w:r w:rsidRPr="00BF4AA8">
        <w:rPr>
          <w:rStyle w:val="Strong"/>
          <w:rFonts w:ascii="Arial" w:eastAsiaTheme="majorEastAsia" w:hAnsi="Arial" w:cs="Arial"/>
          <w:sz w:val="22"/>
          <w:szCs w:val="22"/>
        </w:rPr>
        <w:t>Time horizon</w:t>
      </w:r>
    </w:p>
    <w:p w:rsidR="00F04907" w:rsidRPr="00BF4AA8" w:rsidRDefault="00F04907" w:rsidP="00F04907">
      <w:pPr>
        <w:pStyle w:val="NormalWeb"/>
        <w:numPr>
          <w:ilvl w:val="0"/>
          <w:numId w:val="210"/>
        </w:numPr>
        <w:jc w:val="both"/>
        <w:rPr>
          <w:rFonts w:ascii="Arial" w:hAnsi="Arial" w:cs="Arial"/>
          <w:sz w:val="22"/>
          <w:szCs w:val="22"/>
        </w:rPr>
      </w:pPr>
      <w:r w:rsidRPr="00BF4AA8">
        <w:rPr>
          <w:rStyle w:val="Strong"/>
          <w:rFonts w:ascii="Arial" w:eastAsiaTheme="majorEastAsia" w:hAnsi="Arial" w:cs="Arial"/>
          <w:sz w:val="22"/>
          <w:szCs w:val="22"/>
        </w:rPr>
        <w:t>Mangroves:</w:t>
      </w:r>
      <w:r w:rsidRPr="00BF4AA8">
        <w:rPr>
          <w:rFonts w:ascii="Arial" w:hAnsi="Arial" w:cs="Arial"/>
          <w:sz w:val="22"/>
          <w:szCs w:val="22"/>
        </w:rPr>
        <w:t xml:space="preserve"> long-run references (1997–2011) from NSOC compilations; recent change from </w:t>
      </w:r>
      <w:r w:rsidRPr="00BF4AA8">
        <w:rPr>
          <w:rStyle w:val="Strong"/>
          <w:rFonts w:ascii="Arial" w:eastAsiaTheme="majorEastAsia" w:hAnsi="Arial" w:cs="Arial"/>
          <w:sz w:val="22"/>
          <w:szCs w:val="22"/>
        </w:rPr>
        <w:t>2014–2025</w:t>
      </w:r>
      <w:r w:rsidRPr="00BF4AA8">
        <w:rPr>
          <w:rFonts w:ascii="Arial" w:hAnsi="Arial" w:cs="Arial"/>
          <w:sz w:val="22"/>
          <w:szCs w:val="22"/>
        </w:rPr>
        <w:t xml:space="preserve"> using </w:t>
      </w:r>
      <w:proofErr w:type="spellStart"/>
      <w:r w:rsidRPr="00BF4AA8">
        <w:rPr>
          <w:rFonts w:ascii="Arial" w:hAnsi="Arial" w:cs="Arial"/>
          <w:sz w:val="22"/>
          <w:szCs w:val="22"/>
        </w:rPr>
        <w:t>MoE’s</w:t>
      </w:r>
      <w:proofErr w:type="spellEnd"/>
      <w:r w:rsidRPr="00BF4AA8">
        <w:rPr>
          <w:rFonts w:ascii="Arial" w:hAnsi="Arial" w:cs="Arial"/>
          <w:sz w:val="22"/>
          <w:szCs w:val="22"/>
        </w:rPr>
        <w:t xml:space="preserve"> ongoing Mangrove Assessment (Sentinel-2, 10 m).</w:t>
      </w:r>
    </w:p>
    <w:p w:rsidR="00F04907" w:rsidRPr="00BF4AA8" w:rsidRDefault="00F04907" w:rsidP="00F04907">
      <w:pPr>
        <w:pStyle w:val="NormalWeb"/>
        <w:numPr>
          <w:ilvl w:val="0"/>
          <w:numId w:val="210"/>
        </w:numPr>
        <w:jc w:val="both"/>
        <w:rPr>
          <w:rFonts w:ascii="Arial" w:hAnsi="Arial" w:cs="Arial"/>
          <w:sz w:val="22"/>
          <w:szCs w:val="22"/>
        </w:rPr>
      </w:pPr>
      <w:r w:rsidRPr="00BF4AA8">
        <w:rPr>
          <w:rStyle w:val="Strong"/>
          <w:rFonts w:ascii="Arial" w:eastAsiaTheme="majorEastAsia" w:hAnsi="Arial" w:cs="Arial"/>
          <w:sz w:val="22"/>
          <w:szCs w:val="22"/>
        </w:rPr>
        <w:t>Coral reefs:</w:t>
      </w:r>
      <w:r w:rsidRPr="00BF4AA8">
        <w:rPr>
          <w:rFonts w:ascii="Arial" w:hAnsi="Arial" w:cs="Arial"/>
          <w:sz w:val="22"/>
          <w:szCs w:val="22"/>
        </w:rPr>
        <w:t xml:space="preserve"> condition/cover from 2010–2025 (legacy baselines; standardized national series since ~2019 with CCRMN).</w:t>
      </w:r>
    </w:p>
    <w:p w:rsidR="00F04907" w:rsidRPr="00BF4AA8" w:rsidRDefault="00F04907" w:rsidP="00F04907">
      <w:pPr>
        <w:pStyle w:val="NormalWeb"/>
        <w:numPr>
          <w:ilvl w:val="0"/>
          <w:numId w:val="210"/>
        </w:numPr>
        <w:jc w:val="both"/>
        <w:rPr>
          <w:rFonts w:ascii="Arial" w:hAnsi="Arial" w:cs="Arial"/>
          <w:sz w:val="22"/>
          <w:szCs w:val="22"/>
        </w:rPr>
      </w:pPr>
      <w:r w:rsidRPr="00BF4AA8">
        <w:rPr>
          <w:rStyle w:val="Strong"/>
          <w:rFonts w:ascii="Arial" w:eastAsiaTheme="majorEastAsia" w:hAnsi="Arial" w:cs="Arial"/>
          <w:sz w:val="22"/>
          <w:szCs w:val="22"/>
        </w:rPr>
        <w:t>Seagrass:</w:t>
      </w:r>
      <w:r w:rsidRPr="00BF4AA8">
        <w:rPr>
          <w:rFonts w:ascii="Arial" w:hAnsi="Arial" w:cs="Arial"/>
          <w:sz w:val="22"/>
          <w:szCs w:val="22"/>
        </w:rPr>
        <w:t xml:space="preserve"> extent/condition anchored on </w:t>
      </w:r>
      <w:r w:rsidRPr="00BF4AA8">
        <w:rPr>
          <w:rStyle w:val="Strong"/>
          <w:rFonts w:ascii="Arial" w:eastAsiaTheme="majorEastAsia" w:hAnsi="Arial" w:cs="Arial"/>
          <w:sz w:val="22"/>
          <w:szCs w:val="22"/>
        </w:rPr>
        <w:t>2014–2025</w:t>
      </w:r>
      <w:r w:rsidRPr="00BF4AA8">
        <w:rPr>
          <w:rFonts w:ascii="Arial" w:hAnsi="Arial" w:cs="Arial"/>
          <w:sz w:val="22"/>
          <w:szCs w:val="22"/>
        </w:rPr>
        <w:t xml:space="preserve"> (provincewide compilations plus 2021–2023 mapping in Koh Kong/Preah Sihanouk; 2014 &amp; 2025 for </w:t>
      </w:r>
      <w:proofErr w:type="spellStart"/>
      <w:r w:rsidRPr="00BF4AA8">
        <w:rPr>
          <w:rFonts w:ascii="Arial" w:hAnsi="Arial" w:cs="Arial"/>
          <w:sz w:val="22"/>
          <w:szCs w:val="22"/>
        </w:rPr>
        <w:t>Kep</w:t>
      </w:r>
      <w:proofErr w:type="spellEnd"/>
      <w:r w:rsidRPr="00BF4AA8">
        <w:rPr>
          <w:rFonts w:ascii="Arial" w:hAnsi="Arial" w:cs="Arial"/>
          <w:sz w:val="22"/>
          <w:szCs w:val="22"/>
        </w:rPr>
        <w:t>–</w:t>
      </w:r>
      <w:proofErr w:type="spellStart"/>
      <w:r w:rsidRPr="00BF4AA8">
        <w:rPr>
          <w:rFonts w:ascii="Arial" w:hAnsi="Arial" w:cs="Arial"/>
          <w:sz w:val="22"/>
          <w:szCs w:val="22"/>
        </w:rPr>
        <w:t>Kampot</w:t>
      </w:r>
      <w:proofErr w:type="spellEnd"/>
      <w:r w:rsidRPr="00BF4AA8">
        <w:rPr>
          <w:rFonts w:ascii="Arial" w:hAnsi="Arial" w:cs="Arial"/>
          <w:sz w:val="22"/>
          <w:szCs w:val="22"/>
        </w:rPr>
        <w:t>).</w:t>
      </w:r>
    </w:p>
    <w:p w:rsidR="00F04907" w:rsidRPr="00BF4AA8" w:rsidRDefault="00F04907" w:rsidP="00F04907">
      <w:pPr>
        <w:pStyle w:val="NormalWeb"/>
        <w:numPr>
          <w:ilvl w:val="0"/>
          <w:numId w:val="210"/>
        </w:numPr>
        <w:jc w:val="both"/>
        <w:rPr>
          <w:rFonts w:ascii="Arial" w:hAnsi="Arial" w:cs="Arial"/>
          <w:sz w:val="22"/>
          <w:szCs w:val="22"/>
        </w:rPr>
      </w:pPr>
      <w:r w:rsidRPr="00BF4AA8">
        <w:rPr>
          <w:rStyle w:val="Strong"/>
          <w:rFonts w:ascii="Arial" w:eastAsiaTheme="majorEastAsia" w:hAnsi="Arial" w:cs="Arial"/>
          <w:sz w:val="22"/>
          <w:szCs w:val="22"/>
        </w:rPr>
        <w:t>Wetlands/biodiversity:</w:t>
      </w:r>
      <w:r w:rsidRPr="00BF4AA8">
        <w:rPr>
          <w:rFonts w:ascii="Arial" w:hAnsi="Arial" w:cs="Arial"/>
          <w:sz w:val="22"/>
          <w:szCs w:val="22"/>
        </w:rPr>
        <w:t xml:space="preserve"> site dossiers use source-year snapshots (Ramsar sheets, management plans, recent field reports).</w:t>
      </w:r>
    </w:p>
    <w:p w:rsidR="00F04907" w:rsidRPr="00BF4AA8" w:rsidRDefault="00F04907" w:rsidP="00F04907">
      <w:pPr>
        <w:pStyle w:val="NormalWeb"/>
        <w:jc w:val="both"/>
        <w:rPr>
          <w:rFonts w:ascii="Arial" w:hAnsi="Arial" w:cs="Arial"/>
          <w:sz w:val="22"/>
          <w:szCs w:val="22"/>
        </w:rPr>
      </w:pPr>
      <w:r w:rsidRPr="00BF4AA8">
        <w:rPr>
          <w:rStyle w:val="Strong"/>
          <w:rFonts w:ascii="Arial" w:eastAsiaTheme="majorEastAsia" w:hAnsi="Arial" w:cs="Arial"/>
          <w:sz w:val="22"/>
          <w:szCs w:val="22"/>
        </w:rPr>
        <w:t>Conflict/definition discontinuities.</w:t>
      </w:r>
      <w:r w:rsidRPr="00BF4AA8">
        <w:rPr>
          <w:rFonts w:ascii="Arial" w:hAnsi="Arial" w:cs="Arial"/>
          <w:sz w:val="22"/>
          <w:szCs w:val="22"/>
        </w:rPr>
        <w:t xml:space="preserve"> Where historical land-cover/extent products used different class keys (e.g., “mangrove woody wetland” vs “mangrove forest”), we built a cross-walk and report uncertainties with ranges rather than single-point change rates.</w:t>
      </w:r>
    </w:p>
    <w:p w:rsidR="00F04907" w:rsidRPr="00BF4AA8" w:rsidRDefault="00F04907" w:rsidP="00BF4AA8">
      <w:pPr>
        <w:pStyle w:val="Heading2"/>
        <w:keepNext/>
        <w:adjustRightInd w:val="0"/>
        <w:snapToGrid w:val="0"/>
        <w:spacing w:before="240" w:beforeAutospacing="0" w:after="120" w:afterAutospacing="0"/>
        <w:rPr>
          <w:rFonts w:ascii="Arial" w:hAnsi="Arial" w:cs="Arial"/>
          <w:color w:val="0070C0"/>
          <w:sz w:val="22"/>
          <w:szCs w:val="22"/>
        </w:rPr>
      </w:pPr>
      <w:bookmarkStart w:id="24" w:name="_Toc216681457"/>
      <w:r w:rsidRPr="00BF4AA8">
        <w:rPr>
          <w:rFonts w:ascii="Arial" w:hAnsi="Arial" w:cs="Arial"/>
          <w:color w:val="0070C0"/>
          <w:sz w:val="22"/>
          <w:szCs w:val="22"/>
        </w:rPr>
        <w:t>Annex 4-</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Annex_4-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4</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Quality assurance, triangulation &amp; treatment of uncertainty</w:t>
      </w:r>
      <w:bookmarkEnd w:id="24"/>
    </w:p>
    <w:p w:rsidR="00F04907" w:rsidRPr="00BF4AA8" w:rsidRDefault="00F04907" w:rsidP="00F04907">
      <w:pPr>
        <w:pStyle w:val="NormalWeb"/>
        <w:spacing w:before="240" w:beforeAutospacing="0" w:after="240" w:afterAutospacing="0"/>
        <w:jc w:val="both"/>
        <w:rPr>
          <w:rFonts w:ascii="Arial" w:hAnsi="Arial" w:cs="Arial"/>
          <w:sz w:val="22"/>
          <w:szCs w:val="22"/>
        </w:rPr>
      </w:pPr>
      <w:r w:rsidRPr="00BF4AA8">
        <w:rPr>
          <w:rStyle w:val="Strong"/>
          <w:rFonts w:ascii="Arial" w:eastAsiaTheme="majorEastAsia" w:hAnsi="Arial" w:cs="Arial"/>
          <w:sz w:val="22"/>
          <w:szCs w:val="22"/>
        </w:rPr>
        <w:t>Cross-source checks.</w:t>
      </w:r>
      <w:r w:rsidRPr="00BF4AA8">
        <w:rPr>
          <w:rFonts w:ascii="Arial" w:hAnsi="Arial" w:cs="Arial"/>
          <w:sz w:val="22"/>
          <w:szCs w:val="22"/>
        </w:rPr>
        <w:t xml:space="preserve"> Mangrove totals </w:t>
      </w:r>
      <w:proofErr w:type="gramStart"/>
      <w:r w:rsidRPr="00BF4AA8">
        <w:rPr>
          <w:rFonts w:ascii="Arial" w:hAnsi="Arial" w:cs="Arial"/>
          <w:sz w:val="22"/>
          <w:szCs w:val="22"/>
        </w:rPr>
        <w:t>were compared</w:t>
      </w:r>
      <w:proofErr w:type="gramEnd"/>
      <w:r w:rsidRPr="00BF4AA8">
        <w:rPr>
          <w:rFonts w:ascii="Arial" w:hAnsi="Arial" w:cs="Arial"/>
          <w:sz w:val="22"/>
          <w:szCs w:val="22"/>
        </w:rPr>
        <w:t xml:space="preserve"> against GMW v3.0 tiles and legacy NSOC figures to validate provincial magnitudes and loss geography; discrepancies &gt;5% triggered manual inspection (cloud/shadow, aquaculture glare, tidal phase). For seagrass, </w:t>
      </w:r>
      <w:proofErr w:type="spellStart"/>
      <w:r w:rsidRPr="00BF4AA8">
        <w:rPr>
          <w:rFonts w:ascii="Arial" w:hAnsi="Arial" w:cs="Arial"/>
          <w:sz w:val="22"/>
          <w:szCs w:val="22"/>
        </w:rPr>
        <w:t>MoE</w:t>
      </w:r>
      <w:proofErr w:type="spellEnd"/>
      <w:r w:rsidRPr="00BF4AA8">
        <w:rPr>
          <w:rFonts w:ascii="Arial" w:hAnsi="Arial" w:cs="Arial"/>
          <w:sz w:val="22"/>
          <w:szCs w:val="22"/>
        </w:rPr>
        <w:t xml:space="preserve"> polygons were cross-checked with FFI–</w:t>
      </w:r>
      <w:proofErr w:type="spellStart"/>
      <w:r w:rsidRPr="00BF4AA8">
        <w:rPr>
          <w:rFonts w:ascii="Arial" w:hAnsi="Arial" w:cs="Arial"/>
          <w:sz w:val="22"/>
          <w:szCs w:val="22"/>
        </w:rPr>
        <w:t>FiA</w:t>
      </w:r>
      <w:proofErr w:type="spellEnd"/>
      <w:r w:rsidRPr="00BF4AA8">
        <w:rPr>
          <w:rFonts w:ascii="Arial" w:hAnsi="Arial" w:cs="Arial"/>
          <w:sz w:val="22"/>
          <w:szCs w:val="22"/>
        </w:rPr>
        <w:t xml:space="preserve"> site campaigns and </w:t>
      </w:r>
      <w:proofErr w:type="spellStart"/>
      <w:r w:rsidRPr="00BF4AA8">
        <w:rPr>
          <w:rFonts w:ascii="Arial" w:hAnsi="Arial" w:cs="Arial"/>
          <w:sz w:val="22"/>
          <w:szCs w:val="22"/>
        </w:rPr>
        <w:t>CFi</w:t>
      </w:r>
      <w:proofErr w:type="spellEnd"/>
      <w:r w:rsidRPr="00BF4AA8">
        <w:rPr>
          <w:rFonts w:ascii="Arial" w:hAnsi="Arial" w:cs="Arial"/>
          <w:sz w:val="22"/>
          <w:szCs w:val="22"/>
        </w:rPr>
        <w:t xml:space="preserve"> sketch maps; conflicts favored the most recent ground-validated layer.</w:t>
      </w:r>
    </w:p>
    <w:p w:rsidR="00F04907" w:rsidRPr="00BF4AA8" w:rsidRDefault="00F04907" w:rsidP="00F04907">
      <w:pPr>
        <w:pStyle w:val="NormalWeb"/>
        <w:jc w:val="both"/>
        <w:rPr>
          <w:rFonts w:ascii="Arial" w:hAnsi="Arial" w:cs="Arial"/>
          <w:sz w:val="22"/>
          <w:szCs w:val="22"/>
        </w:rPr>
      </w:pPr>
      <w:r w:rsidRPr="00BF4AA8">
        <w:rPr>
          <w:rStyle w:val="Strong"/>
          <w:rFonts w:ascii="Arial" w:eastAsiaTheme="majorEastAsia" w:hAnsi="Arial" w:cs="Arial"/>
          <w:sz w:val="22"/>
          <w:szCs w:val="22"/>
        </w:rPr>
        <w:t>Method consistency.</w:t>
      </w:r>
      <w:r w:rsidRPr="00BF4AA8">
        <w:rPr>
          <w:rFonts w:ascii="Arial" w:hAnsi="Arial" w:cs="Arial"/>
          <w:sz w:val="22"/>
          <w:szCs w:val="22"/>
        </w:rPr>
        <w:t xml:space="preserve"> Coral cover aggregates only pooled transects with matching protocols; when methods differed, we presented site-level values and refrained from computing provincial means.</w:t>
      </w:r>
    </w:p>
    <w:p w:rsidR="00F04907" w:rsidRPr="00BF4AA8" w:rsidRDefault="00F04907" w:rsidP="00F04907">
      <w:pPr>
        <w:pStyle w:val="NormalWeb"/>
        <w:jc w:val="both"/>
        <w:rPr>
          <w:rFonts w:ascii="Arial" w:hAnsi="Arial" w:cs="Arial"/>
          <w:sz w:val="22"/>
          <w:szCs w:val="22"/>
        </w:rPr>
      </w:pPr>
      <w:r w:rsidRPr="00BF4AA8">
        <w:rPr>
          <w:rStyle w:val="Strong"/>
          <w:rFonts w:ascii="Arial" w:eastAsiaTheme="majorEastAsia" w:hAnsi="Arial" w:cs="Arial"/>
          <w:sz w:val="22"/>
          <w:szCs w:val="22"/>
        </w:rPr>
        <w:t>Administrative and zoning changes.</w:t>
      </w:r>
      <w:r w:rsidRPr="00BF4AA8">
        <w:rPr>
          <w:rFonts w:ascii="Arial" w:hAnsi="Arial" w:cs="Arial"/>
          <w:sz w:val="22"/>
          <w:szCs w:val="22"/>
        </w:rPr>
        <w:t xml:space="preserve"> Where protected-area boundaries changed (e.g., </w:t>
      </w:r>
      <w:proofErr w:type="spellStart"/>
      <w:r w:rsidRPr="00BF4AA8">
        <w:rPr>
          <w:rFonts w:ascii="Arial" w:hAnsi="Arial" w:cs="Arial"/>
          <w:sz w:val="22"/>
          <w:szCs w:val="22"/>
        </w:rPr>
        <w:t>Peam</w:t>
      </w:r>
      <w:proofErr w:type="spellEnd"/>
      <w:r w:rsidRPr="00BF4AA8">
        <w:rPr>
          <w:rFonts w:ascii="Arial" w:hAnsi="Arial" w:cs="Arial"/>
          <w:sz w:val="22"/>
          <w:szCs w:val="22"/>
        </w:rPr>
        <w:t xml:space="preserve"> </w:t>
      </w:r>
      <w:proofErr w:type="spellStart"/>
      <w:r w:rsidRPr="00BF4AA8">
        <w:rPr>
          <w:rFonts w:ascii="Arial" w:hAnsi="Arial" w:cs="Arial"/>
          <w:sz w:val="22"/>
          <w:szCs w:val="22"/>
        </w:rPr>
        <w:t>Krasop</w:t>
      </w:r>
      <w:proofErr w:type="spellEnd"/>
      <w:r w:rsidRPr="00BF4AA8">
        <w:rPr>
          <w:rFonts w:ascii="Arial" w:hAnsi="Arial" w:cs="Arial"/>
          <w:sz w:val="22"/>
          <w:szCs w:val="22"/>
        </w:rPr>
        <w:t xml:space="preserve"> WS, </w:t>
      </w:r>
      <w:proofErr w:type="spellStart"/>
      <w:r w:rsidRPr="00BF4AA8">
        <w:rPr>
          <w:rFonts w:ascii="Arial" w:hAnsi="Arial" w:cs="Arial"/>
          <w:sz w:val="22"/>
          <w:szCs w:val="22"/>
        </w:rPr>
        <w:t>Botum</w:t>
      </w:r>
      <w:proofErr w:type="spellEnd"/>
      <w:r w:rsidRPr="00BF4AA8">
        <w:rPr>
          <w:rFonts w:ascii="Arial" w:hAnsi="Arial" w:cs="Arial"/>
          <w:sz w:val="22"/>
          <w:szCs w:val="22"/>
        </w:rPr>
        <w:t xml:space="preserve"> </w:t>
      </w:r>
      <w:proofErr w:type="spellStart"/>
      <w:r w:rsidRPr="00BF4AA8">
        <w:rPr>
          <w:rFonts w:ascii="Arial" w:hAnsi="Arial" w:cs="Arial"/>
          <w:sz w:val="22"/>
          <w:szCs w:val="22"/>
        </w:rPr>
        <w:t>Sakor</w:t>
      </w:r>
      <w:proofErr w:type="spellEnd"/>
      <w:r w:rsidRPr="00BF4AA8">
        <w:rPr>
          <w:rFonts w:ascii="Arial" w:hAnsi="Arial" w:cs="Arial"/>
          <w:sz w:val="22"/>
          <w:szCs w:val="22"/>
        </w:rPr>
        <w:t xml:space="preserve"> NP), historical extents were re-tabulated to the </w:t>
      </w:r>
      <w:r w:rsidRPr="00BF4AA8">
        <w:rPr>
          <w:rStyle w:val="Strong"/>
          <w:rFonts w:ascii="Arial" w:eastAsiaTheme="majorEastAsia" w:hAnsi="Arial" w:cs="Arial"/>
          <w:sz w:val="22"/>
          <w:szCs w:val="22"/>
        </w:rPr>
        <w:t>then-current</w:t>
      </w:r>
      <w:r w:rsidRPr="00BF4AA8">
        <w:rPr>
          <w:rFonts w:ascii="Arial" w:hAnsi="Arial" w:cs="Arial"/>
          <w:sz w:val="22"/>
          <w:szCs w:val="22"/>
        </w:rPr>
        <w:t xml:space="preserve"> boundary for time-slice comparisons; we avoid per-hectare inferences across moving denominators.</w:t>
      </w:r>
    </w:p>
    <w:p w:rsidR="00F04907" w:rsidRPr="00BF4AA8" w:rsidRDefault="00F04907" w:rsidP="00F04907">
      <w:pPr>
        <w:pStyle w:val="NormalWeb"/>
        <w:jc w:val="both"/>
        <w:rPr>
          <w:rFonts w:ascii="Arial" w:hAnsi="Arial" w:cs="Arial"/>
          <w:sz w:val="22"/>
          <w:szCs w:val="22"/>
        </w:rPr>
      </w:pPr>
      <w:r w:rsidRPr="00BF4AA8">
        <w:rPr>
          <w:rStyle w:val="Strong"/>
          <w:rFonts w:ascii="Arial" w:eastAsiaTheme="majorEastAsia" w:hAnsi="Arial" w:cs="Arial"/>
          <w:sz w:val="22"/>
          <w:szCs w:val="22"/>
        </w:rPr>
        <w:t>Small-area volatility.</w:t>
      </w:r>
      <w:r w:rsidRPr="00BF4AA8">
        <w:rPr>
          <w:rFonts w:ascii="Arial" w:hAnsi="Arial" w:cs="Arial"/>
          <w:sz w:val="22"/>
          <w:szCs w:val="22"/>
        </w:rPr>
        <w:t xml:space="preserve"> </w:t>
      </w:r>
      <w:proofErr w:type="spellStart"/>
      <w:r w:rsidRPr="00BF4AA8">
        <w:rPr>
          <w:rFonts w:ascii="Arial" w:hAnsi="Arial" w:cs="Arial"/>
          <w:sz w:val="22"/>
          <w:szCs w:val="22"/>
        </w:rPr>
        <w:t>Kep’s</w:t>
      </w:r>
      <w:proofErr w:type="spellEnd"/>
      <w:r w:rsidRPr="00BF4AA8">
        <w:rPr>
          <w:rFonts w:ascii="Arial" w:hAnsi="Arial" w:cs="Arial"/>
          <w:sz w:val="22"/>
          <w:szCs w:val="22"/>
        </w:rPr>
        <w:t xml:space="preserve"> small base and patchy nearshore reefs/meadows produce larger percentage swings; interpretations emphasize direction and management implications rather than fine-grained year-to-year rates.</w:t>
      </w:r>
    </w:p>
    <w:p w:rsidR="00F04907" w:rsidRPr="00BF4AA8" w:rsidRDefault="00F04907" w:rsidP="00F04907">
      <w:pPr>
        <w:pStyle w:val="NormalWeb"/>
        <w:jc w:val="both"/>
        <w:rPr>
          <w:rFonts w:ascii="Arial" w:hAnsi="Arial" w:cs="Arial"/>
          <w:sz w:val="22"/>
          <w:szCs w:val="22"/>
        </w:rPr>
      </w:pPr>
      <w:r w:rsidRPr="00BF4AA8">
        <w:rPr>
          <w:rStyle w:val="Strong"/>
          <w:rFonts w:ascii="Arial" w:eastAsiaTheme="majorEastAsia" w:hAnsi="Arial" w:cs="Arial"/>
          <w:sz w:val="22"/>
          <w:szCs w:val="22"/>
        </w:rPr>
        <w:t>Attribution limits.</w:t>
      </w:r>
      <w:r w:rsidRPr="00BF4AA8">
        <w:rPr>
          <w:rFonts w:ascii="Arial" w:hAnsi="Arial" w:cs="Arial"/>
          <w:sz w:val="22"/>
          <w:szCs w:val="22"/>
        </w:rPr>
        <w:t xml:space="preserve"> We avoid over-attributing change to single drivers when co-varying pressures (trawling, turbidity, shoreline works, heat stress) are plausible; language remains conditional (“consistent with…”, “suggests…”), pending targeted studies.</w:t>
      </w:r>
    </w:p>
    <w:p w:rsidR="00F04907" w:rsidRPr="00BF4AA8" w:rsidRDefault="00F04907" w:rsidP="00F04907">
      <w:pPr>
        <w:pStyle w:val="NormalWeb"/>
        <w:jc w:val="both"/>
        <w:rPr>
          <w:rFonts w:ascii="Arial" w:hAnsi="Arial" w:cs="Arial"/>
          <w:sz w:val="22"/>
          <w:szCs w:val="22"/>
        </w:rPr>
      </w:pPr>
      <w:r w:rsidRPr="00BF4AA8">
        <w:rPr>
          <w:rStyle w:val="Strong"/>
          <w:rFonts w:ascii="Arial" w:eastAsiaTheme="majorEastAsia" w:hAnsi="Arial" w:cs="Arial"/>
          <w:sz w:val="22"/>
          <w:szCs w:val="22"/>
        </w:rPr>
        <w:t>Uncertainty reporting.</w:t>
      </w:r>
    </w:p>
    <w:p w:rsidR="00F04907" w:rsidRPr="00BF4AA8" w:rsidRDefault="00F04907" w:rsidP="00F04907">
      <w:pPr>
        <w:pStyle w:val="NormalWeb"/>
        <w:numPr>
          <w:ilvl w:val="0"/>
          <w:numId w:val="222"/>
        </w:numPr>
        <w:jc w:val="both"/>
        <w:rPr>
          <w:rFonts w:ascii="Arial" w:hAnsi="Arial" w:cs="Arial"/>
          <w:sz w:val="22"/>
          <w:szCs w:val="22"/>
        </w:rPr>
      </w:pPr>
      <w:r w:rsidRPr="00BF4AA8">
        <w:rPr>
          <w:rFonts w:ascii="Arial" w:hAnsi="Arial" w:cs="Arial"/>
          <w:sz w:val="22"/>
          <w:szCs w:val="22"/>
        </w:rPr>
        <w:t xml:space="preserve">Mapping: report class-level error where available (user’s/producer’s accuracy); otherwise qualify results as </w:t>
      </w:r>
      <w:r w:rsidRPr="00BF4AA8">
        <w:rPr>
          <w:rStyle w:val="Strong"/>
          <w:rFonts w:ascii="Arial" w:eastAsiaTheme="majorEastAsia" w:hAnsi="Arial" w:cs="Arial"/>
          <w:sz w:val="22"/>
          <w:szCs w:val="22"/>
        </w:rPr>
        <w:t>indicative</w:t>
      </w:r>
      <w:r w:rsidRPr="00BF4AA8">
        <w:rPr>
          <w:rFonts w:ascii="Arial" w:hAnsi="Arial" w:cs="Arial"/>
          <w:sz w:val="22"/>
          <w:szCs w:val="22"/>
        </w:rPr>
        <w:t xml:space="preserve"> and present rounded totals.</w:t>
      </w:r>
    </w:p>
    <w:p w:rsidR="00F04907" w:rsidRPr="00BF4AA8" w:rsidRDefault="00F04907" w:rsidP="00F04907">
      <w:pPr>
        <w:pStyle w:val="NormalWeb"/>
        <w:numPr>
          <w:ilvl w:val="0"/>
          <w:numId w:val="222"/>
        </w:numPr>
        <w:jc w:val="both"/>
        <w:rPr>
          <w:rFonts w:ascii="Arial" w:hAnsi="Arial" w:cs="Arial"/>
          <w:sz w:val="22"/>
          <w:szCs w:val="22"/>
        </w:rPr>
      </w:pPr>
      <w:r w:rsidRPr="00BF4AA8">
        <w:rPr>
          <w:rFonts w:ascii="Arial" w:hAnsi="Arial" w:cs="Arial"/>
          <w:sz w:val="22"/>
          <w:szCs w:val="22"/>
        </w:rPr>
        <w:t>Blue-carbon: provide wide ranges and flag the need for site MRV (plots/cores, hydrology) before any crediting or firm valuation.</w:t>
      </w:r>
    </w:p>
    <w:p w:rsidR="00F04907" w:rsidRPr="00BF4AA8" w:rsidRDefault="00F04907" w:rsidP="00F04907">
      <w:pPr>
        <w:pStyle w:val="NormalWeb"/>
        <w:numPr>
          <w:ilvl w:val="0"/>
          <w:numId w:val="222"/>
        </w:numPr>
        <w:jc w:val="both"/>
        <w:rPr>
          <w:rFonts w:ascii="Arial" w:hAnsi="Arial" w:cs="Arial"/>
          <w:sz w:val="22"/>
          <w:szCs w:val="22"/>
        </w:rPr>
      </w:pPr>
      <w:r w:rsidRPr="00BF4AA8">
        <w:rPr>
          <w:rFonts w:ascii="Arial" w:hAnsi="Arial" w:cs="Arial"/>
          <w:sz w:val="22"/>
          <w:szCs w:val="22"/>
        </w:rPr>
        <w:t>Biodiversity/bycatch: rely on documented events and conservative inference for risk pathways.</w:t>
      </w:r>
    </w:p>
    <w:p w:rsidR="00F04907" w:rsidRPr="00BF4AA8" w:rsidRDefault="00F04907" w:rsidP="00F04907">
      <w:pPr>
        <w:pStyle w:val="NormalWeb"/>
        <w:jc w:val="both"/>
        <w:rPr>
          <w:rFonts w:ascii="Arial" w:hAnsi="Arial" w:cs="Arial"/>
          <w:sz w:val="22"/>
          <w:szCs w:val="22"/>
        </w:rPr>
      </w:pPr>
      <w:r w:rsidRPr="00BF4AA8">
        <w:rPr>
          <w:rStyle w:val="Strong"/>
          <w:rFonts w:ascii="Arial" w:eastAsiaTheme="majorEastAsia" w:hAnsi="Arial" w:cs="Arial"/>
          <w:sz w:val="22"/>
          <w:szCs w:val="22"/>
        </w:rPr>
        <w:t>Reproducibility.</w:t>
      </w:r>
      <w:r w:rsidRPr="00BF4AA8">
        <w:rPr>
          <w:rFonts w:ascii="Arial" w:hAnsi="Arial" w:cs="Arial"/>
          <w:sz w:val="22"/>
          <w:szCs w:val="22"/>
        </w:rPr>
        <w:t xml:space="preserve"> Spatial layers and tabulations </w:t>
      </w:r>
      <w:proofErr w:type="gramStart"/>
      <w:r w:rsidRPr="00BF4AA8">
        <w:rPr>
          <w:rFonts w:ascii="Arial" w:hAnsi="Arial" w:cs="Arial"/>
          <w:sz w:val="22"/>
          <w:szCs w:val="22"/>
        </w:rPr>
        <w:t>are archived</w:t>
      </w:r>
      <w:proofErr w:type="gramEnd"/>
      <w:r w:rsidRPr="00BF4AA8">
        <w:rPr>
          <w:rFonts w:ascii="Arial" w:hAnsi="Arial" w:cs="Arial"/>
          <w:sz w:val="22"/>
          <w:szCs w:val="22"/>
        </w:rPr>
        <w:t xml:space="preserve"> with metadata on source, date, method, CRS, and any edits (smoothing, gap-filling). Summary scripts (where used) are versioned to regenerate province and hotspot tables/figures.</w:t>
      </w:r>
    </w:p>
    <w:p w:rsidR="00F04907" w:rsidRPr="00BF4AA8" w:rsidRDefault="00F04907" w:rsidP="00BF4AA8">
      <w:pPr>
        <w:pStyle w:val="Heading2"/>
        <w:keepNext/>
        <w:adjustRightInd w:val="0"/>
        <w:snapToGrid w:val="0"/>
        <w:spacing w:before="240" w:beforeAutospacing="0" w:after="120" w:afterAutospacing="0"/>
        <w:rPr>
          <w:rFonts w:ascii="Arial" w:hAnsi="Arial" w:cs="Arial"/>
          <w:color w:val="0070C0"/>
          <w:sz w:val="22"/>
          <w:szCs w:val="22"/>
        </w:rPr>
      </w:pPr>
      <w:bookmarkStart w:id="25" w:name="_Ref216612174"/>
      <w:bookmarkStart w:id="26" w:name="_Toc216681458"/>
      <w:r w:rsidRPr="00BF4AA8">
        <w:rPr>
          <w:rFonts w:ascii="Arial" w:hAnsi="Arial" w:cs="Arial"/>
          <w:color w:val="0070C0"/>
          <w:sz w:val="22"/>
          <w:szCs w:val="22"/>
        </w:rPr>
        <w:t>Annex 4-</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Annex_4-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5</w:t>
      </w:r>
      <w:r w:rsidRPr="00BF4AA8">
        <w:rPr>
          <w:rFonts w:ascii="Arial" w:hAnsi="Arial" w:cs="Arial"/>
          <w:color w:val="0070C0"/>
          <w:sz w:val="22"/>
          <w:szCs w:val="22"/>
        </w:rPr>
        <w:fldChar w:fldCharType="end"/>
      </w:r>
      <w:bookmarkEnd w:id="25"/>
      <w:r w:rsidRPr="00BF4AA8">
        <w:rPr>
          <w:rFonts w:ascii="Arial" w:hAnsi="Arial" w:cs="Arial"/>
          <w:color w:val="0070C0"/>
          <w:sz w:val="22"/>
          <w:szCs w:val="22"/>
        </w:rPr>
        <w:t xml:space="preserve"> Extended explanatory note on mangrove and wetland status and site pressures</w:t>
      </w:r>
      <w:bookmarkEnd w:id="26"/>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i/>
          <w:iCs/>
          <w:sz w:val="22"/>
          <w:szCs w:val="22"/>
        </w:rPr>
        <w:t>(Supporting Sections 4.2.1.1 and 4.2.1.2 of the main chapter)</w:t>
      </w:r>
    </w:p>
    <w:p w:rsidR="00F04907" w:rsidRPr="00BF4AA8" w:rsidRDefault="00F04907" w:rsidP="00F04907">
      <w:pPr>
        <w:jc w:val="both"/>
        <w:rPr>
          <w:rFonts w:ascii="Arial" w:hAnsi="Arial" w:cs="Arial"/>
          <w:b/>
          <w:bCs/>
          <w:sz w:val="22"/>
          <w:szCs w:val="22"/>
        </w:rPr>
      </w:pPr>
      <w:r w:rsidRPr="00BF4AA8">
        <w:rPr>
          <w:rFonts w:ascii="Arial" w:hAnsi="Arial" w:cs="Arial"/>
          <w:b/>
          <w:bCs/>
          <w:sz w:val="22"/>
          <w:szCs w:val="22"/>
        </w:rPr>
        <w:t>A) Mangrove extent datasets and historical change</w:t>
      </w:r>
    </w:p>
    <w:p w:rsidR="00F04907" w:rsidRPr="00BF4AA8" w:rsidRDefault="00F04907" w:rsidP="00F04907">
      <w:pPr>
        <w:pStyle w:val="NormalWeb"/>
        <w:jc w:val="both"/>
        <w:rPr>
          <w:rStyle w:val="Strong"/>
          <w:rFonts w:ascii="Arial" w:eastAsiaTheme="majorEastAsia" w:hAnsi="Arial" w:cs="Arial"/>
          <w:color w:val="0070C0"/>
          <w:sz w:val="22"/>
          <w:szCs w:val="22"/>
        </w:rPr>
      </w:pPr>
      <w:r w:rsidRPr="00BF4AA8">
        <w:rPr>
          <w:rStyle w:val="Strong"/>
          <w:rFonts w:ascii="Arial" w:hAnsi="Arial" w:cs="Arial"/>
          <w:b w:val="0"/>
          <w:bCs w:val="0"/>
          <w:color w:val="0070C0"/>
          <w:sz w:val="22"/>
          <w:szCs w:val="22"/>
        </w:rPr>
        <w:t>A1. Why national mangrove estimates differ</w:t>
      </w:r>
    </w:p>
    <w:p w:rsidR="00F04907" w:rsidRPr="00BF4AA8" w:rsidRDefault="00F04907" w:rsidP="00F04907">
      <w:pPr>
        <w:pStyle w:val="NormalWeb"/>
        <w:jc w:val="both"/>
        <w:rPr>
          <w:rFonts w:ascii="Arial" w:hAnsi="Arial" w:cs="Arial"/>
          <w:sz w:val="22"/>
          <w:szCs w:val="22"/>
        </w:rPr>
      </w:pPr>
      <w:r w:rsidRPr="00BF4AA8">
        <w:rPr>
          <w:rFonts w:ascii="Arial" w:hAnsi="Arial" w:cs="Arial"/>
          <w:sz w:val="22"/>
          <w:szCs w:val="22"/>
        </w:rPr>
        <w:t>National mangrove extent varies widely (≈45,000–63,000 ha) because estimates depend on (</w:t>
      </w:r>
      <w:proofErr w:type="spellStart"/>
      <w:r w:rsidRPr="00BF4AA8">
        <w:rPr>
          <w:rFonts w:ascii="Arial" w:hAnsi="Arial" w:cs="Arial"/>
          <w:sz w:val="22"/>
          <w:szCs w:val="22"/>
        </w:rPr>
        <w:t>i</w:t>
      </w:r>
      <w:proofErr w:type="spellEnd"/>
      <w:r w:rsidRPr="00BF4AA8">
        <w:rPr>
          <w:rFonts w:ascii="Arial" w:hAnsi="Arial" w:cs="Arial"/>
          <w:sz w:val="22"/>
          <w:szCs w:val="22"/>
        </w:rPr>
        <w:t xml:space="preserve">) the classification rules used to separate mangroves from other coastal woody vegetation, (ii) sensor resolution and cloud/tide conditions, and (iii) whether narrow fringing stands and mixed mangrove–scrub mosaics </w:t>
      </w:r>
      <w:proofErr w:type="gramStart"/>
      <w:r w:rsidRPr="00BF4AA8">
        <w:rPr>
          <w:rFonts w:ascii="Arial" w:hAnsi="Arial" w:cs="Arial"/>
          <w:sz w:val="22"/>
          <w:szCs w:val="22"/>
        </w:rPr>
        <w:t>are included</w:t>
      </w:r>
      <w:proofErr w:type="gramEnd"/>
      <w:r w:rsidRPr="00BF4AA8">
        <w:rPr>
          <w:rFonts w:ascii="Arial" w:hAnsi="Arial" w:cs="Arial"/>
          <w:sz w:val="22"/>
          <w:szCs w:val="22"/>
        </w:rPr>
        <w:t xml:space="preserve">. Despite these differences, all sources agree that mangroves </w:t>
      </w:r>
      <w:proofErr w:type="gramStart"/>
      <w:r w:rsidRPr="00BF4AA8">
        <w:rPr>
          <w:rFonts w:ascii="Arial" w:hAnsi="Arial" w:cs="Arial"/>
          <w:sz w:val="22"/>
          <w:szCs w:val="22"/>
        </w:rPr>
        <w:t>are concentrated</w:t>
      </w:r>
      <w:proofErr w:type="gramEnd"/>
      <w:r w:rsidRPr="00BF4AA8">
        <w:rPr>
          <w:rFonts w:ascii="Arial" w:hAnsi="Arial" w:cs="Arial"/>
          <w:sz w:val="22"/>
          <w:szCs w:val="22"/>
        </w:rPr>
        <w:t xml:space="preserve"> in </w:t>
      </w:r>
      <w:r w:rsidRPr="00BF4AA8">
        <w:rPr>
          <w:rStyle w:val="Strong"/>
          <w:rFonts w:ascii="Arial" w:hAnsi="Arial" w:cs="Arial"/>
          <w:sz w:val="22"/>
          <w:szCs w:val="22"/>
        </w:rPr>
        <w:t>Koh Kong</w:t>
      </w:r>
      <w:r w:rsidRPr="00BF4AA8">
        <w:rPr>
          <w:rFonts w:ascii="Arial" w:hAnsi="Arial" w:cs="Arial"/>
          <w:sz w:val="22"/>
          <w:szCs w:val="22"/>
        </w:rPr>
        <w:t xml:space="preserve">, with smaller estuarine belts in </w:t>
      </w:r>
      <w:proofErr w:type="spellStart"/>
      <w:r w:rsidRPr="00BF4AA8">
        <w:rPr>
          <w:rStyle w:val="Strong"/>
          <w:rFonts w:ascii="Arial" w:hAnsi="Arial" w:cs="Arial"/>
          <w:sz w:val="22"/>
          <w:szCs w:val="22"/>
        </w:rPr>
        <w:t>Kampot</w:t>
      </w:r>
      <w:proofErr w:type="spellEnd"/>
      <w:r w:rsidRPr="00BF4AA8">
        <w:rPr>
          <w:rStyle w:val="Strong"/>
          <w:rFonts w:ascii="Arial" w:hAnsi="Arial" w:cs="Arial"/>
          <w:sz w:val="22"/>
          <w:szCs w:val="22"/>
        </w:rPr>
        <w:t>–Preah Sihanouk</w:t>
      </w:r>
      <w:r w:rsidRPr="00BF4AA8">
        <w:rPr>
          <w:rFonts w:ascii="Arial" w:hAnsi="Arial" w:cs="Arial"/>
          <w:sz w:val="22"/>
          <w:szCs w:val="22"/>
        </w:rPr>
        <w:t xml:space="preserve"> and minor patches in </w:t>
      </w:r>
      <w:proofErr w:type="spellStart"/>
      <w:r w:rsidRPr="00BF4AA8">
        <w:rPr>
          <w:rStyle w:val="Strong"/>
          <w:rFonts w:ascii="Arial" w:hAnsi="Arial" w:cs="Arial"/>
          <w:sz w:val="22"/>
          <w:szCs w:val="22"/>
        </w:rPr>
        <w:t>Kep</w:t>
      </w:r>
      <w:proofErr w:type="spellEnd"/>
      <w:r w:rsidRPr="00BF4AA8">
        <w:rPr>
          <w:rFonts w:ascii="Arial" w:hAnsi="Arial" w:cs="Arial"/>
          <w:sz w:val="22"/>
          <w:szCs w:val="22"/>
        </w:rPr>
        <w:t xml:space="preserve">. Dominant genera commonly reported include </w:t>
      </w:r>
      <w:r w:rsidRPr="00BF4AA8">
        <w:rPr>
          <w:rStyle w:val="Emphasis"/>
          <w:rFonts w:ascii="Arial" w:hAnsi="Arial" w:cs="Arial"/>
          <w:sz w:val="22"/>
          <w:szCs w:val="22"/>
        </w:rPr>
        <w:t>Rhizophora</w:t>
      </w:r>
      <w:r w:rsidRPr="00BF4AA8">
        <w:rPr>
          <w:rFonts w:ascii="Arial" w:hAnsi="Arial" w:cs="Arial"/>
          <w:sz w:val="22"/>
          <w:szCs w:val="22"/>
        </w:rPr>
        <w:t xml:space="preserve">, </w:t>
      </w:r>
      <w:proofErr w:type="spellStart"/>
      <w:r w:rsidRPr="00BF4AA8">
        <w:rPr>
          <w:rStyle w:val="Emphasis"/>
          <w:rFonts w:ascii="Arial" w:hAnsi="Arial" w:cs="Arial"/>
          <w:sz w:val="22"/>
          <w:szCs w:val="22"/>
        </w:rPr>
        <w:t>Avicennia</w:t>
      </w:r>
      <w:proofErr w:type="spellEnd"/>
      <w:r w:rsidRPr="00BF4AA8">
        <w:rPr>
          <w:rFonts w:ascii="Arial" w:hAnsi="Arial" w:cs="Arial"/>
          <w:sz w:val="22"/>
          <w:szCs w:val="22"/>
        </w:rPr>
        <w:t xml:space="preserve"> and </w:t>
      </w:r>
      <w:proofErr w:type="spellStart"/>
      <w:r w:rsidRPr="00BF4AA8">
        <w:rPr>
          <w:rStyle w:val="Emphasis"/>
          <w:rFonts w:ascii="Arial" w:hAnsi="Arial" w:cs="Arial"/>
          <w:sz w:val="22"/>
          <w:szCs w:val="22"/>
        </w:rPr>
        <w:t>Sonneratia</w:t>
      </w:r>
      <w:proofErr w:type="spellEnd"/>
      <w:r w:rsidRPr="00BF4AA8">
        <w:rPr>
          <w:rFonts w:ascii="Arial" w:hAnsi="Arial" w:cs="Arial"/>
          <w:sz w:val="22"/>
          <w:szCs w:val="22"/>
        </w:rPr>
        <w:t>.</w:t>
      </w:r>
    </w:p>
    <w:p w:rsidR="00F04907" w:rsidRPr="00BF4AA8" w:rsidRDefault="00F04907" w:rsidP="00F04907">
      <w:pPr>
        <w:pStyle w:val="NormalWeb"/>
        <w:jc w:val="both"/>
        <w:rPr>
          <w:rStyle w:val="Strong"/>
          <w:rFonts w:ascii="Arial" w:eastAsiaTheme="majorEastAsia" w:hAnsi="Arial" w:cs="Arial"/>
          <w:color w:val="0070C0"/>
          <w:sz w:val="22"/>
          <w:szCs w:val="22"/>
        </w:rPr>
      </w:pPr>
      <w:r w:rsidRPr="00BF4AA8">
        <w:rPr>
          <w:rStyle w:val="Strong"/>
          <w:rFonts w:ascii="Arial" w:hAnsi="Arial" w:cs="Arial"/>
          <w:b w:val="0"/>
          <w:bCs w:val="0"/>
          <w:color w:val="0070C0"/>
          <w:sz w:val="22"/>
          <w:szCs w:val="22"/>
        </w:rPr>
        <w:t>A2. Historic decline (NSOC baseline) and likely drivers</w:t>
      </w:r>
    </w:p>
    <w:p w:rsidR="00F04907" w:rsidRPr="00BF4AA8" w:rsidRDefault="00F04907" w:rsidP="00F04907">
      <w:pPr>
        <w:pStyle w:val="NormalWeb"/>
        <w:jc w:val="both"/>
        <w:rPr>
          <w:rFonts w:ascii="Arial" w:hAnsi="Arial" w:cs="Arial"/>
          <w:sz w:val="22"/>
          <w:szCs w:val="22"/>
        </w:rPr>
      </w:pPr>
      <w:r w:rsidRPr="00BF4AA8">
        <w:rPr>
          <w:rFonts w:ascii="Arial" w:hAnsi="Arial" w:cs="Arial"/>
          <w:sz w:val="22"/>
          <w:szCs w:val="22"/>
        </w:rPr>
        <w:t xml:space="preserve">Historic statistics compiled in NSOC 2018 indicate that Cambodia’s coastal mangroves declined from </w:t>
      </w:r>
      <w:r w:rsidRPr="00BF4AA8">
        <w:rPr>
          <w:rStyle w:val="Strong"/>
          <w:rFonts w:ascii="Arial" w:hAnsi="Arial" w:cs="Arial"/>
          <w:sz w:val="22"/>
          <w:szCs w:val="22"/>
        </w:rPr>
        <w:t>63,041 ha (1997)</w:t>
      </w:r>
      <w:r w:rsidRPr="00BF4AA8">
        <w:rPr>
          <w:rFonts w:ascii="Arial" w:hAnsi="Arial" w:cs="Arial"/>
          <w:sz w:val="22"/>
          <w:szCs w:val="22"/>
        </w:rPr>
        <w:t xml:space="preserve"> to </w:t>
      </w:r>
      <w:r w:rsidRPr="00BF4AA8">
        <w:rPr>
          <w:rStyle w:val="Strong"/>
          <w:rFonts w:ascii="Arial" w:hAnsi="Arial" w:cs="Arial"/>
          <w:sz w:val="22"/>
          <w:szCs w:val="22"/>
        </w:rPr>
        <w:t>50,860 ha (2011)</w:t>
      </w:r>
      <w:r w:rsidRPr="00BF4AA8">
        <w:rPr>
          <w:rFonts w:ascii="Arial" w:hAnsi="Arial" w:cs="Arial"/>
          <w:sz w:val="22"/>
          <w:szCs w:val="22"/>
        </w:rPr>
        <w:t xml:space="preserve">—a net loss of </w:t>
      </w:r>
      <w:r w:rsidRPr="00BF4AA8">
        <w:rPr>
          <w:rStyle w:val="Strong"/>
          <w:rFonts w:ascii="Arial" w:hAnsi="Arial" w:cs="Arial"/>
          <w:sz w:val="22"/>
          <w:szCs w:val="22"/>
        </w:rPr>
        <w:t>12,181 ha</w:t>
      </w:r>
      <w:r w:rsidRPr="00BF4AA8">
        <w:rPr>
          <w:rFonts w:ascii="Arial" w:hAnsi="Arial" w:cs="Arial"/>
          <w:sz w:val="22"/>
          <w:szCs w:val="22"/>
        </w:rPr>
        <w:t xml:space="preserve"> over 14 years (≈</w:t>
      </w:r>
      <w:r w:rsidRPr="00BF4AA8">
        <w:rPr>
          <w:rStyle w:val="Strong"/>
          <w:rFonts w:ascii="Arial" w:hAnsi="Arial" w:cs="Arial"/>
          <w:sz w:val="22"/>
          <w:szCs w:val="22"/>
        </w:rPr>
        <w:t>−870 ha/year</w:t>
      </w:r>
      <w:r w:rsidRPr="00BF4AA8">
        <w:rPr>
          <w:rFonts w:ascii="Arial" w:hAnsi="Arial" w:cs="Arial"/>
          <w:sz w:val="22"/>
          <w:szCs w:val="22"/>
        </w:rPr>
        <w:t xml:space="preserve">; </w:t>
      </w:r>
      <w:r w:rsidRPr="00BF4AA8">
        <w:rPr>
          <w:rStyle w:val="Strong"/>
          <w:rFonts w:ascii="Arial" w:hAnsi="Arial" w:cs="Arial"/>
          <w:sz w:val="22"/>
          <w:szCs w:val="22"/>
        </w:rPr>
        <w:t>−19.3%</w:t>
      </w:r>
      <w:r w:rsidRPr="00BF4AA8">
        <w:rPr>
          <w:rFonts w:ascii="Arial" w:hAnsi="Arial" w:cs="Arial"/>
          <w:sz w:val="22"/>
          <w:szCs w:val="22"/>
        </w:rPr>
        <w:t xml:space="preserve"> from the 1997 baseline). Spatially, the steepest contractions </w:t>
      </w:r>
      <w:proofErr w:type="gramStart"/>
      <w:r w:rsidRPr="00BF4AA8">
        <w:rPr>
          <w:rFonts w:ascii="Arial" w:hAnsi="Arial" w:cs="Arial"/>
          <w:sz w:val="22"/>
          <w:szCs w:val="22"/>
        </w:rPr>
        <w:t>were reported</w:t>
      </w:r>
      <w:proofErr w:type="gramEnd"/>
      <w:r w:rsidRPr="00BF4AA8">
        <w:rPr>
          <w:rFonts w:ascii="Arial" w:hAnsi="Arial" w:cs="Arial"/>
          <w:sz w:val="22"/>
          <w:szCs w:val="22"/>
        </w:rPr>
        <w:t xml:space="preserve"> in the </w:t>
      </w:r>
      <w:proofErr w:type="spellStart"/>
      <w:r w:rsidRPr="00BF4AA8">
        <w:rPr>
          <w:rStyle w:val="Strong"/>
          <w:rFonts w:ascii="Arial" w:hAnsi="Arial" w:cs="Arial"/>
          <w:sz w:val="22"/>
          <w:szCs w:val="22"/>
        </w:rPr>
        <w:t>Botum</w:t>
      </w:r>
      <w:proofErr w:type="spellEnd"/>
      <w:r w:rsidRPr="00BF4AA8">
        <w:rPr>
          <w:rStyle w:val="Strong"/>
          <w:rFonts w:ascii="Arial" w:hAnsi="Arial" w:cs="Arial"/>
          <w:sz w:val="22"/>
          <w:szCs w:val="22"/>
        </w:rPr>
        <w:t xml:space="preserve"> </w:t>
      </w:r>
      <w:proofErr w:type="spellStart"/>
      <w:r w:rsidRPr="00BF4AA8">
        <w:rPr>
          <w:rStyle w:val="Strong"/>
          <w:rFonts w:ascii="Arial" w:hAnsi="Arial" w:cs="Arial"/>
          <w:sz w:val="22"/>
          <w:szCs w:val="22"/>
        </w:rPr>
        <w:t>Sakor</w:t>
      </w:r>
      <w:proofErr w:type="spellEnd"/>
      <w:r w:rsidRPr="00BF4AA8">
        <w:rPr>
          <w:rStyle w:val="Strong"/>
          <w:rFonts w:ascii="Arial" w:hAnsi="Arial" w:cs="Arial"/>
          <w:sz w:val="22"/>
          <w:szCs w:val="22"/>
        </w:rPr>
        <w:t>/Koh Kong complex</w:t>
      </w:r>
      <w:r w:rsidRPr="00BF4AA8">
        <w:rPr>
          <w:rFonts w:ascii="Arial" w:hAnsi="Arial" w:cs="Arial"/>
          <w:sz w:val="22"/>
          <w:szCs w:val="22"/>
        </w:rPr>
        <w:t xml:space="preserve"> and </w:t>
      </w:r>
      <w:r w:rsidRPr="00BF4AA8">
        <w:rPr>
          <w:rStyle w:val="Strong"/>
          <w:rFonts w:ascii="Arial" w:hAnsi="Arial" w:cs="Arial"/>
          <w:sz w:val="22"/>
          <w:szCs w:val="22"/>
        </w:rPr>
        <w:t>Kampong Trach (</w:t>
      </w:r>
      <w:proofErr w:type="spellStart"/>
      <w:r w:rsidRPr="00BF4AA8">
        <w:rPr>
          <w:rStyle w:val="Strong"/>
          <w:rFonts w:ascii="Arial" w:hAnsi="Arial" w:cs="Arial"/>
          <w:sz w:val="22"/>
          <w:szCs w:val="22"/>
        </w:rPr>
        <w:t>Kampot</w:t>
      </w:r>
      <w:proofErr w:type="spellEnd"/>
      <w:r w:rsidRPr="00BF4AA8">
        <w:rPr>
          <w:rStyle w:val="Strong"/>
          <w:rFonts w:ascii="Arial" w:hAnsi="Arial" w:cs="Arial"/>
          <w:sz w:val="22"/>
          <w:szCs w:val="22"/>
        </w:rPr>
        <w:t>)</w:t>
      </w:r>
      <w:r w:rsidRPr="00BF4AA8">
        <w:rPr>
          <w:rFonts w:ascii="Arial" w:hAnsi="Arial" w:cs="Arial"/>
          <w:sz w:val="22"/>
          <w:szCs w:val="22"/>
        </w:rPr>
        <w:t xml:space="preserve">, which align with known fronts of aquaculture/estate expansion, settlement growth and charcoal production during the late-1990s to mid-2000s period (PEMSEA &amp; </w:t>
      </w:r>
      <w:proofErr w:type="spellStart"/>
      <w:r w:rsidRPr="00BF4AA8">
        <w:rPr>
          <w:rFonts w:ascii="Arial" w:hAnsi="Arial" w:cs="Arial"/>
          <w:sz w:val="22"/>
          <w:szCs w:val="22"/>
        </w:rPr>
        <w:t>MoE</w:t>
      </w:r>
      <w:proofErr w:type="spellEnd"/>
      <w:r w:rsidRPr="00BF4AA8">
        <w:rPr>
          <w:rFonts w:ascii="Arial" w:hAnsi="Arial" w:cs="Arial"/>
          <w:sz w:val="22"/>
          <w:szCs w:val="22"/>
        </w:rPr>
        <w:t xml:space="preserve">, 2019). This historic interval is important for interpretation: it suggests that a large share of national mangrove loss occurred during earlier development phases, and that present-day loss rates should </w:t>
      </w:r>
      <w:proofErr w:type="gramStart"/>
      <w:r w:rsidRPr="00BF4AA8">
        <w:rPr>
          <w:rFonts w:ascii="Arial" w:hAnsi="Arial" w:cs="Arial"/>
          <w:sz w:val="22"/>
          <w:szCs w:val="22"/>
        </w:rPr>
        <w:t>be interpreted</w:t>
      </w:r>
      <w:proofErr w:type="gramEnd"/>
      <w:r w:rsidRPr="00BF4AA8">
        <w:rPr>
          <w:rFonts w:ascii="Arial" w:hAnsi="Arial" w:cs="Arial"/>
          <w:sz w:val="22"/>
          <w:szCs w:val="22"/>
        </w:rPr>
        <w:t xml:space="preserve"> against this longer-term trajectory.</w:t>
      </w:r>
    </w:p>
    <w:p w:rsidR="00F04907" w:rsidRPr="00BF4AA8" w:rsidRDefault="00F04907" w:rsidP="00F04907">
      <w:pPr>
        <w:pStyle w:val="NormalWeb"/>
        <w:jc w:val="both"/>
        <w:rPr>
          <w:rStyle w:val="Strong"/>
          <w:rFonts w:ascii="Arial" w:eastAsiaTheme="majorEastAsia" w:hAnsi="Arial" w:cs="Arial"/>
          <w:color w:val="0070C0"/>
          <w:sz w:val="22"/>
          <w:szCs w:val="22"/>
        </w:rPr>
      </w:pPr>
      <w:r w:rsidRPr="00BF4AA8">
        <w:rPr>
          <w:rStyle w:val="Strong"/>
          <w:rFonts w:ascii="Arial" w:hAnsi="Arial" w:cs="Arial"/>
          <w:b w:val="0"/>
          <w:bCs w:val="0"/>
          <w:color w:val="0070C0"/>
          <w:sz w:val="22"/>
          <w:szCs w:val="22"/>
        </w:rPr>
        <w:t>A3. Recent mapping (</w:t>
      </w:r>
      <w:proofErr w:type="spellStart"/>
      <w:r w:rsidRPr="00BF4AA8">
        <w:rPr>
          <w:rStyle w:val="Strong"/>
          <w:rFonts w:ascii="Arial" w:hAnsi="Arial" w:cs="Arial"/>
          <w:b w:val="0"/>
          <w:bCs w:val="0"/>
          <w:color w:val="0070C0"/>
          <w:sz w:val="22"/>
          <w:szCs w:val="22"/>
        </w:rPr>
        <w:t>MoE</w:t>
      </w:r>
      <w:proofErr w:type="spellEnd"/>
      <w:r w:rsidRPr="00BF4AA8">
        <w:rPr>
          <w:rStyle w:val="Strong"/>
          <w:rFonts w:ascii="Arial" w:hAnsi="Arial" w:cs="Arial"/>
          <w:b w:val="0"/>
          <w:bCs w:val="0"/>
          <w:color w:val="0070C0"/>
          <w:sz w:val="22"/>
          <w:szCs w:val="22"/>
        </w:rPr>
        <w:t xml:space="preserve"> Mangrove Assessment 2014–2025) and provincial pattern</w:t>
      </w:r>
    </w:p>
    <w:p w:rsidR="00F04907" w:rsidRPr="00BF4AA8" w:rsidRDefault="00F04907" w:rsidP="00F04907">
      <w:pPr>
        <w:pStyle w:val="NormalWeb"/>
        <w:jc w:val="both"/>
        <w:rPr>
          <w:rFonts w:ascii="Arial" w:hAnsi="Arial" w:cs="Arial"/>
          <w:sz w:val="22"/>
          <w:szCs w:val="22"/>
        </w:rPr>
      </w:pPr>
      <w:r w:rsidRPr="00BF4AA8">
        <w:rPr>
          <w:rFonts w:ascii="Arial" w:hAnsi="Arial" w:cs="Arial"/>
          <w:sz w:val="22"/>
          <w:szCs w:val="22"/>
        </w:rPr>
        <w:t xml:space="preserve">According to </w:t>
      </w:r>
      <w:proofErr w:type="spellStart"/>
      <w:r w:rsidRPr="00BF4AA8">
        <w:rPr>
          <w:rFonts w:ascii="Arial" w:hAnsi="Arial" w:cs="Arial"/>
          <w:sz w:val="22"/>
          <w:szCs w:val="22"/>
        </w:rPr>
        <w:t>MoE’s</w:t>
      </w:r>
      <w:proofErr w:type="spellEnd"/>
      <w:r w:rsidRPr="00BF4AA8">
        <w:rPr>
          <w:rFonts w:ascii="Arial" w:hAnsi="Arial" w:cs="Arial"/>
          <w:sz w:val="22"/>
          <w:szCs w:val="22"/>
        </w:rPr>
        <w:t xml:space="preserve"> ongoing Mangrove Assessment (Sentinel-2, 10 m), national mangrove extent declined from </w:t>
      </w:r>
      <w:r w:rsidRPr="00BF4AA8">
        <w:rPr>
          <w:rStyle w:val="Strong"/>
          <w:rFonts w:ascii="Arial" w:hAnsi="Arial" w:cs="Arial"/>
          <w:sz w:val="22"/>
          <w:szCs w:val="22"/>
        </w:rPr>
        <w:t>58,866 ha (2014)</w:t>
      </w:r>
      <w:r w:rsidRPr="00BF4AA8">
        <w:rPr>
          <w:rFonts w:ascii="Arial" w:hAnsi="Arial" w:cs="Arial"/>
          <w:sz w:val="22"/>
          <w:szCs w:val="22"/>
        </w:rPr>
        <w:t xml:space="preserve"> to </w:t>
      </w:r>
      <w:r w:rsidRPr="00BF4AA8">
        <w:rPr>
          <w:rStyle w:val="Strong"/>
          <w:rFonts w:ascii="Arial" w:hAnsi="Arial" w:cs="Arial"/>
          <w:sz w:val="22"/>
          <w:szCs w:val="22"/>
        </w:rPr>
        <w:t>55,355 ha (2025)</w:t>
      </w:r>
      <w:r w:rsidRPr="00BF4AA8">
        <w:rPr>
          <w:rFonts w:ascii="Arial" w:hAnsi="Arial" w:cs="Arial"/>
          <w:sz w:val="22"/>
          <w:szCs w:val="22"/>
        </w:rPr>
        <w:t xml:space="preserve">—a net loss of </w:t>
      </w:r>
      <w:r w:rsidRPr="00BF4AA8">
        <w:rPr>
          <w:rStyle w:val="Strong"/>
          <w:rFonts w:ascii="Arial" w:hAnsi="Arial" w:cs="Arial"/>
          <w:sz w:val="22"/>
          <w:szCs w:val="22"/>
        </w:rPr>
        <w:t>3,510 ha</w:t>
      </w:r>
      <w:r w:rsidRPr="00BF4AA8">
        <w:rPr>
          <w:rFonts w:ascii="Arial" w:hAnsi="Arial" w:cs="Arial"/>
          <w:sz w:val="22"/>
          <w:szCs w:val="22"/>
        </w:rPr>
        <w:t xml:space="preserve"> across 11 years (≈</w:t>
      </w:r>
      <w:r w:rsidRPr="00BF4AA8">
        <w:rPr>
          <w:rStyle w:val="Strong"/>
          <w:rFonts w:ascii="Arial" w:hAnsi="Arial" w:cs="Arial"/>
          <w:sz w:val="22"/>
          <w:szCs w:val="22"/>
        </w:rPr>
        <w:t>−319 ha/year</w:t>
      </w:r>
      <w:r w:rsidRPr="00BF4AA8">
        <w:rPr>
          <w:rFonts w:ascii="Arial" w:hAnsi="Arial" w:cs="Arial"/>
          <w:sz w:val="22"/>
          <w:szCs w:val="22"/>
        </w:rPr>
        <w:t xml:space="preserve">; </w:t>
      </w:r>
      <w:r w:rsidRPr="00BF4AA8">
        <w:rPr>
          <w:rStyle w:val="Strong"/>
          <w:rFonts w:ascii="Arial" w:hAnsi="Arial" w:cs="Arial"/>
          <w:sz w:val="22"/>
          <w:szCs w:val="22"/>
        </w:rPr>
        <w:t>−6.0%</w:t>
      </w:r>
      <w:r w:rsidRPr="00BF4AA8">
        <w:rPr>
          <w:rFonts w:ascii="Arial" w:hAnsi="Arial" w:cs="Arial"/>
          <w:sz w:val="22"/>
          <w:szCs w:val="22"/>
        </w:rPr>
        <w:t xml:space="preserve"> relative to the 2014 baseline). Losses are uneven: </w:t>
      </w:r>
      <w:r w:rsidRPr="00BF4AA8">
        <w:rPr>
          <w:rStyle w:val="Strong"/>
          <w:rFonts w:ascii="Arial" w:hAnsi="Arial" w:cs="Arial"/>
          <w:sz w:val="22"/>
          <w:szCs w:val="22"/>
        </w:rPr>
        <w:t>Koh Kong accounts for ~2,259 ha (≈64%)</w:t>
      </w:r>
      <w:r w:rsidRPr="00BF4AA8">
        <w:rPr>
          <w:rFonts w:ascii="Arial" w:hAnsi="Arial" w:cs="Arial"/>
          <w:sz w:val="22"/>
          <w:szCs w:val="22"/>
        </w:rPr>
        <w:t xml:space="preserve"> of total loss and </w:t>
      </w:r>
      <w:r w:rsidRPr="00BF4AA8">
        <w:rPr>
          <w:rStyle w:val="Strong"/>
          <w:rFonts w:ascii="Arial" w:hAnsi="Arial" w:cs="Arial"/>
          <w:sz w:val="22"/>
          <w:szCs w:val="22"/>
        </w:rPr>
        <w:t>Preah Sihanouk ~383 ha (≈11%)</w:t>
      </w:r>
      <w:r w:rsidRPr="00BF4AA8">
        <w:rPr>
          <w:rFonts w:ascii="Arial" w:hAnsi="Arial" w:cs="Arial"/>
          <w:sz w:val="22"/>
          <w:szCs w:val="22"/>
        </w:rPr>
        <w:t xml:space="preserve">, with remaining losses dispersed across </w:t>
      </w:r>
      <w:proofErr w:type="spellStart"/>
      <w:r w:rsidRPr="00BF4AA8">
        <w:rPr>
          <w:rStyle w:val="Strong"/>
          <w:rFonts w:ascii="Arial" w:hAnsi="Arial" w:cs="Arial"/>
          <w:sz w:val="22"/>
          <w:szCs w:val="22"/>
        </w:rPr>
        <w:t>Kampot</w:t>
      </w:r>
      <w:proofErr w:type="spellEnd"/>
      <w:r w:rsidRPr="00BF4AA8">
        <w:rPr>
          <w:rStyle w:val="Strong"/>
          <w:rFonts w:ascii="Arial" w:hAnsi="Arial" w:cs="Arial"/>
          <w:sz w:val="22"/>
          <w:szCs w:val="22"/>
        </w:rPr>
        <w:t xml:space="preserve"> and </w:t>
      </w:r>
      <w:proofErr w:type="spellStart"/>
      <w:r w:rsidRPr="00BF4AA8">
        <w:rPr>
          <w:rStyle w:val="Strong"/>
          <w:rFonts w:ascii="Arial" w:hAnsi="Arial" w:cs="Arial"/>
          <w:sz w:val="22"/>
          <w:szCs w:val="22"/>
        </w:rPr>
        <w:t>Kep</w:t>
      </w:r>
      <w:proofErr w:type="spellEnd"/>
      <w:r w:rsidRPr="00BF4AA8">
        <w:rPr>
          <w:rFonts w:ascii="Arial" w:hAnsi="Arial" w:cs="Arial"/>
          <w:sz w:val="22"/>
          <w:szCs w:val="22"/>
        </w:rPr>
        <w:t xml:space="preserve"> as smaller, discontinuous parcels (</w:t>
      </w:r>
      <w:proofErr w:type="spellStart"/>
      <w:r w:rsidRPr="00BF4AA8">
        <w:rPr>
          <w:rFonts w:ascii="Arial" w:hAnsi="Arial" w:cs="Arial"/>
          <w:sz w:val="22"/>
          <w:szCs w:val="22"/>
        </w:rPr>
        <w:t>MoE</w:t>
      </w:r>
      <w:proofErr w:type="spellEnd"/>
      <w:r w:rsidRPr="00BF4AA8">
        <w:rPr>
          <w:rFonts w:ascii="Arial" w:hAnsi="Arial" w:cs="Arial"/>
          <w:sz w:val="22"/>
          <w:szCs w:val="22"/>
        </w:rPr>
        <w:t xml:space="preserve">, 2025). The lower absolute rate compared with the 1997–2011 interval may reflect improved protection and co-management in some areas, but it may also partly reflect differences in methods and mapping thresholds; therefore, extent trends should </w:t>
      </w:r>
      <w:proofErr w:type="gramStart"/>
      <w:r w:rsidRPr="00BF4AA8">
        <w:rPr>
          <w:rFonts w:ascii="Arial" w:hAnsi="Arial" w:cs="Arial"/>
          <w:sz w:val="22"/>
          <w:szCs w:val="22"/>
        </w:rPr>
        <w:t>be triangulated</w:t>
      </w:r>
      <w:proofErr w:type="gramEnd"/>
      <w:r w:rsidRPr="00BF4AA8">
        <w:rPr>
          <w:rFonts w:ascii="Arial" w:hAnsi="Arial" w:cs="Arial"/>
          <w:sz w:val="22"/>
          <w:szCs w:val="22"/>
        </w:rPr>
        <w:t xml:space="preserve"> with field evidence on fragmentation, hydrologic change, and land conversion.</w:t>
      </w:r>
    </w:p>
    <w:p w:rsidR="00F04907" w:rsidRPr="00BF4AA8" w:rsidRDefault="00F04907" w:rsidP="00F04907">
      <w:pPr>
        <w:pStyle w:val="NormalWeb"/>
        <w:jc w:val="both"/>
        <w:rPr>
          <w:rStyle w:val="Strong"/>
          <w:rFonts w:ascii="Arial" w:eastAsiaTheme="majorEastAsia" w:hAnsi="Arial" w:cs="Arial"/>
          <w:color w:val="0070C0"/>
          <w:sz w:val="22"/>
          <w:szCs w:val="22"/>
        </w:rPr>
      </w:pPr>
      <w:r w:rsidRPr="00BF4AA8">
        <w:rPr>
          <w:rStyle w:val="Strong"/>
          <w:rFonts w:ascii="Arial" w:hAnsi="Arial" w:cs="Arial"/>
          <w:b w:val="0"/>
          <w:bCs w:val="0"/>
          <w:color w:val="0070C0"/>
          <w:sz w:val="22"/>
          <w:szCs w:val="22"/>
        </w:rPr>
        <w:t xml:space="preserve">A4. Interpretation </w:t>
      </w:r>
      <w:proofErr w:type="gramStart"/>
      <w:r w:rsidRPr="00BF4AA8">
        <w:rPr>
          <w:rStyle w:val="Strong"/>
          <w:rFonts w:ascii="Arial" w:hAnsi="Arial" w:cs="Arial"/>
          <w:b w:val="0"/>
          <w:bCs w:val="0"/>
          <w:color w:val="0070C0"/>
          <w:sz w:val="22"/>
          <w:szCs w:val="22"/>
        </w:rPr>
        <w:t>note</w:t>
      </w:r>
      <w:proofErr w:type="gramEnd"/>
    </w:p>
    <w:p w:rsidR="00F04907" w:rsidRPr="00BF4AA8" w:rsidRDefault="00F04907" w:rsidP="00F04907">
      <w:pPr>
        <w:pStyle w:val="NormalWeb"/>
        <w:jc w:val="both"/>
        <w:rPr>
          <w:rFonts w:ascii="Arial" w:hAnsi="Arial" w:cs="Arial"/>
          <w:sz w:val="22"/>
          <w:szCs w:val="22"/>
        </w:rPr>
      </w:pPr>
      <w:r w:rsidRPr="00BF4AA8">
        <w:rPr>
          <w:rFonts w:ascii="Arial" w:hAnsi="Arial" w:cs="Arial"/>
          <w:sz w:val="22"/>
          <w:szCs w:val="22"/>
        </w:rPr>
        <w:t>For the main chapter, it is best to report (</w:t>
      </w:r>
      <w:proofErr w:type="spellStart"/>
      <w:r w:rsidRPr="00BF4AA8">
        <w:rPr>
          <w:rFonts w:ascii="Arial" w:hAnsi="Arial" w:cs="Arial"/>
          <w:sz w:val="22"/>
          <w:szCs w:val="22"/>
        </w:rPr>
        <w:t>i</w:t>
      </w:r>
      <w:proofErr w:type="spellEnd"/>
      <w:r w:rsidRPr="00BF4AA8">
        <w:rPr>
          <w:rFonts w:ascii="Arial" w:hAnsi="Arial" w:cs="Arial"/>
          <w:sz w:val="22"/>
          <w:szCs w:val="22"/>
        </w:rPr>
        <w:t xml:space="preserve">) the </w:t>
      </w:r>
      <w:proofErr w:type="spellStart"/>
      <w:r w:rsidRPr="00BF4AA8">
        <w:rPr>
          <w:rFonts w:ascii="Arial" w:hAnsi="Arial" w:cs="Arial"/>
          <w:sz w:val="22"/>
          <w:szCs w:val="22"/>
        </w:rPr>
        <w:t>MoE</w:t>
      </w:r>
      <w:proofErr w:type="spellEnd"/>
      <w:r w:rsidRPr="00BF4AA8">
        <w:rPr>
          <w:rFonts w:ascii="Arial" w:hAnsi="Arial" w:cs="Arial"/>
          <w:sz w:val="22"/>
          <w:szCs w:val="22"/>
        </w:rPr>
        <w:t xml:space="preserve"> 2014–2025 trend as the most current national mapping signal, and (ii) the NSOC 1997–2011 trend as historical context. These two together show a long-term decline with evidence of slower recent net loss, while emphasizing that “extent” alone does not capture degradation from hydrologic disruption, pollution stress, or fragmentation.</w:t>
      </w:r>
    </w:p>
    <w:p w:rsidR="00F04907" w:rsidRPr="00BF4AA8" w:rsidRDefault="00F04907" w:rsidP="00F04907">
      <w:pPr>
        <w:jc w:val="both"/>
        <w:rPr>
          <w:rFonts w:ascii="Arial" w:hAnsi="Arial" w:cs="Arial"/>
          <w:b/>
          <w:bCs/>
          <w:sz w:val="22"/>
          <w:szCs w:val="22"/>
        </w:rPr>
      </w:pPr>
      <w:r w:rsidRPr="00BF4AA8">
        <w:rPr>
          <w:rFonts w:ascii="Arial" w:hAnsi="Arial" w:cs="Arial"/>
          <w:b/>
          <w:bCs/>
          <w:sz w:val="22"/>
          <w:szCs w:val="22"/>
        </w:rPr>
        <w:t>B) Coastal wetlands and estuarine systems (Ramsar complexes and livelihood dependence)</w:t>
      </w:r>
    </w:p>
    <w:p w:rsidR="00F04907" w:rsidRPr="00BF4AA8" w:rsidRDefault="00F04907" w:rsidP="00F04907">
      <w:pPr>
        <w:pStyle w:val="NormalWeb"/>
        <w:jc w:val="both"/>
        <w:rPr>
          <w:rStyle w:val="Strong"/>
          <w:rFonts w:ascii="Arial" w:eastAsiaTheme="majorEastAsia" w:hAnsi="Arial" w:cs="Arial"/>
          <w:color w:val="0070C0"/>
          <w:sz w:val="22"/>
          <w:szCs w:val="22"/>
        </w:rPr>
      </w:pPr>
      <w:r w:rsidRPr="00BF4AA8">
        <w:rPr>
          <w:rStyle w:val="Strong"/>
          <w:rFonts w:ascii="Arial" w:hAnsi="Arial" w:cs="Arial"/>
          <w:b w:val="0"/>
          <w:bCs w:val="0"/>
          <w:color w:val="0070C0"/>
          <w:sz w:val="22"/>
          <w:szCs w:val="22"/>
        </w:rPr>
        <w:t xml:space="preserve">B1. What </w:t>
      </w:r>
      <w:proofErr w:type="gramStart"/>
      <w:r w:rsidRPr="00BF4AA8">
        <w:rPr>
          <w:rStyle w:val="Strong"/>
          <w:rFonts w:ascii="Arial" w:hAnsi="Arial" w:cs="Arial"/>
          <w:b w:val="0"/>
          <w:bCs w:val="0"/>
          <w:color w:val="0070C0"/>
          <w:sz w:val="22"/>
          <w:szCs w:val="22"/>
        </w:rPr>
        <w:t>is included</w:t>
      </w:r>
      <w:proofErr w:type="gramEnd"/>
      <w:r w:rsidRPr="00BF4AA8">
        <w:rPr>
          <w:rStyle w:val="Strong"/>
          <w:rFonts w:ascii="Arial" w:hAnsi="Arial" w:cs="Arial"/>
          <w:b w:val="0"/>
          <w:bCs w:val="0"/>
          <w:color w:val="0070C0"/>
          <w:sz w:val="22"/>
          <w:szCs w:val="22"/>
        </w:rPr>
        <w:t xml:space="preserve"> as “coastal wetlands”</w:t>
      </w:r>
      <w:r w:rsidRPr="00BF4AA8">
        <w:rPr>
          <w:rStyle w:val="Strong"/>
          <w:rFonts w:ascii="Arial" w:eastAsiaTheme="majorEastAsia" w:hAnsi="Arial" w:cs="Arial"/>
          <w:color w:val="0070C0"/>
          <w:sz w:val="22"/>
          <w:szCs w:val="22"/>
        </w:rPr>
        <w:t xml:space="preserve"> </w:t>
      </w:r>
    </w:p>
    <w:p w:rsidR="00F04907" w:rsidRPr="00BF4AA8" w:rsidRDefault="00F04907" w:rsidP="00F04907">
      <w:pPr>
        <w:pStyle w:val="NormalWeb"/>
        <w:jc w:val="both"/>
        <w:rPr>
          <w:rFonts w:ascii="Arial" w:hAnsi="Arial" w:cs="Arial"/>
          <w:sz w:val="22"/>
          <w:szCs w:val="22"/>
        </w:rPr>
      </w:pPr>
      <w:r w:rsidRPr="00BF4AA8">
        <w:rPr>
          <w:rFonts w:ascii="Arial" w:hAnsi="Arial" w:cs="Arial"/>
          <w:sz w:val="22"/>
          <w:szCs w:val="22"/>
        </w:rPr>
        <w:t xml:space="preserve">Cambodia’s coastal wetlands include estuaries, tidal flats, mangrove-lined channels, brackish </w:t>
      </w:r>
      <w:proofErr w:type="gramStart"/>
      <w:r w:rsidRPr="00BF4AA8">
        <w:rPr>
          <w:rFonts w:ascii="Arial" w:hAnsi="Arial" w:cs="Arial"/>
          <w:sz w:val="22"/>
          <w:szCs w:val="22"/>
        </w:rPr>
        <w:t>lagoons</w:t>
      </w:r>
      <w:proofErr w:type="gramEnd"/>
      <w:r w:rsidRPr="00BF4AA8">
        <w:rPr>
          <w:rFonts w:ascii="Arial" w:hAnsi="Arial" w:cs="Arial"/>
          <w:sz w:val="22"/>
          <w:szCs w:val="22"/>
        </w:rPr>
        <w:t xml:space="preserve"> and associated floodplain mosaics. These systems provide core ecosystem services: filtering sediments and nutrients, buffering storm surges, supporting high nursery productivity for fisheries, and maintaining habitat for migratory waterbirds along the East Asian–Australasian Flyway.</w:t>
      </w:r>
    </w:p>
    <w:p w:rsidR="00F04907" w:rsidRPr="00BF4AA8" w:rsidRDefault="00F04907" w:rsidP="00F04907">
      <w:pPr>
        <w:pStyle w:val="NormalWeb"/>
        <w:jc w:val="both"/>
        <w:rPr>
          <w:rStyle w:val="Strong"/>
          <w:rFonts w:ascii="Arial" w:eastAsiaTheme="majorEastAsia" w:hAnsi="Arial" w:cs="Arial"/>
          <w:color w:val="0070C0"/>
          <w:sz w:val="22"/>
          <w:szCs w:val="22"/>
        </w:rPr>
      </w:pPr>
      <w:r w:rsidRPr="00BF4AA8">
        <w:rPr>
          <w:rStyle w:val="Strong"/>
          <w:rFonts w:ascii="Arial" w:hAnsi="Arial" w:cs="Arial"/>
          <w:b w:val="0"/>
          <w:bCs w:val="0"/>
          <w:color w:val="0070C0"/>
          <w:sz w:val="22"/>
          <w:szCs w:val="22"/>
        </w:rPr>
        <w:t xml:space="preserve">B2. </w:t>
      </w:r>
      <w:proofErr w:type="spellStart"/>
      <w:r w:rsidRPr="00BF4AA8">
        <w:rPr>
          <w:rStyle w:val="Strong"/>
          <w:rFonts w:ascii="Arial" w:hAnsi="Arial" w:cs="Arial"/>
          <w:b w:val="0"/>
          <w:bCs w:val="0"/>
          <w:color w:val="0070C0"/>
          <w:sz w:val="22"/>
          <w:szCs w:val="22"/>
        </w:rPr>
        <w:t>Peam</w:t>
      </w:r>
      <w:proofErr w:type="spellEnd"/>
      <w:r w:rsidRPr="00BF4AA8">
        <w:rPr>
          <w:rStyle w:val="Strong"/>
          <w:rFonts w:ascii="Arial" w:hAnsi="Arial" w:cs="Arial"/>
          <w:b w:val="0"/>
          <w:bCs w:val="0"/>
          <w:color w:val="0070C0"/>
          <w:sz w:val="22"/>
          <w:szCs w:val="22"/>
        </w:rPr>
        <w:t xml:space="preserve"> </w:t>
      </w:r>
      <w:proofErr w:type="spellStart"/>
      <w:r w:rsidRPr="00BF4AA8">
        <w:rPr>
          <w:rStyle w:val="Strong"/>
          <w:rFonts w:ascii="Arial" w:hAnsi="Arial" w:cs="Arial"/>
          <w:b w:val="0"/>
          <w:bCs w:val="0"/>
          <w:color w:val="0070C0"/>
          <w:sz w:val="22"/>
          <w:szCs w:val="22"/>
        </w:rPr>
        <w:t>Krasaop</w:t>
      </w:r>
      <w:proofErr w:type="spellEnd"/>
      <w:r w:rsidRPr="00BF4AA8">
        <w:rPr>
          <w:rStyle w:val="Strong"/>
          <w:rFonts w:ascii="Arial" w:hAnsi="Arial" w:cs="Arial"/>
          <w:b w:val="0"/>
          <w:bCs w:val="0"/>
          <w:color w:val="0070C0"/>
          <w:sz w:val="22"/>
          <w:szCs w:val="22"/>
        </w:rPr>
        <w:t xml:space="preserve">–Koh </w:t>
      </w:r>
      <w:proofErr w:type="spellStart"/>
      <w:r w:rsidRPr="00BF4AA8">
        <w:rPr>
          <w:rStyle w:val="Strong"/>
          <w:rFonts w:ascii="Arial" w:hAnsi="Arial" w:cs="Arial"/>
          <w:b w:val="0"/>
          <w:bCs w:val="0"/>
          <w:color w:val="0070C0"/>
          <w:sz w:val="22"/>
          <w:szCs w:val="22"/>
        </w:rPr>
        <w:t>Kapik</w:t>
      </w:r>
      <w:proofErr w:type="spellEnd"/>
      <w:r w:rsidRPr="00BF4AA8">
        <w:rPr>
          <w:rStyle w:val="Strong"/>
          <w:rFonts w:ascii="Arial" w:hAnsi="Arial" w:cs="Arial"/>
          <w:b w:val="0"/>
          <w:bCs w:val="0"/>
          <w:color w:val="0070C0"/>
          <w:sz w:val="22"/>
          <w:szCs w:val="22"/>
        </w:rPr>
        <w:t xml:space="preserve"> as the national flagship wetland complex</w:t>
      </w:r>
    </w:p>
    <w:p w:rsidR="00F04907" w:rsidRPr="00BF4AA8" w:rsidRDefault="00F04907" w:rsidP="00F04907">
      <w:pPr>
        <w:pStyle w:val="NormalWeb"/>
        <w:jc w:val="both"/>
        <w:rPr>
          <w:rFonts w:ascii="Arial" w:hAnsi="Arial" w:cs="Arial"/>
          <w:sz w:val="22"/>
          <w:szCs w:val="22"/>
        </w:rPr>
      </w:pPr>
      <w:r w:rsidRPr="00BF4AA8">
        <w:rPr>
          <w:rFonts w:ascii="Arial" w:hAnsi="Arial" w:cs="Arial"/>
          <w:sz w:val="22"/>
          <w:szCs w:val="22"/>
        </w:rPr>
        <w:t xml:space="preserve">The </w:t>
      </w:r>
      <w:proofErr w:type="spellStart"/>
      <w:r w:rsidRPr="00BF4AA8">
        <w:rPr>
          <w:rStyle w:val="Strong"/>
          <w:rFonts w:ascii="Arial" w:hAnsi="Arial" w:cs="Arial"/>
          <w:sz w:val="22"/>
          <w:szCs w:val="22"/>
        </w:rPr>
        <w:t>Peam</w:t>
      </w:r>
      <w:proofErr w:type="spellEnd"/>
      <w:r w:rsidRPr="00BF4AA8">
        <w:rPr>
          <w:rStyle w:val="Strong"/>
          <w:rFonts w:ascii="Arial" w:hAnsi="Arial" w:cs="Arial"/>
          <w:sz w:val="22"/>
          <w:szCs w:val="22"/>
        </w:rPr>
        <w:t xml:space="preserve"> </w:t>
      </w:r>
      <w:proofErr w:type="spellStart"/>
      <w:r w:rsidRPr="00BF4AA8">
        <w:rPr>
          <w:rStyle w:val="Strong"/>
          <w:rFonts w:ascii="Arial" w:hAnsi="Arial" w:cs="Arial"/>
          <w:sz w:val="22"/>
          <w:szCs w:val="22"/>
        </w:rPr>
        <w:t>Krasaop</w:t>
      </w:r>
      <w:proofErr w:type="spellEnd"/>
      <w:r w:rsidRPr="00BF4AA8">
        <w:rPr>
          <w:rStyle w:val="Strong"/>
          <w:rFonts w:ascii="Arial" w:hAnsi="Arial" w:cs="Arial"/>
          <w:sz w:val="22"/>
          <w:szCs w:val="22"/>
        </w:rPr>
        <w:t xml:space="preserve"> Wildlife Sanctuary</w:t>
      </w:r>
      <w:r w:rsidRPr="00BF4AA8">
        <w:rPr>
          <w:rFonts w:ascii="Arial" w:hAnsi="Arial" w:cs="Arial"/>
          <w:sz w:val="22"/>
          <w:szCs w:val="22"/>
        </w:rPr>
        <w:t xml:space="preserve"> and the </w:t>
      </w:r>
      <w:r w:rsidRPr="00BF4AA8">
        <w:rPr>
          <w:rStyle w:val="Strong"/>
          <w:rFonts w:ascii="Arial" w:hAnsi="Arial" w:cs="Arial"/>
          <w:sz w:val="22"/>
          <w:szCs w:val="22"/>
        </w:rPr>
        <w:t xml:space="preserve">Koh </w:t>
      </w:r>
      <w:proofErr w:type="spellStart"/>
      <w:r w:rsidRPr="00BF4AA8">
        <w:rPr>
          <w:rStyle w:val="Strong"/>
          <w:rFonts w:ascii="Arial" w:hAnsi="Arial" w:cs="Arial"/>
          <w:sz w:val="22"/>
          <w:szCs w:val="22"/>
        </w:rPr>
        <w:t>Kapik</w:t>
      </w:r>
      <w:proofErr w:type="spellEnd"/>
      <w:r w:rsidRPr="00BF4AA8">
        <w:rPr>
          <w:rStyle w:val="Strong"/>
          <w:rFonts w:ascii="Arial" w:hAnsi="Arial" w:cs="Arial"/>
          <w:sz w:val="22"/>
          <w:szCs w:val="22"/>
        </w:rPr>
        <w:t xml:space="preserve"> &amp; Associated Islets Ramsar Site</w:t>
      </w:r>
      <w:r w:rsidRPr="00BF4AA8">
        <w:rPr>
          <w:rFonts w:ascii="Arial" w:hAnsi="Arial" w:cs="Arial"/>
          <w:sz w:val="22"/>
          <w:szCs w:val="22"/>
        </w:rPr>
        <w:t xml:space="preserve"> form a connected mangrove–intertidal landscape recognized for international importance. The system’s productivity depends on the balance between </w:t>
      </w:r>
      <w:r w:rsidRPr="00BF4AA8">
        <w:rPr>
          <w:rStyle w:val="Strong"/>
          <w:rFonts w:ascii="Arial" w:hAnsi="Arial" w:cs="Arial"/>
          <w:sz w:val="22"/>
          <w:szCs w:val="22"/>
        </w:rPr>
        <w:t>freshwater inflows</w:t>
      </w:r>
      <w:r w:rsidRPr="00BF4AA8">
        <w:rPr>
          <w:rFonts w:ascii="Arial" w:hAnsi="Arial" w:cs="Arial"/>
          <w:sz w:val="22"/>
          <w:szCs w:val="22"/>
        </w:rPr>
        <w:t xml:space="preserve"> and </w:t>
      </w:r>
      <w:r w:rsidRPr="00BF4AA8">
        <w:rPr>
          <w:rStyle w:val="Strong"/>
          <w:rFonts w:ascii="Arial" w:hAnsi="Arial" w:cs="Arial"/>
          <w:sz w:val="22"/>
          <w:szCs w:val="22"/>
        </w:rPr>
        <w:t>tidal exchange</w:t>
      </w:r>
      <w:r w:rsidRPr="00BF4AA8">
        <w:rPr>
          <w:rFonts w:ascii="Arial" w:hAnsi="Arial" w:cs="Arial"/>
          <w:sz w:val="22"/>
          <w:szCs w:val="22"/>
        </w:rPr>
        <w:t>, which maintains brackish conditions that support plankton production and fish recruitment. Intertidal flats and island channels are especially important for waterbird feeding and for small-scale fisheries (Ramsar Secretariat, 2012; Fauna &amp; Flora, 2024).</w:t>
      </w:r>
    </w:p>
    <w:p w:rsidR="00F04907" w:rsidRPr="00BF4AA8" w:rsidRDefault="00F04907" w:rsidP="00F04907">
      <w:pPr>
        <w:pStyle w:val="NormalWeb"/>
        <w:jc w:val="both"/>
        <w:rPr>
          <w:rFonts w:ascii="Arial" w:hAnsi="Arial" w:cs="Arial"/>
          <w:b/>
          <w:bCs/>
          <w:color w:val="0070C0"/>
          <w:sz w:val="22"/>
          <w:szCs w:val="22"/>
        </w:rPr>
      </w:pPr>
      <w:r w:rsidRPr="00BF4AA8">
        <w:rPr>
          <w:rStyle w:val="Strong"/>
          <w:rFonts w:ascii="Arial" w:hAnsi="Arial" w:cs="Arial"/>
          <w:b w:val="0"/>
          <w:bCs w:val="0"/>
          <w:color w:val="0070C0"/>
          <w:sz w:val="22"/>
          <w:szCs w:val="22"/>
        </w:rPr>
        <w:t>B3. Livelihood linkage and sensitivity</w:t>
      </w:r>
    </w:p>
    <w:p w:rsidR="00F04907" w:rsidRPr="00BF4AA8" w:rsidRDefault="00F04907" w:rsidP="00F04907">
      <w:pPr>
        <w:pStyle w:val="NormalWeb"/>
        <w:jc w:val="both"/>
        <w:rPr>
          <w:rFonts w:ascii="Arial" w:hAnsi="Arial" w:cs="Arial"/>
          <w:sz w:val="22"/>
          <w:szCs w:val="22"/>
        </w:rPr>
      </w:pPr>
      <w:r w:rsidRPr="00BF4AA8">
        <w:rPr>
          <w:rFonts w:ascii="Arial" w:hAnsi="Arial" w:cs="Arial"/>
          <w:sz w:val="22"/>
          <w:szCs w:val="22"/>
        </w:rPr>
        <w:t xml:space="preserve">Coastal wetland households around the Koh </w:t>
      </w:r>
      <w:proofErr w:type="spellStart"/>
      <w:r w:rsidRPr="00BF4AA8">
        <w:rPr>
          <w:rFonts w:ascii="Arial" w:hAnsi="Arial" w:cs="Arial"/>
          <w:sz w:val="22"/>
          <w:szCs w:val="22"/>
        </w:rPr>
        <w:t>Kapik</w:t>
      </w:r>
      <w:proofErr w:type="spellEnd"/>
      <w:r w:rsidRPr="00BF4AA8">
        <w:rPr>
          <w:rFonts w:ascii="Arial" w:hAnsi="Arial" w:cs="Arial"/>
          <w:sz w:val="22"/>
          <w:szCs w:val="22"/>
        </w:rPr>
        <w:t>–</w:t>
      </w:r>
      <w:proofErr w:type="spellStart"/>
      <w:r w:rsidRPr="00BF4AA8">
        <w:rPr>
          <w:rFonts w:ascii="Arial" w:hAnsi="Arial" w:cs="Arial"/>
          <w:sz w:val="22"/>
          <w:szCs w:val="22"/>
        </w:rPr>
        <w:t>Peam</w:t>
      </w:r>
      <w:proofErr w:type="spellEnd"/>
      <w:r w:rsidRPr="00BF4AA8">
        <w:rPr>
          <w:rFonts w:ascii="Arial" w:hAnsi="Arial" w:cs="Arial"/>
          <w:sz w:val="22"/>
          <w:szCs w:val="22"/>
        </w:rPr>
        <w:t xml:space="preserve"> </w:t>
      </w:r>
      <w:proofErr w:type="spellStart"/>
      <w:r w:rsidRPr="00BF4AA8">
        <w:rPr>
          <w:rFonts w:ascii="Arial" w:hAnsi="Arial" w:cs="Arial"/>
          <w:sz w:val="22"/>
          <w:szCs w:val="22"/>
        </w:rPr>
        <w:t>Krasaop</w:t>
      </w:r>
      <w:proofErr w:type="spellEnd"/>
      <w:r w:rsidRPr="00BF4AA8">
        <w:rPr>
          <w:rFonts w:ascii="Arial" w:hAnsi="Arial" w:cs="Arial"/>
          <w:sz w:val="22"/>
          <w:szCs w:val="22"/>
        </w:rPr>
        <w:t xml:space="preserve"> system exhibit high dependence on wetland resources, meaning that changes in nursery function, salinity regimes or channel morphology can translate rapidly into income and food-security impacts. This is why wetland protection is not only a biodiversity priority but also a direct livelihood-risk management measure in Koh Kong.</w:t>
      </w:r>
    </w:p>
    <w:p w:rsidR="00F04907" w:rsidRPr="00BF4AA8" w:rsidRDefault="00F04907" w:rsidP="00F04907">
      <w:pPr>
        <w:keepNext/>
        <w:adjustRightInd w:val="0"/>
        <w:snapToGrid w:val="0"/>
        <w:spacing w:before="240" w:after="120"/>
        <w:jc w:val="both"/>
        <w:rPr>
          <w:rFonts w:ascii="Arial" w:hAnsi="Arial" w:cs="Arial"/>
          <w:color w:val="0070C0"/>
          <w:sz w:val="22"/>
          <w:szCs w:val="22"/>
        </w:rPr>
      </w:pPr>
      <w:r w:rsidRPr="00BF4AA8">
        <w:rPr>
          <w:rFonts w:ascii="Arial" w:hAnsi="Arial" w:cs="Arial"/>
          <w:color w:val="0070C0"/>
          <w:sz w:val="22"/>
          <w:szCs w:val="22"/>
        </w:rPr>
        <w:t>B4. Community co-management and operational challenges</w:t>
      </w:r>
    </w:p>
    <w:p w:rsidR="00F04907" w:rsidRPr="00BF4AA8" w:rsidRDefault="00F04907" w:rsidP="00F04907">
      <w:pPr>
        <w:pStyle w:val="NormalWeb"/>
        <w:jc w:val="both"/>
        <w:rPr>
          <w:rFonts w:ascii="Arial" w:hAnsi="Arial" w:cs="Arial"/>
          <w:sz w:val="22"/>
          <w:szCs w:val="22"/>
        </w:rPr>
      </w:pPr>
      <w:r w:rsidRPr="00BF4AA8">
        <w:rPr>
          <w:rFonts w:ascii="Arial" w:hAnsi="Arial" w:cs="Arial"/>
          <w:sz w:val="22"/>
          <w:szCs w:val="22"/>
        </w:rPr>
        <w:t xml:space="preserve">The </w:t>
      </w:r>
      <w:proofErr w:type="spellStart"/>
      <w:r w:rsidRPr="00BF4AA8">
        <w:rPr>
          <w:rFonts w:ascii="Arial" w:hAnsi="Arial" w:cs="Arial"/>
          <w:sz w:val="22"/>
          <w:szCs w:val="22"/>
        </w:rPr>
        <w:t>Peam</w:t>
      </w:r>
      <w:proofErr w:type="spellEnd"/>
      <w:r w:rsidRPr="00BF4AA8">
        <w:rPr>
          <w:rFonts w:ascii="Arial" w:hAnsi="Arial" w:cs="Arial"/>
          <w:sz w:val="22"/>
          <w:szCs w:val="22"/>
        </w:rPr>
        <w:t xml:space="preserve"> </w:t>
      </w:r>
      <w:proofErr w:type="spellStart"/>
      <w:r w:rsidRPr="00BF4AA8">
        <w:rPr>
          <w:rFonts w:ascii="Arial" w:hAnsi="Arial" w:cs="Arial"/>
          <w:sz w:val="22"/>
          <w:szCs w:val="22"/>
        </w:rPr>
        <w:t>Krasaop</w:t>
      </w:r>
      <w:proofErr w:type="spellEnd"/>
      <w:r w:rsidRPr="00BF4AA8">
        <w:rPr>
          <w:rFonts w:ascii="Arial" w:hAnsi="Arial" w:cs="Arial"/>
          <w:sz w:val="22"/>
          <w:szCs w:val="22"/>
        </w:rPr>
        <w:t xml:space="preserve"> wetland system includes community fisheries (</w:t>
      </w:r>
      <w:proofErr w:type="spellStart"/>
      <w:r w:rsidRPr="00BF4AA8">
        <w:rPr>
          <w:rFonts w:ascii="Arial" w:hAnsi="Arial" w:cs="Arial"/>
          <w:sz w:val="22"/>
          <w:szCs w:val="22"/>
        </w:rPr>
        <w:t>CFis</w:t>
      </w:r>
      <w:proofErr w:type="spellEnd"/>
      <w:r w:rsidRPr="00BF4AA8">
        <w:rPr>
          <w:rFonts w:ascii="Arial" w:hAnsi="Arial" w:cs="Arial"/>
          <w:sz w:val="22"/>
          <w:szCs w:val="22"/>
        </w:rPr>
        <w:t xml:space="preserve">) that support participatory management and improve compliance where patrol resources and clear rules </w:t>
      </w:r>
      <w:proofErr w:type="gramStart"/>
      <w:r w:rsidRPr="00BF4AA8">
        <w:rPr>
          <w:rFonts w:ascii="Arial" w:hAnsi="Arial" w:cs="Arial"/>
          <w:sz w:val="22"/>
          <w:szCs w:val="22"/>
        </w:rPr>
        <w:t>are sustained</w:t>
      </w:r>
      <w:proofErr w:type="gramEnd"/>
      <w:r w:rsidRPr="00BF4AA8">
        <w:rPr>
          <w:rFonts w:ascii="Arial" w:hAnsi="Arial" w:cs="Arial"/>
          <w:sz w:val="22"/>
          <w:szCs w:val="22"/>
        </w:rPr>
        <w:t>. Key operational challenges include (</w:t>
      </w:r>
      <w:proofErr w:type="spellStart"/>
      <w:r w:rsidRPr="00BF4AA8">
        <w:rPr>
          <w:rFonts w:ascii="Arial" w:hAnsi="Arial" w:cs="Arial"/>
          <w:sz w:val="22"/>
          <w:szCs w:val="22"/>
        </w:rPr>
        <w:t>i</w:t>
      </w:r>
      <w:proofErr w:type="spellEnd"/>
      <w:r w:rsidRPr="00BF4AA8">
        <w:rPr>
          <w:rFonts w:ascii="Arial" w:hAnsi="Arial" w:cs="Arial"/>
          <w:sz w:val="22"/>
          <w:szCs w:val="22"/>
        </w:rPr>
        <w:t xml:space="preserve">) cross-boundary enforcement where parts of the Ramsar landscape extend beyond protected-area boundaries, and (ii) maintaining hydrologic connectivity where roads, embankments, </w:t>
      </w:r>
      <w:proofErr w:type="gramStart"/>
      <w:r w:rsidRPr="00BF4AA8">
        <w:rPr>
          <w:rFonts w:ascii="Arial" w:hAnsi="Arial" w:cs="Arial"/>
          <w:sz w:val="22"/>
          <w:szCs w:val="22"/>
        </w:rPr>
        <w:t>canalization</w:t>
      </w:r>
      <w:proofErr w:type="gramEnd"/>
      <w:r w:rsidRPr="00BF4AA8">
        <w:rPr>
          <w:rFonts w:ascii="Arial" w:hAnsi="Arial" w:cs="Arial"/>
          <w:sz w:val="22"/>
          <w:szCs w:val="22"/>
        </w:rPr>
        <w:t xml:space="preserve"> or shoreline works reduce tidal prism and alter flushing.</w:t>
      </w:r>
    </w:p>
    <w:p w:rsidR="00F04907" w:rsidRPr="00BF4AA8" w:rsidRDefault="00F04907" w:rsidP="00F04907">
      <w:pPr>
        <w:keepNext/>
        <w:adjustRightInd w:val="0"/>
        <w:snapToGrid w:val="0"/>
        <w:spacing w:before="240" w:after="120"/>
        <w:jc w:val="both"/>
        <w:rPr>
          <w:rFonts w:ascii="Arial" w:hAnsi="Arial" w:cs="Arial"/>
          <w:color w:val="0070C0"/>
          <w:sz w:val="22"/>
          <w:szCs w:val="22"/>
        </w:rPr>
      </w:pPr>
      <w:r w:rsidRPr="00BF4AA8">
        <w:rPr>
          <w:rFonts w:ascii="Arial" w:hAnsi="Arial" w:cs="Arial"/>
          <w:color w:val="0070C0"/>
          <w:sz w:val="22"/>
          <w:szCs w:val="22"/>
        </w:rPr>
        <w:t>B5. Planning relevance (SCS SAP and integrated wetland management)</w:t>
      </w:r>
    </w:p>
    <w:p w:rsidR="00F04907" w:rsidRPr="00BF4AA8" w:rsidRDefault="00F04907" w:rsidP="00F04907">
      <w:pPr>
        <w:pStyle w:val="NormalWeb"/>
        <w:jc w:val="both"/>
        <w:rPr>
          <w:rFonts w:ascii="Arial" w:hAnsi="Arial" w:cs="Arial"/>
          <w:sz w:val="22"/>
          <w:szCs w:val="22"/>
        </w:rPr>
      </w:pPr>
      <w:r w:rsidRPr="00BF4AA8">
        <w:rPr>
          <w:rFonts w:ascii="Arial" w:hAnsi="Arial" w:cs="Arial"/>
          <w:sz w:val="22"/>
          <w:szCs w:val="22"/>
        </w:rPr>
        <w:t xml:space="preserve">Under the SCS SAP, planning efforts emphasize integrated wetland management at local and regional levels, including management plans that align protected areas, fisheries </w:t>
      </w:r>
      <w:proofErr w:type="gramStart"/>
      <w:r w:rsidRPr="00BF4AA8">
        <w:rPr>
          <w:rFonts w:ascii="Arial" w:hAnsi="Arial" w:cs="Arial"/>
          <w:sz w:val="22"/>
          <w:szCs w:val="22"/>
        </w:rPr>
        <w:t>zoning</w:t>
      </w:r>
      <w:proofErr w:type="gramEnd"/>
      <w:r w:rsidRPr="00BF4AA8">
        <w:rPr>
          <w:rFonts w:ascii="Arial" w:hAnsi="Arial" w:cs="Arial"/>
          <w:sz w:val="22"/>
          <w:szCs w:val="22"/>
        </w:rPr>
        <w:t xml:space="preserve"> and community rules. Priority management themes typically include: maintaining tidal connectivity and freshwater inflows, preventing conversion of intertidal flats and mangrove edges, improving water-quality controls in upstream catchments, and sustaining community patrol capacity to deter illegal cutting and destructive fishing.</w:t>
      </w:r>
    </w:p>
    <w:p w:rsidR="00F04907" w:rsidRPr="00BF4AA8" w:rsidRDefault="00F04907" w:rsidP="00F04907">
      <w:pPr>
        <w:keepNext/>
        <w:rPr>
          <w:rFonts w:ascii="Arial" w:hAnsi="Arial" w:cs="Arial"/>
          <w:b/>
          <w:bCs/>
          <w:sz w:val="22"/>
          <w:szCs w:val="22"/>
        </w:rPr>
      </w:pPr>
      <w:r w:rsidRPr="00BF4AA8">
        <w:rPr>
          <w:rFonts w:ascii="Arial" w:hAnsi="Arial" w:cs="Arial"/>
          <w:b/>
          <w:bCs/>
          <w:sz w:val="22"/>
          <w:szCs w:val="22"/>
        </w:rPr>
        <w:t>C. Selected site-specific status and pressures — expanded notes</w:t>
      </w:r>
    </w:p>
    <w:p w:rsidR="00F04907" w:rsidRPr="00BF4AA8" w:rsidRDefault="00F04907" w:rsidP="00F04907">
      <w:pPr>
        <w:keepNext/>
        <w:adjustRightInd w:val="0"/>
        <w:snapToGrid w:val="0"/>
        <w:spacing w:before="240" w:after="120"/>
        <w:jc w:val="both"/>
        <w:rPr>
          <w:rFonts w:ascii="Arial" w:hAnsi="Arial" w:cs="Arial"/>
          <w:color w:val="0070C0"/>
          <w:sz w:val="22"/>
          <w:szCs w:val="22"/>
        </w:rPr>
      </w:pPr>
      <w:r w:rsidRPr="00BF4AA8">
        <w:rPr>
          <w:rFonts w:ascii="Arial" w:hAnsi="Arial" w:cs="Arial"/>
          <w:color w:val="0070C0"/>
          <w:sz w:val="22"/>
          <w:szCs w:val="22"/>
        </w:rPr>
        <w:t xml:space="preserve">C1. Site 1. </w:t>
      </w:r>
      <w:proofErr w:type="spellStart"/>
      <w:r w:rsidRPr="00BF4AA8">
        <w:rPr>
          <w:rFonts w:ascii="Arial" w:hAnsi="Arial" w:cs="Arial"/>
          <w:color w:val="0070C0"/>
          <w:sz w:val="22"/>
          <w:szCs w:val="22"/>
        </w:rPr>
        <w:t>Botum</w:t>
      </w:r>
      <w:proofErr w:type="spellEnd"/>
      <w:r w:rsidRPr="00BF4AA8">
        <w:rPr>
          <w:rFonts w:ascii="Arial" w:hAnsi="Arial" w:cs="Arial"/>
          <w:color w:val="0070C0"/>
          <w:sz w:val="22"/>
          <w:szCs w:val="22"/>
        </w:rPr>
        <w:t xml:space="preserve"> </w:t>
      </w:r>
      <w:proofErr w:type="spellStart"/>
      <w:r w:rsidRPr="00BF4AA8">
        <w:rPr>
          <w:rFonts w:ascii="Arial" w:hAnsi="Arial" w:cs="Arial"/>
          <w:color w:val="0070C0"/>
          <w:sz w:val="22"/>
          <w:szCs w:val="22"/>
        </w:rPr>
        <w:t>Sakor</w:t>
      </w:r>
      <w:proofErr w:type="spellEnd"/>
      <w:r w:rsidRPr="00BF4AA8">
        <w:rPr>
          <w:rFonts w:ascii="Arial" w:hAnsi="Arial" w:cs="Arial"/>
          <w:color w:val="0070C0"/>
          <w:sz w:val="22"/>
          <w:szCs w:val="22"/>
        </w:rPr>
        <w:t xml:space="preserve"> National Park (Koh Kong)</w:t>
      </w:r>
    </w:p>
    <w:p w:rsidR="00F04907" w:rsidRPr="00BF4AA8" w:rsidRDefault="00F04907" w:rsidP="00F04907">
      <w:pPr>
        <w:pStyle w:val="NormalWeb"/>
        <w:jc w:val="both"/>
        <w:rPr>
          <w:rFonts w:ascii="Arial" w:hAnsi="Arial" w:cs="Arial"/>
          <w:sz w:val="22"/>
          <w:szCs w:val="22"/>
        </w:rPr>
      </w:pPr>
      <w:r w:rsidRPr="00BF4AA8">
        <w:rPr>
          <w:rStyle w:val="Strong"/>
          <w:rFonts w:ascii="Arial" w:hAnsi="Arial" w:cs="Arial"/>
          <w:sz w:val="22"/>
          <w:szCs w:val="22"/>
        </w:rPr>
        <w:t>Status &amp; ecological importance.</w:t>
      </w:r>
      <w:r w:rsidRPr="00BF4AA8">
        <w:rPr>
          <w:rFonts w:ascii="Arial" w:hAnsi="Arial" w:cs="Arial"/>
          <w:sz w:val="22"/>
          <w:szCs w:val="22"/>
        </w:rPr>
        <w:t xml:space="preserve"> </w:t>
      </w:r>
      <w:proofErr w:type="spellStart"/>
      <w:r w:rsidRPr="00BF4AA8">
        <w:rPr>
          <w:rFonts w:ascii="Arial" w:hAnsi="Arial" w:cs="Arial"/>
          <w:sz w:val="22"/>
          <w:szCs w:val="22"/>
        </w:rPr>
        <w:t>Botum</w:t>
      </w:r>
      <w:proofErr w:type="spellEnd"/>
      <w:r w:rsidRPr="00BF4AA8">
        <w:rPr>
          <w:rFonts w:ascii="Arial" w:hAnsi="Arial" w:cs="Arial"/>
          <w:sz w:val="22"/>
          <w:szCs w:val="22"/>
        </w:rPr>
        <w:t xml:space="preserve"> </w:t>
      </w:r>
      <w:proofErr w:type="spellStart"/>
      <w:r w:rsidRPr="00BF4AA8">
        <w:rPr>
          <w:rFonts w:ascii="Arial" w:hAnsi="Arial" w:cs="Arial"/>
          <w:sz w:val="22"/>
          <w:szCs w:val="22"/>
        </w:rPr>
        <w:t>Sakor</w:t>
      </w:r>
      <w:proofErr w:type="spellEnd"/>
      <w:r w:rsidRPr="00BF4AA8">
        <w:rPr>
          <w:rFonts w:ascii="Arial" w:hAnsi="Arial" w:cs="Arial"/>
          <w:sz w:val="22"/>
          <w:szCs w:val="22"/>
        </w:rPr>
        <w:t xml:space="preserve"> is a very large protected landscape following the 2023 reclassification (143,895 ha). Within its estuarine apron, peat-forming mangroves (~4,768 ha) sit over marine clay and contain deep organic soils, making them an exceptional </w:t>
      </w:r>
      <w:r w:rsidRPr="00BF4AA8">
        <w:rPr>
          <w:rStyle w:val="Strong"/>
          <w:rFonts w:ascii="Arial" w:hAnsi="Arial" w:cs="Arial"/>
          <w:sz w:val="22"/>
          <w:szCs w:val="22"/>
        </w:rPr>
        <w:t>blue-carbon reservoir</w:t>
      </w:r>
      <w:r w:rsidRPr="00BF4AA8">
        <w:rPr>
          <w:rFonts w:ascii="Arial" w:hAnsi="Arial" w:cs="Arial"/>
          <w:sz w:val="22"/>
          <w:szCs w:val="22"/>
        </w:rPr>
        <w:t xml:space="preserve"> and a high-value “natural infrastructure” for storm buffering. The defining feature is that peat stability depends on </w:t>
      </w:r>
      <w:r w:rsidRPr="00BF4AA8">
        <w:rPr>
          <w:rStyle w:val="Strong"/>
          <w:rFonts w:ascii="Arial" w:hAnsi="Arial" w:cs="Arial"/>
          <w:sz w:val="22"/>
          <w:szCs w:val="22"/>
        </w:rPr>
        <w:t xml:space="preserve">continuous tidal exchange and </w:t>
      </w:r>
      <w:proofErr w:type="gramStart"/>
      <w:r w:rsidRPr="00BF4AA8">
        <w:rPr>
          <w:rStyle w:val="Strong"/>
          <w:rFonts w:ascii="Arial" w:hAnsi="Arial" w:cs="Arial"/>
          <w:sz w:val="22"/>
          <w:szCs w:val="22"/>
        </w:rPr>
        <w:t>high water</w:t>
      </w:r>
      <w:proofErr w:type="gramEnd"/>
      <w:r w:rsidRPr="00BF4AA8">
        <w:rPr>
          <w:rStyle w:val="Strong"/>
          <w:rFonts w:ascii="Arial" w:hAnsi="Arial" w:cs="Arial"/>
          <w:sz w:val="22"/>
          <w:szCs w:val="22"/>
        </w:rPr>
        <w:t xml:space="preserve"> tables</w:t>
      </w:r>
      <w:r w:rsidRPr="00BF4AA8">
        <w:rPr>
          <w:rFonts w:ascii="Arial" w:hAnsi="Arial" w:cs="Arial"/>
          <w:sz w:val="22"/>
          <w:szCs w:val="22"/>
        </w:rPr>
        <w:t>—once peat dries, oxidation and subsidence can cause long-lived carbon loss and weakened coastal protection.</w:t>
      </w:r>
    </w:p>
    <w:p w:rsidR="00F04907" w:rsidRPr="00BF4AA8" w:rsidRDefault="00F04907" w:rsidP="00F04907">
      <w:pPr>
        <w:pStyle w:val="NormalWeb"/>
        <w:jc w:val="both"/>
        <w:rPr>
          <w:rFonts w:ascii="Arial" w:hAnsi="Arial" w:cs="Arial"/>
          <w:i/>
          <w:iCs/>
          <w:sz w:val="22"/>
          <w:szCs w:val="22"/>
        </w:rPr>
      </w:pPr>
      <w:r w:rsidRPr="00BF4AA8">
        <w:rPr>
          <w:rStyle w:val="Strong"/>
          <w:rFonts w:ascii="Arial" w:hAnsi="Arial" w:cs="Arial"/>
          <w:i/>
          <w:iCs/>
          <w:sz w:val="22"/>
          <w:szCs w:val="22"/>
        </w:rPr>
        <w:t>Main pressures</w:t>
      </w:r>
    </w:p>
    <w:p w:rsidR="00F04907" w:rsidRPr="00BF4AA8" w:rsidRDefault="00F04907" w:rsidP="00F04907">
      <w:pPr>
        <w:pStyle w:val="NormalWeb"/>
        <w:numPr>
          <w:ilvl w:val="0"/>
          <w:numId w:val="223"/>
        </w:numPr>
        <w:jc w:val="both"/>
        <w:rPr>
          <w:rFonts w:ascii="Arial" w:hAnsi="Arial" w:cs="Arial"/>
          <w:sz w:val="22"/>
          <w:szCs w:val="22"/>
        </w:rPr>
      </w:pPr>
      <w:r w:rsidRPr="00BF4AA8">
        <w:rPr>
          <w:rStyle w:val="Strong"/>
          <w:rFonts w:ascii="Arial" w:hAnsi="Arial" w:cs="Arial"/>
          <w:sz w:val="22"/>
          <w:szCs w:val="22"/>
        </w:rPr>
        <w:t>Hydrologic restriction</w:t>
      </w:r>
      <w:r w:rsidRPr="00BF4AA8">
        <w:rPr>
          <w:rFonts w:ascii="Arial" w:hAnsi="Arial" w:cs="Arial"/>
          <w:sz w:val="22"/>
          <w:szCs w:val="22"/>
        </w:rPr>
        <w:t xml:space="preserve"> from roads/embankments and undersized culverts can reduce tidal prism, trap sediments, shift salinity bands, and lower water tables—directly threatening peat integrity.</w:t>
      </w:r>
    </w:p>
    <w:p w:rsidR="00F04907" w:rsidRPr="00BF4AA8" w:rsidRDefault="00F04907" w:rsidP="00F04907">
      <w:pPr>
        <w:pStyle w:val="NormalWeb"/>
        <w:numPr>
          <w:ilvl w:val="0"/>
          <w:numId w:val="223"/>
        </w:numPr>
        <w:jc w:val="both"/>
        <w:rPr>
          <w:rFonts w:ascii="Arial" w:hAnsi="Arial" w:cs="Arial"/>
          <w:sz w:val="22"/>
          <w:szCs w:val="22"/>
        </w:rPr>
      </w:pPr>
      <w:r w:rsidRPr="00BF4AA8">
        <w:rPr>
          <w:rStyle w:val="Strong"/>
          <w:rFonts w:ascii="Arial" w:hAnsi="Arial" w:cs="Arial"/>
          <w:sz w:val="22"/>
          <w:szCs w:val="22"/>
        </w:rPr>
        <w:t>Concessionary development and associated access roads</w:t>
      </w:r>
      <w:r w:rsidRPr="00BF4AA8">
        <w:rPr>
          <w:rFonts w:ascii="Arial" w:hAnsi="Arial" w:cs="Arial"/>
          <w:sz w:val="22"/>
          <w:szCs w:val="22"/>
        </w:rPr>
        <w:t xml:space="preserve"> increase fragmentation risk and accelerate edge effects (clearing, disturbance, easier entry).</w:t>
      </w:r>
    </w:p>
    <w:p w:rsidR="00F04907" w:rsidRPr="00BF4AA8" w:rsidRDefault="00F04907" w:rsidP="00F04907">
      <w:pPr>
        <w:pStyle w:val="NormalWeb"/>
        <w:numPr>
          <w:ilvl w:val="0"/>
          <w:numId w:val="223"/>
        </w:numPr>
        <w:jc w:val="both"/>
        <w:rPr>
          <w:rFonts w:ascii="Arial" w:hAnsi="Arial" w:cs="Arial"/>
          <w:sz w:val="22"/>
          <w:szCs w:val="22"/>
        </w:rPr>
      </w:pPr>
      <w:r w:rsidRPr="00BF4AA8">
        <w:rPr>
          <w:rStyle w:val="Strong"/>
          <w:rFonts w:ascii="Arial" w:hAnsi="Arial" w:cs="Arial"/>
          <w:sz w:val="22"/>
          <w:szCs w:val="22"/>
        </w:rPr>
        <w:t>Legacy charcoal production and local extraction pressure</w:t>
      </w:r>
      <w:r w:rsidRPr="00BF4AA8">
        <w:rPr>
          <w:rFonts w:ascii="Arial" w:hAnsi="Arial" w:cs="Arial"/>
          <w:sz w:val="22"/>
          <w:szCs w:val="22"/>
        </w:rPr>
        <w:t xml:space="preserve"> can simplify stand structure and increase vulnerability to storms and erosion.</w:t>
      </w:r>
    </w:p>
    <w:p w:rsidR="00F04907" w:rsidRPr="00BF4AA8" w:rsidRDefault="00F04907" w:rsidP="00F04907">
      <w:pPr>
        <w:pStyle w:val="NormalWeb"/>
        <w:numPr>
          <w:ilvl w:val="0"/>
          <w:numId w:val="223"/>
        </w:numPr>
        <w:jc w:val="both"/>
        <w:rPr>
          <w:rFonts w:ascii="Arial" w:hAnsi="Arial" w:cs="Arial"/>
          <w:sz w:val="22"/>
          <w:szCs w:val="22"/>
        </w:rPr>
      </w:pPr>
      <w:r w:rsidRPr="00BF4AA8">
        <w:rPr>
          <w:rStyle w:val="Strong"/>
          <w:rFonts w:ascii="Arial" w:hAnsi="Arial" w:cs="Arial"/>
          <w:sz w:val="22"/>
          <w:szCs w:val="22"/>
        </w:rPr>
        <w:t>Poaching and wildlife disturbance</w:t>
      </w:r>
      <w:r w:rsidRPr="00BF4AA8">
        <w:rPr>
          <w:rFonts w:ascii="Arial" w:hAnsi="Arial" w:cs="Arial"/>
          <w:sz w:val="22"/>
          <w:szCs w:val="22"/>
        </w:rPr>
        <w:t xml:space="preserve"> rise when access expands, undermining biodiversity values that support conservation legitimacy.</w:t>
      </w:r>
    </w:p>
    <w:p w:rsidR="00F04907" w:rsidRPr="00BF4AA8" w:rsidRDefault="00F04907" w:rsidP="00F04907">
      <w:pPr>
        <w:pStyle w:val="NormalWeb"/>
        <w:jc w:val="both"/>
        <w:rPr>
          <w:rFonts w:ascii="Arial" w:hAnsi="Arial" w:cs="Arial"/>
          <w:i/>
          <w:iCs/>
          <w:sz w:val="22"/>
          <w:szCs w:val="22"/>
        </w:rPr>
      </w:pPr>
      <w:r w:rsidRPr="00BF4AA8">
        <w:rPr>
          <w:rStyle w:val="Strong"/>
          <w:rFonts w:ascii="Arial" w:hAnsi="Arial" w:cs="Arial"/>
          <w:i/>
          <w:iCs/>
          <w:sz w:val="22"/>
          <w:szCs w:val="22"/>
        </w:rPr>
        <w:t xml:space="preserve">Management implications </w:t>
      </w:r>
    </w:p>
    <w:p w:rsidR="00F04907" w:rsidRPr="00BF4AA8" w:rsidRDefault="00F04907" w:rsidP="00F04907">
      <w:pPr>
        <w:pStyle w:val="NormalWeb"/>
        <w:numPr>
          <w:ilvl w:val="0"/>
          <w:numId w:val="224"/>
        </w:numPr>
        <w:jc w:val="both"/>
        <w:rPr>
          <w:rFonts w:ascii="Arial" w:hAnsi="Arial" w:cs="Arial"/>
          <w:sz w:val="22"/>
          <w:szCs w:val="22"/>
        </w:rPr>
      </w:pPr>
      <w:r w:rsidRPr="00BF4AA8">
        <w:rPr>
          <w:rFonts w:ascii="Arial" w:hAnsi="Arial" w:cs="Arial"/>
          <w:sz w:val="22"/>
          <w:szCs w:val="22"/>
        </w:rPr>
        <w:t xml:space="preserve">Apply a </w:t>
      </w:r>
      <w:r w:rsidRPr="00BF4AA8">
        <w:rPr>
          <w:rStyle w:val="Strong"/>
          <w:rFonts w:ascii="Arial" w:hAnsi="Arial" w:cs="Arial"/>
          <w:sz w:val="22"/>
          <w:szCs w:val="22"/>
        </w:rPr>
        <w:t>“hydrology-first” rule</w:t>
      </w:r>
      <w:r w:rsidRPr="00BF4AA8">
        <w:rPr>
          <w:rFonts w:ascii="Arial" w:hAnsi="Arial" w:cs="Arial"/>
          <w:sz w:val="22"/>
          <w:szCs w:val="22"/>
        </w:rPr>
        <w:t>: protect tidal connectivity as the primary management objective in peat zones.</w:t>
      </w:r>
    </w:p>
    <w:p w:rsidR="00F04907" w:rsidRPr="00BF4AA8" w:rsidRDefault="00F04907" w:rsidP="00F04907">
      <w:pPr>
        <w:pStyle w:val="NormalWeb"/>
        <w:numPr>
          <w:ilvl w:val="0"/>
          <w:numId w:val="224"/>
        </w:numPr>
        <w:jc w:val="both"/>
        <w:rPr>
          <w:rFonts w:ascii="Arial" w:hAnsi="Arial" w:cs="Arial"/>
          <w:sz w:val="22"/>
          <w:szCs w:val="22"/>
        </w:rPr>
      </w:pPr>
      <w:r w:rsidRPr="00BF4AA8">
        <w:rPr>
          <w:rFonts w:ascii="Arial" w:hAnsi="Arial" w:cs="Arial"/>
          <w:sz w:val="22"/>
          <w:szCs w:val="22"/>
        </w:rPr>
        <w:t xml:space="preserve">Use </w:t>
      </w:r>
      <w:r w:rsidRPr="00BF4AA8">
        <w:rPr>
          <w:rStyle w:val="Strong"/>
          <w:rFonts w:ascii="Arial" w:hAnsi="Arial" w:cs="Arial"/>
          <w:sz w:val="22"/>
          <w:szCs w:val="22"/>
        </w:rPr>
        <w:t>no-conversion cores</w:t>
      </w:r>
      <w:r w:rsidRPr="00BF4AA8">
        <w:rPr>
          <w:rFonts w:ascii="Arial" w:hAnsi="Arial" w:cs="Arial"/>
          <w:sz w:val="22"/>
          <w:szCs w:val="22"/>
        </w:rPr>
        <w:t xml:space="preserve"> over peat tongues; treat drainage/canalization as “high risk” activities.</w:t>
      </w:r>
    </w:p>
    <w:p w:rsidR="00F04907" w:rsidRPr="00BF4AA8" w:rsidRDefault="00F04907" w:rsidP="00F04907">
      <w:pPr>
        <w:pStyle w:val="NormalWeb"/>
        <w:numPr>
          <w:ilvl w:val="0"/>
          <w:numId w:val="224"/>
        </w:numPr>
        <w:jc w:val="both"/>
        <w:rPr>
          <w:rFonts w:ascii="Arial" w:hAnsi="Arial" w:cs="Arial"/>
          <w:sz w:val="22"/>
          <w:szCs w:val="22"/>
        </w:rPr>
      </w:pPr>
      <w:r w:rsidRPr="00BF4AA8">
        <w:rPr>
          <w:rFonts w:ascii="Arial" w:hAnsi="Arial" w:cs="Arial"/>
          <w:sz w:val="22"/>
          <w:szCs w:val="22"/>
        </w:rPr>
        <w:t xml:space="preserve">Require </w:t>
      </w:r>
      <w:r w:rsidRPr="00BF4AA8">
        <w:rPr>
          <w:rStyle w:val="Strong"/>
          <w:rFonts w:ascii="Arial" w:hAnsi="Arial" w:cs="Arial"/>
          <w:sz w:val="22"/>
          <w:szCs w:val="22"/>
        </w:rPr>
        <w:t>culvert/bridge sizing and maintenance</w:t>
      </w:r>
      <w:r w:rsidRPr="00BF4AA8">
        <w:rPr>
          <w:rFonts w:ascii="Arial" w:hAnsi="Arial" w:cs="Arial"/>
          <w:sz w:val="22"/>
          <w:szCs w:val="22"/>
        </w:rPr>
        <w:t xml:space="preserve"> to maintain tidal exchange and water levels.</w:t>
      </w:r>
    </w:p>
    <w:p w:rsidR="00F04907" w:rsidRPr="00BF4AA8" w:rsidRDefault="00F04907" w:rsidP="00F04907">
      <w:pPr>
        <w:pStyle w:val="NormalWeb"/>
        <w:numPr>
          <w:ilvl w:val="0"/>
          <w:numId w:val="224"/>
        </w:numPr>
        <w:jc w:val="both"/>
        <w:rPr>
          <w:rFonts w:ascii="Arial" w:hAnsi="Arial" w:cs="Arial"/>
          <w:sz w:val="22"/>
          <w:szCs w:val="22"/>
        </w:rPr>
      </w:pPr>
      <w:r w:rsidRPr="00BF4AA8">
        <w:rPr>
          <w:rFonts w:ascii="Arial" w:hAnsi="Arial" w:cs="Arial"/>
          <w:sz w:val="22"/>
          <w:szCs w:val="22"/>
        </w:rPr>
        <w:t>Establish a simple compliance package: zoning map + signage + joint patrol priorities focused on peat blocks and tidal creeks.</w:t>
      </w:r>
    </w:p>
    <w:p w:rsidR="00F04907" w:rsidRPr="00BF4AA8" w:rsidRDefault="00F04907" w:rsidP="00F04907">
      <w:pPr>
        <w:pStyle w:val="NormalWeb"/>
        <w:jc w:val="both"/>
        <w:rPr>
          <w:rFonts w:ascii="Arial" w:hAnsi="Arial" w:cs="Arial"/>
          <w:i/>
          <w:iCs/>
          <w:sz w:val="22"/>
          <w:szCs w:val="22"/>
        </w:rPr>
      </w:pPr>
      <w:r w:rsidRPr="00BF4AA8">
        <w:rPr>
          <w:rStyle w:val="Strong"/>
          <w:rFonts w:ascii="Arial" w:hAnsi="Arial" w:cs="Arial"/>
          <w:i/>
          <w:iCs/>
          <w:sz w:val="22"/>
          <w:szCs w:val="22"/>
        </w:rPr>
        <w:t xml:space="preserve">Priority indicators </w:t>
      </w:r>
    </w:p>
    <w:p w:rsidR="00F04907" w:rsidRPr="00BF4AA8" w:rsidRDefault="00F04907" w:rsidP="00F04907">
      <w:pPr>
        <w:pStyle w:val="NormalWeb"/>
        <w:numPr>
          <w:ilvl w:val="0"/>
          <w:numId w:val="225"/>
        </w:numPr>
        <w:jc w:val="both"/>
        <w:rPr>
          <w:rFonts w:ascii="Arial" w:hAnsi="Arial" w:cs="Arial"/>
          <w:sz w:val="22"/>
          <w:szCs w:val="22"/>
        </w:rPr>
      </w:pPr>
      <w:r w:rsidRPr="00BF4AA8">
        <w:rPr>
          <w:rFonts w:ascii="Arial" w:hAnsi="Arial" w:cs="Arial"/>
          <w:sz w:val="22"/>
          <w:szCs w:val="22"/>
        </w:rPr>
        <w:t>Water level in peat-zone creeks, salinity in creek heads, canopy density/fragmentation, evidence of drainage/blocked culverts, and shoreline erosion/accretion near outlets.</w:t>
      </w:r>
    </w:p>
    <w:p w:rsidR="00F04907" w:rsidRPr="00BF4AA8" w:rsidRDefault="00F04907" w:rsidP="00F04907">
      <w:pPr>
        <w:jc w:val="both"/>
        <w:rPr>
          <w:rFonts w:ascii="Arial" w:hAnsi="Arial" w:cs="Arial"/>
          <w:color w:val="0070C0"/>
          <w:sz w:val="22"/>
          <w:szCs w:val="22"/>
        </w:rPr>
      </w:pPr>
      <w:r w:rsidRPr="00BF4AA8">
        <w:rPr>
          <w:rFonts w:ascii="Arial" w:hAnsi="Arial" w:cs="Arial"/>
          <w:color w:val="0070C0"/>
          <w:sz w:val="22"/>
          <w:szCs w:val="22"/>
        </w:rPr>
        <w:t xml:space="preserve">C2. Site 2. </w:t>
      </w:r>
      <w:proofErr w:type="spellStart"/>
      <w:r w:rsidRPr="00BF4AA8">
        <w:rPr>
          <w:rFonts w:ascii="Arial" w:hAnsi="Arial" w:cs="Arial"/>
          <w:color w:val="0070C0"/>
          <w:sz w:val="22"/>
          <w:szCs w:val="22"/>
        </w:rPr>
        <w:t>Peam</w:t>
      </w:r>
      <w:proofErr w:type="spellEnd"/>
      <w:r w:rsidRPr="00BF4AA8">
        <w:rPr>
          <w:rFonts w:ascii="Arial" w:hAnsi="Arial" w:cs="Arial"/>
          <w:color w:val="0070C0"/>
          <w:sz w:val="22"/>
          <w:szCs w:val="22"/>
        </w:rPr>
        <w:t xml:space="preserve"> </w:t>
      </w:r>
      <w:proofErr w:type="spellStart"/>
      <w:r w:rsidRPr="00BF4AA8">
        <w:rPr>
          <w:rFonts w:ascii="Arial" w:hAnsi="Arial" w:cs="Arial"/>
          <w:color w:val="0070C0"/>
          <w:sz w:val="22"/>
          <w:szCs w:val="22"/>
        </w:rPr>
        <w:t>Krasaop</w:t>
      </w:r>
      <w:proofErr w:type="spellEnd"/>
      <w:r w:rsidRPr="00BF4AA8">
        <w:rPr>
          <w:rFonts w:ascii="Arial" w:hAnsi="Arial" w:cs="Arial"/>
          <w:color w:val="0070C0"/>
          <w:sz w:val="22"/>
          <w:szCs w:val="22"/>
        </w:rPr>
        <w:t xml:space="preserve"> Wildlife Sanctuary (Koh Kong)</w:t>
      </w:r>
    </w:p>
    <w:p w:rsidR="00F04907" w:rsidRPr="00BF4AA8" w:rsidRDefault="00F04907" w:rsidP="00F04907">
      <w:pPr>
        <w:pStyle w:val="NormalWeb"/>
        <w:jc w:val="both"/>
        <w:rPr>
          <w:rFonts w:ascii="Arial" w:hAnsi="Arial" w:cs="Arial"/>
          <w:sz w:val="22"/>
          <w:szCs w:val="22"/>
        </w:rPr>
      </w:pPr>
      <w:r w:rsidRPr="00BF4AA8">
        <w:rPr>
          <w:rStyle w:val="Strong"/>
          <w:rFonts w:ascii="Arial" w:hAnsi="Arial" w:cs="Arial"/>
          <w:sz w:val="22"/>
          <w:szCs w:val="22"/>
        </w:rPr>
        <w:t>Status &amp; ecological importance.</w:t>
      </w:r>
      <w:r w:rsidRPr="00BF4AA8">
        <w:rPr>
          <w:rFonts w:ascii="Arial" w:hAnsi="Arial" w:cs="Arial"/>
          <w:sz w:val="22"/>
          <w:szCs w:val="22"/>
        </w:rPr>
        <w:t xml:space="preserve"> </w:t>
      </w:r>
      <w:proofErr w:type="spellStart"/>
      <w:r w:rsidRPr="00BF4AA8">
        <w:rPr>
          <w:rFonts w:ascii="Arial" w:hAnsi="Arial" w:cs="Arial"/>
          <w:sz w:val="22"/>
          <w:szCs w:val="22"/>
        </w:rPr>
        <w:t>Peam</w:t>
      </w:r>
      <w:proofErr w:type="spellEnd"/>
      <w:r w:rsidRPr="00BF4AA8">
        <w:rPr>
          <w:rFonts w:ascii="Arial" w:hAnsi="Arial" w:cs="Arial"/>
          <w:sz w:val="22"/>
          <w:szCs w:val="22"/>
        </w:rPr>
        <w:t xml:space="preserve"> </w:t>
      </w:r>
      <w:proofErr w:type="spellStart"/>
      <w:r w:rsidRPr="00BF4AA8">
        <w:rPr>
          <w:rFonts w:ascii="Arial" w:hAnsi="Arial" w:cs="Arial"/>
          <w:sz w:val="22"/>
          <w:szCs w:val="22"/>
        </w:rPr>
        <w:t>Krasaop</w:t>
      </w:r>
      <w:proofErr w:type="spellEnd"/>
      <w:r w:rsidRPr="00BF4AA8">
        <w:rPr>
          <w:rFonts w:ascii="Arial" w:hAnsi="Arial" w:cs="Arial"/>
          <w:sz w:val="22"/>
          <w:szCs w:val="22"/>
        </w:rPr>
        <w:t xml:space="preserve"> is a mangrove-dominated archipelago with strong tidal and upstream freshwater influence; it supports fisheries and livelihoods for </w:t>
      </w:r>
      <w:proofErr w:type="gramStart"/>
      <w:r w:rsidRPr="00BF4AA8">
        <w:rPr>
          <w:rFonts w:ascii="Arial" w:hAnsi="Arial" w:cs="Arial"/>
          <w:sz w:val="22"/>
          <w:szCs w:val="22"/>
        </w:rPr>
        <w:t>local residents</w:t>
      </w:r>
      <w:proofErr w:type="gramEnd"/>
      <w:r w:rsidRPr="00BF4AA8">
        <w:rPr>
          <w:rFonts w:ascii="Arial" w:hAnsi="Arial" w:cs="Arial"/>
          <w:sz w:val="22"/>
          <w:szCs w:val="22"/>
        </w:rPr>
        <w:t xml:space="preserve">, and is now 16,982 ha after downsizing. The site contains multiple mangrove structural zones, indicating ecological gradients from intertidal flats through short-stature stands to taller riverine stands. Its key significance is </w:t>
      </w:r>
      <w:r w:rsidRPr="00BF4AA8">
        <w:rPr>
          <w:rStyle w:val="Strong"/>
          <w:rFonts w:ascii="Arial" w:hAnsi="Arial" w:cs="Arial"/>
          <w:sz w:val="22"/>
          <w:szCs w:val="22"/>
        </w:rPr>
        <w:t>connectivity</w:t>
      </w:r>
      <w:r w:rsidRPr="00BF4AA8">
        <w:rPr>
          <w:rFonts w:ascii="Arial" w:hAnsi="Arial" w:cs="Arial"/>
          <w:sz w:val="22"/>
          <w:szCs w:val="22"/>
        </w:rPr>
        <w:t xml:space="preserve">: </w:t>
      </w:r>
      <w:proofErr w:type="spellStart"/>
      <w:r w:rsidRPr="00BF4AA8">
        <w:rPr>
          <w:rFonts w:ascii="Arial" w:hAnsi="Arial" w:cs="Arial"/>
          <w:sz w:val="22"/>
          <w:szCs w:val="22"/>
        </w:rPr>
        <w:t>Peam</w:t>
      </w:r>
      <w:proofErr w:type="spellEnd"/>
      <w:r w:rsidRPr="00BF4AA8">
        <w:rPr>
          <w:rFonts w:ascii="Arial" w:hAnsi="Arial" w:cs="Arial"/>
          <w:sz w:val="22"/>
          <w:szCs w:val="22"/>
        </w:rPr>
        <w:t xml:space="preserve"> </w:t>
      </w:r>
      <w:proofErr w:type="spellStart"/>
      <w:r w:rsidRPr="00BF4AA8">
        <w:rPr>
          <w:rFonts w:ascii="Arial" w:hAnsi="Arial" w:cs="Arial"/>
          <w:sz w:val="22"/>
          <w:szCs w:val="22"/>
        </w:rPr>
        <w:t>Krasaop</w:t>
      </w:r>
      <w:proofErr w:type="spellEnd"/>
      <w:r w:rsidRPr="00BF4AA8">
        <w:rPr>
          <w:rFonts w:ascii="Arial" w:hAnsi="Arial" w:cs="Arial"/>
          <w:sz w:val="22"/>
          <w:szCs w:val="22"/>
        </w:rPr>
        <w:t xml:space="preserve"> links with the Koh </w:t>
      </w:r>
      <w:proofErr w:type="spellStart"/>
      <w:r w:rsidRPr="00BF4AA8">
        <w:rPr>
          <w:rFonts w:ascii="Arial" w:hAnsi="Arial" w:cs="Arial"/>
          <w:sz w:val="22"/>
          <w:szCs w:val="22"/>
        </w:rPr>
        <w:t>Kapik</w:t>
      </w:r>
      <w:proofErr w:type="spellEnd"/>
      <w:r w:rsidRPr="00BF4AA8">
        <w:rPr>
          <w:rFonts w:ascii="Arial" w:hAnsi="Arial" w:cs="Arial"/>
          <w:sz w:val="22"/>
          <w:szCs w:val="22"/>
        </w:rPr>
        <w:t xml:space="preserve"> Ramsar system and nearshore habitats, forming one of Cambodia’s most important </w:t>
      </w:r>
      <w:proofErr w:type="gramStart"/>
      <w:r w:rsidRPr="00BF4AA8">
        <w:rPr>
          <w:rFonts w:ascii="Arial" w:hAnsi="Arial" w:cs="Arial"/>
          <w:sz w:val="22"/>
          <w:szCs w:val="22"/>
        </w:rPr>
        <w:t>mangrove</w:t>
      </w:r>
      <w:proofErr w:type="gramEnd"/>
      <w:r w:rsidRPr="00BF4AA8">
        <w:rPr>
          <w:rFonts w:ascii="Arial" w:hAnsi="Arial" w:cs="Arial"/>
          <w:sz w:val="22"/>
          <w:szCs w:val="22"/>
        </w:rPr>
        <w:t>–estuarine complexes for nursery functions and surge attenuation.</w:t>
      </w:r>
    </w:p>
    <w:p w:rsidR="00F04907" w:rsidRPr="00BF4AA8" w:rsidRDefault="00F04907" w:rsidP="00F04907">
      <w:pPr>
        <w:pStyle w:val="NormalWeb"/>
        <w:jc w:val="both"/>
        <w:rPr>
          <w:rFonts w:ascii="Arial" w:hAnsi="Arial" w:cs="Arial"/>
          <w:i/>
          <w:iCs/>
          <w:sz w:val="22"/>
          <w:szCs w:val="22"/>
        </w:rPr>
      </w:pPr>
      <w:r w:rsidRPr="00BF4AA8">
        <w:rPr>
          <w:rStyle w:val="Strong"/>
          <w:rFonts w:ascii="Arial" w:hAnsi="Arial" w:cs="Arial"/>
          <w:i/>
          <w:iCs/>
          <w:sz w:val="22"/>
          <w:szCs w:val="22"/>
        </w:rPr>
        <w:t>Main pressures</w:t>
      </w:r>
    </w:p>
    <w:p w:rsidR="00F04907" w:rsidRPr="00BF4AA8" w:rsidRDefault="00F04907" w:rsidP="00F04907">
      <w:pPr>
        <w:pStyle w:val="NormalWeb"/>
        <w:numPr>
          <w:ilvl w:val="0"/>
          <w:numId w:val="226"/>
        </w:numPr>
        <w:jc w:val="both"/>
        <w:rPr>
          <w:rFonts w:ascii="Arial" w:hAnsi="Arial" w:cs="Arial"/>
          <w:sz w:val="22"/>
          <w:szCs w:val="22"/>
        </w:rPr>
      </w:pPr>
      <w:r w:rsidRPr="00BF4AA8">
        <w:rPr>
          <w:rStyle w:val="Strong"/>
          <w:rFonts w:ascii="Arial" w:hAnsi="Arial" w:cs="Arial"/>
          <w:sz w:val="22"/>
          <w:szCs w:val="22"/>
        </w:rPr>
        <w:t>Water-quality and hydrology stress</w:t>
      </w:r>
      <w:r w:rsidRPr="00BF4AA8">
        <w:rPr>
          <w:rFonts w:ascii="Arial" w:hAnsi="Arial" w:cs="Arial"/>
          <w:sz w:val="22"/>
          <w:szCs w:val="22"/>
        </w:rPr>
        <w:t xml:space="preserve"> from surrounding development: increased runoff, sediment, and nutrient inputs can reduce mangrove vigor and nursery productivity.</w:t>
      </w:r>
    </w:p>
    <w:p w:rsidR="00F04907" w:rsidRPr="00BF4AA8" w:rsidRDefault="00F04907" w:rsidP="00F04907">
      <w:pPr>
        <w:pStyle w:val="NormalWeb"/>
        <w:numPr>
          <w:ilvl w:val="0"/>
          <w:numId w:val="226"/>
        </w:numPr>
        <w:jc w:val="both"/>
        <w:rPr>
          <w:rFonts w:ascii="Arial" w:hAnsi="Arial" w:cs="Arial"/>
          <w:sz w:val="22"/>
          <w:szCs w:val="22"/>
        </w:rPr>
      </w:pPr>
      <w:r w:rsidRPr="00BF4AA8">
        <w:rPr>
          <w:rStyle w:val="Strong"/>
          <w:rFonts w:ascii="Arial" w:hAnsi="Arial" w:cs="Arial"/>
          <w:sz w:val="22"/>
          <w:szCs w:val="22"/>
        </w:rPr>
        <w:t>Aquaculture expansion and land conversion risk</w:t>
      </w:r>
      <w:r w:rsidRPr="00BF4AA8">
        <w:rPr>
          <w:rFonts w:ascii="Arial" w:hAnsi="Arial" w:cs="Arial"/>
          <w:sz w:val="22"/>
          <w:szCs w:val="22"/>
        </w:rPr>
        <w:t xml:space="preserve"> can fragment mangroves and alter flushing patterns.</w:t>
      </w:r>
    </w:p>
    <w:p w:rsidR="00F04907" w:rsidRPr="00BF4AA8" w:rsidRDefault="00F04907" w:rsidP="00F04907">
      <w:pPr>
        <w:pStyle w:val="NormalWeb"/>
        <w:numPr>
          <w:ilvl w:val="0"/>
          <w:numId w:val="226"/>
        </w:numPr>
        <w:jc w:val="both"/>
        <w:rPr>
          <w:rFonts w:ascii="Arial" w:hAnsi="Arial" w:cs="Arial"/>
          <w:sz w:val="22"/>
          <w:szCs w:val="22"/>
        </w:rPr>
      </w:pPr>
      <w:r w:rsidRPr="00BF4AA8">
        <w:rPr>
          <w:rStyle w:val="Strong"/>
          <w:rFonts w:ascii="Arial" w:hAnsi="Arial" w:cs="Arial"/>
          <w:sz w:val="22"/>
          <w:szCs w:val="22"/>
        </w:rPr>
        <w:t>Transport infrastructure</w:t>
      </w:r>
      <w:r w:rsidRPr="00BF4AA8">
        <w:rPr>
          <w:rFonts w:ascii="Arial" w:hAnsi="Arial" w:cs="Arial"/>
          <w:sz w:val="22"/>
          <w:szCs w:val="22"/>
        </w:rPr>
        <w:t xml:space="preserve"> can reshape channels and tidal exchange, affecting salinity and sediment budgets.</w:t>
      </w:r>
    </w:p>
    <w:p w:rsidR="00F04907" w:rsidRPr="00BF4AA8" w:rsidRDefault="00F04907" w:rsidP="00F04907">
      <w:pPr>
        <w:pStyle w:val="NormalWeb"/>
        <w:numPr>
          <w:ilvl w:val="0"/>
          <w:numId w:val="226"/>
        </w:numPr>
        <w:jc w:val="both"/>
        <w:rPr>
          <w:rFonts w:ascii="Arial" w:hAnsi="Arial" w:cs="Arial"/>
          <w:sz w:val="22"/>
          <w:szCs w:val="22"/>
        </w:rPr>
      </w:pPr>
      <w:r w:rsidRPr="00BF4AA8">
        <w:rPr>
          <w:rStyle w:val="Strong"/>
          <w:rFonts w:ascii="Arial" w:hAnsi="Arial" w:cs="Arial"/>
          <w:sz w:val="22"/>
          <w:szCs w:val="22"/>
        </w:rPr>
        <w:t>Localized extraction pressure</w:t>
      </w:r>
      <w:r w:rsidRPr="00BF4AA8">
        <w:rPr>
          <w:rFonts w:ascii="Arial" w:hAnsi="Arial" w:cs="Arial"/>
          <w:sz w:val="22"/>
          <w:szCs w:val="22"/>
        </w:rPr>
        <w:t xml:space="preserve"> (fuelwood, small timber) can degrade accessible margins if not governed by community rules.</w:t>
      </w:r>
    </w:p>
    <w:p w:rsidR="00F04907" w:rsidRPr="00BF4AA8" w:rsidRDefault="00F04907" w:rsidP="00F04907">
      <w:pPr>
        <w:pStyle w:val="NormalWeb"/>
        <w:jc w:val="both"/>
        <w:rPr>
          <w:rFonts w:ascii="Arial" w:hAnsi="Arial" w:cs="Arial"/>
          <w:i/>
          <w:iCs/>
          <w:sz w:val="22"/>
          <w:szCs w:val="22"/>
        </w:rPr>
      </w:pPr>
      <w:r w:rsidRPr="00BF4AA8">
        <w:rPr>
          <w:rStyle w:val="Strong"/>
          <w:rFonts w:ascii="Arial" w:hAnsi="Arial" w:cs="Arial"/>
          <w:i/>
          <w:iCs/>
          <w:sz w:val="22"/>
          <w:szCs w:val="22"/>
        </w:rPr>
        <w:t>Management implications</w:t>
      </w:r>
    </w:p>
    <w:p w:rsidR="00F04907" w:rsidRPr="00BF4AA8" w:rsidRDefault="00F04907" w:rsidP="00F04907">
      <w:pPr>
        <w:pStyle w:val="NormalWeb"/>
        <w:numPr>
          <w:ilvl w:val="0"/>
          <w:numId w:val="227"/>
        </w:numPr>
        <w:jc w:val="both"/>
        <w:rPr>
          <w:rFonts w:ascii="Arial" w:hAnsi="Arial" w:cs="Arial"/>
          <w:sz w:val="22"/>
          <w:szCs w:val="22"/>
        </w:rPr>
      </w:pPr>
      <w:r w:rsidRPr="00BF4AA8">
        <w:rPr>
          <w:rFonts w:ascii="Arial" w:hAnsi="Arial" w:cs="Arial"/>
          <w:sz w:val="22"/>
          <w:szCs w:val="22"/>
        </w:rPr>
        <w:t xml:space="preserve">Manage </w:t>
      </w:r>
      <w:proofErr w:type="spellStart"/>
      <w:r w:rsidRPr="00BF4AA8">
        <w:rPr>
          <w:rFonts w:ascii="Arial" w:hAnsi="Arial" w:cs="Arial"/>
          <w:sz w:val="22"/>
          <w:szCs w:val="22"/>
        </w:rPr>
        <w:t>Peam</w:t>
      </w:r>
      <w:proofErr w:type="spellEnd"/>
      <w:r w:rsidRPr="00BF4AA8">
        <w:rPr>
          <w:rFonts w:ascii="Arial" w:hAnsi="Arial" w:cs="Arial"/>
          <w:sz w:val="22"/>
          <w:szCs w:val="22"/>
        </w:rPr>
        <w:t xml:space="preserve"> </w:t>
      </w:r>
      <w:proofErr w:type="spellStart"/>
      <w:r w:rsidRPr="00BF4AA8">
        <w:rPr>
          <w:rFonts w:ascii="Arial" w:hAnsi="Arial" w:cs="Arial"/>
          <w:sz w:val="22"/>
          <w:szCs w:val="22"/>
        </w:rPr>
        <w:t>Krasaop</w:t>
      </w:r>
      <w:proofErr w:type="spellEnd"/>
      <w:r w:rsidRPr="00BF4AA8">
        <w:rPr>
          <w:rFonts w:ascii="Arial" w:hAnsi="Arial" w:cs="Arial"/>
          <w:sz w:val="22"/>
          <w:szCs w:val="22"/>
        </w:rPr>
        <w:t xml:space="preserve"> as a </w:t>
      </w:r>
      <w:r w:rsidRPr="00BF4AA8">
        <w:rPr>
          <w:rStyle w:val="Strong"/>
          <w:rFonts w:ascii="Arial" w:hAnsi="Arial" w:cs="Arial"/>
          <w:sz w:val="22"/>
          <w:szCs w:val="22"/>
        </w:rPr>
        <w:t>land–sea system</w:t>
      </w:r>
      <w:r w:rsidRPr="00BF4AA8">
        <w:rPr>
          <w:rFonts w:ascii="Arial" w:hAnsi="Arial" w:cs="Arial"/>
          <w:sz w:val="22"/>
          <w:szCs w:val="22"/>
        </w:rPr>
        <w:t>: zoning should protect tidal channels, intertidal flats, and mangrove edges that function as nursery corridors.</w:t>
      </w:r>
    </w:p>
    <w:p w:rsidR="00F04907" w:rsidRPr="00BF4AA8" w:rsidRDefault="00F04907" w:rsidP="00F04907">
      <w:pPr>
        <w:pStyle w:val="NormalWeb"/>
        <w:numPr>
          <w:ilvl w:val="0"/>
          <w:numId w:val="227"/>
        </w:numPr>
        <w:jc w:val="both"/>
        <w:rPr>
          <w:rFonts w:ascii="Arial" w:hAnsi="Arial" w:cs="Arial"/>
          <w:sz w:val="22"/>
          <w:szCs w:val="22"/>
        </w:rPr>
      </w:pPr>
      <w:r w:rsidRPr="00BF4AA8">
        <w:rPr>
          <w:rFonts w:ascii="Arial" w:hAnsi="Arial" w:cs="Arial"/>
          <w:sz w:val="22"/>
          <w:szCs w:val="22"/>
        </w:rPr>
        <w:t xml:space="preserve">Strengthen joint </w:t>
      </w:r>
      <w:proofErr w:type="spellStart"/>
      <w:r w:rsidRPr="00BF4AA8">
        <w:rPr>
          <w:rFonts w:ascii="Arial" w:hAnsi="Arial" w:cs="Arial"/>
          <w:sz w:val="22"/>
          <w:szCs w:val="22"/>
        </w:rPr>
        <w:t>MoE</w:t>
      </w:r>
      <w:proofErr w:type="spellEnd"/>
      <w:r w:rsidRPr="00BF4AA8">
        <w:rPr>
          <w:rFonts w:ascii="Arial" w:hAnsi="Arial" w:cs="Arial"/>
          <w:sz w:val="22"/>
          <w:szCs w:val="22"/>
        </w:rPr>
        <w:t>–</w:t>
      </w:r>
      <w:proofErr w:type="spellStart"/>
      <w:r w:rsidRPr="00BF4AA8">
        <w:rPr>
          <w:rFonts w:ascii="Arial" w:hAnsi="Arial" w:cs="Arial"/>
          <w:sz w:val="22"/>
          <w:szCs w:val="22"/>
        </w:rPr>
        <w:t>FiA</w:t>
      </w:r>
      <w:proofErr w:type="spellEnd"/>
      <w:r w:rsidRPr="00BF4AA8">
        <w:rPr>
          <w:rFonts w:ascii="Arial" w:hAnsi="Arial" w:cs="Arial"/>
          <w:sz w:val="22"/>
          <w:szCs w:val="22"/>
        </w:rPr>
        <w:t xml:space="preserve"> coordination with adjacent community fisheries where access and livelihood </w:t>
      </w:r>
      <w:proofErr w:type="gramStart"/>
      <w:r w:rsidRPr="00BF4AA8">
        <w:rPr>
          <w:rFonts w:ascii="Arial" w:hAnsi="Arial" w:cs="Arial"/>
          <w:sz w:val="22"/>
          <w:szCs w:val="22"/>
        </w:rPr>
        <w:t>uses</w:t>
      </w:r>
      <w:proofErr w:type="gramEnd"/>
      <w:r w:rsidRPr="00BF4AA8">
        <w:rPr>
          <w:rFonts w:ascii="Arial" w:hAnsi="Arial" w:cs="Arial"/>
          <w:sz w:val="22"/>
          <w:szCs w:val="22"/>
        </w:rPr>
        <w:t xml:space="preserve"> are high.</w:t>
      </w:r>
    </w:p>
    <w:p w:rsidR="00F04907" w:rsidRPr="00BF4AA8" w:rsidRDefault="00F04907" w:rsidP="00F04907">
      <w:pPr>
        <w:pStyle w:val="NormalWeb"/>
        <w:numPr>
          <w:ilvl w:val="0"/>
          <w:numId w:val="227"/>
        </w:numPr>
        <w:jc w:val="both"/>
        <w:rPr>
          <w:rFonts w:ascii="Arial" w:hAnsi="Arial" w:cs="Arial"/>
          <w:sz w:val="22"/>
          <w:szCs w:val="22"/>
        </w:rPr>
      </w:pPr>
      <w:r w:rsidRPr="00BF4AA8">
        <w:rPr>
          <w:rFonts w:ascii="Arial" w:hAnsi="Arial" w:cs="Arial"/>
          <w:sz w:val="22"/>
          <w:szCs w:val="22"/>
        </w:rPr>
        <w:t>Prioritize low-cost measures that reduce chronic stress: buffer zones for runoff, control of clearing, targeted patrol support for community enforcement.</w:t>
      </w:r>
    </w:p>
    <w:p w:rsidR="00F04907" w:rsidRPr="00BF4AA8" w:rsidRDefault="00F04907" w:rsidP="00F04907">
      <w:pPr>
        <w:pStyle w:val="NormalWeb"/>
        <w:jc w:val="both"/>
        <w:rPr>
          <w:rFonts w:ascii="Arial" w:hAnsi="Arial" w:cs="Arial"/>
          <w:i/>
          <w:iCs/>
          <w:sz w:val="22"/>
          <w:szCs w:val="22"/>
        </w:rPr>
      </w:pPr>
      <w:r w:rsidRPr="00BF4AA8">
        <w:rPr>
          <w:rStyle w:val="Strong"/>
          <w:rFonts w:ascii="Arial" w:hAnsi="Arial" w:cs="Arial"/>
          <w:i/>
          <w:iCs/>
          <w:sz w:val="22"/>
          <w:szCs w:val="22"/>
        </w:rPr>
        <w:t>Priority indicators</w:t>
      </w:r>
    </w:p>
    <w:p w:rsidR="00F04907" w:rsidRPr="00BF4AA8" w:rsidRDefault="00F04907" w:rsidP="00F04907">
      <w:pPr>
        <w:pStyle w:val="NormalWeb"/>
        <w:numPr>
          <w:ilvl w:val="0"/>
          <w:numId w:val="228"/>
        </w:numPr>
        <w:jc w:val="both"/>
        <w:rPr>
          <w:rFonts w:ascii="Arial" w:hAnsi="Arial" w:cs="Arial"/>
          <w:sz w:val="22"/>
          <w:szCs w:val="22"/>
        </w:rPr>
      </w:pPr>
      <w:r w:rsidRPr="00BF4AA8">
        <w:rPr>
          <w:rFonts w:ascii="Arial" w:hAnsi="Arial" w:cs="Arial"/>
          <w:sz w:val="22"/>
          <w:szCs w:val="22"/>
        </w:rPr>
        <w:t xml:space="preserve">Channel/tidal connectivity, </w:t>
      </w:r>
      <w:proofErr w:type="gramStart"/>
      <w:r w:rsidRPr="00BF4AA8">
        <w:rPr>
          <w:rFonts w:ascii="Arial" w:hAnsi="Arial" w:cs="Arial"/>
          <w:sz w:val="22"/>
          <w:szCs w:val="22"/>
        </w:rPr>
        <w:t>turbidity</w:t>
      </w:r>
      <w:proofErr w:type="gramEnd"/>
      <w:r w:rsidRPr="00BF4AA8">
        <w:rPr>
          <w:rFonts w:ascii="Arial" w:hAnsi="Arial" w:cs="Arial"/>
          <w:sz w:val="22"/>
          <w:szCs w:val="22"/>
        </w:rPr>
        <w:t xml:space="preserve"> and nutrient proxies (simple water checks), mangrove fragmentation, and community catch/CPUE as a proxy for nursery function.</w:t>
      </w:r>
    </w:p>
    <w:p w:rsidR="00F04907" w:rsidRPr="00BF4AA8" w:rsidRDefault="00F04907" w:rsidP="00F04907">
      <w:pPr>
        <w:jc w:val="both"/>
        <w:rPr>
          <w:rFonts w:ascii="Arial" w:hAnsi="Arial" w:cs="Arial"/>
          <w:sz w:val="22"/>
          <w:szCs w:val="22"/>
        </w:rPr>
      </w:pPr>
      <w:r w:rsidRPr="00BF4AA8">
        <w:rPr>
          <w:rFonts w:ascii="Arial" w:hAnsi="Arial" w:cs="Arial"/>
          <w:color w:val="0070C0"/>
          <w:sz w:val="22"/>
          <w:szCs w:val="22"/>
        </w:rPr>
        <w:t xml:space="preserve">C3. Site 3. Koh </w:t>
      </w:r>
      <w:proofErr w:type="spellStart"/>
      <w:r w:rsidRPr="00BF4AA8">
        <w:rPr>
          <w:rFonts w:ascii="Arial" w:hAnsi="Arial" w:cs="Arial"/>
          <w:color w:val="0070C0"/>
          <w:sz w:val="22"/>
          <w:szCs w:val="22"/>
        </w:rPr>
        <w:t>Kapik</w:t>
      </w:r>
      <w:proofErr w:type="spellEnd"/>
      <w:r w:rsidRPr="00BF4AA8">
        <w:rPr>
          <w:rFonts w:ascii="Arial" w:hAnsi="Arial" w:cs="Arial"/>
          <w:color w:val="0070C0"/>
          <w:sz w:val="22"/>
          <w:szCs w:val="22"/>
        </w:rPr>
        <w:t xml:space="preserve"> &amp; Associated Islets (Ramsar Site 998) (Koh Kong)</w:t>
      </w:r>
    </w:p>
    <w:p w:rsidR="00F04907" w:rsidRPr="00BF4AA8" w:rsidRDefault="00F04907" w:rsidP="00F04907">
      <w:pPr>
        <w:pStyle w:val="NormalWeb"/>
        <w:jc w:val="both"/>
        <w:rPr>
          <w:rFonts w:ascii="Arial" w:hAnsi="Arial" w:cs="Arial"/>
          <w:sz w:val="22"/>
          <w:szCs w:val="22"/>
        </w:rPr>
      </w:pPr>
      <w:r w:rsidRPr="00BF4AA8">
        <w:rPr>
          <w:rStyle w:val="Strong"/>
          <w:rFonts w:ascii="Arial" w:hAnsi="Arial" w:cs="Arial"/>
          <w:sz w:val="22"/>
          <w:szCs w:val="22"/>
        </w:rPr>
        <w:t>Status &amp; ecological importance.</w:t>
      </w:r>
      <w:r w:rsidRPr="00BF4AA8">
        <w:rPr>
          <w:rFonts w:ascii="Arial" w:hAnsi="Arial" w:cs="Arial"/>
          <w:sz w:val="22"/>
          <w:szCs w:val="22"/>
        </w:rPr>
        <w:t xml:space="preserve"> Koh </w:t>
      </w:r>
      <w:proofErr w:type="spellStart"/>
      <w:r w:rsidRPr="00BF4AA8">
        <w:rPr>
          <w:rFonts w:ascii="Arial" w:hAnsi="Arial" w:cs="Arial"/>
          <w:sz w:val="22"/>
          <w:szCs w:val="22"/>
        </w:rPr>
        <w:t>Kapik</w:t>
      </w:r>
      <w:proofErr w:type="spellEnd"/>
      <w:r w:rsidRPr="00BF4AA8">
        <w:rPr>
          <w:rFonts w:ascii="Arial" w:hAnsi="Arial" w:cs="Arial"/>
          <w:sz w:val="22"/>
          <w:szCs w:val="22"/>
        </w:rPr>
        <w:t xml:space="preserve"> (~12,000 ha) is a Ramsar-designated wetland of alluvial islands, mangroves, and intertidal flats. A defining governance feature is that only ~60% falls inside </w:t>
      </w:r>
      <w:proofErr w:type="spellStart"/>
      <w:r w:rsidRPr="00BF4AA8">
        <w:rPr>
          <w:rFonts w:ascii="Arial" w:hAnsi="Arial" w:cs="Arial"/>
          <w:sz w:val="22"/>
          <w:szCs w:val="22"/>
        </w:rPr>
        <w:t>Peam</w:t>
      </w:r>
      <w:proofErr w:type="spellEnd"/>
      <w:r w:rsidRPr="00BF4AA8">
        <w:rPr>
          <w:rFonts w:ascii="Arial" w:hAnsi="Arial" w:cs="Arial"/>
          <w:sz w:val="22"/>
          <w:szCs w:val="22"/>
        </w:rPr>
        <w:t xml:space="preserve"> </w:t>
      </w:r>
      <w:proofErr w:type="spellStart"/>
      <w:r w:rsidRPr="00BF4AA8">
        <w:rPr>
          <w:rFonts w:ascii="Arial" w:hAnsi="Arial" w:cs="Arial"/>
          <w:sz w:val="22"/>
          <w:szCs w:val="22"/>
        </w:rPr>
        <w:t>Krasaop</w:t>
      </w:r>
      <w:proofErr w:type="spellEnd"/>
      <w:r w:rsidRPr="00BF4AA8">
        <w:rPr>
          <w:rFonts w:ascii="Arial" w:hAnsi="Arial" w:cs="Arial"/>
          <w:sz w:val="22"/>
          <w:szCs w:val="22"/>
        </w:rPr>
        <w:t xml:space="preserve"> WS while ~40% lies outside—so outcomes depend on </w:t>
      </w:r>
      <w:r w:rsidRPr="00BF4AA8">
        <w:rPr>
          <w:rStyle w:val="Strong"/>
          <w:rFonts w:ascii="Arial" w:hAnsi="Arial" w:cs="Arial"/>
          <w:sz w:val="22"/>
          <w:szCs w:val="22"/>
        </w:rPr>
        <w:t>cross-boundary coordination</w:t>
      </w:r>
      <w:r w:rsidRPr="00BF4AA8">
        <w:rPr>
          <w:rFonts w:ascii="Arial" w:hAnsi="Arial" w:cs="Arial"/>
          <w:sz w:val="22"/>
          <w:szCs w:val="22"/>
        </w:rPr>
        <w:t>, not only sanctuary management. Ecologically, the system relies on freshwater inflows (</w:t>
      </w:r>
      <w:proofErr w:type="spellStart"/>
      <w:r w:rsidRPr="00BF4AA8">
        <w:rPr>
          <w:rFonts w:ascii="Arial" w:hAnsi="Arial" w:cs="Arial"/>
          <w:sz w:val="22"/>
          <w:szCs w:val="22"/>
        </w:rPr>
        <w:t>Prek</w:t>
      </w:r>
      <w:proofErr w:type="spellEnd"/>
      <w:r w:rsidRPr="00BF4AA8">
        <w:rPr>
          <w:rFonts w:ascii="Arial" w:hAnsi="Arial" w:cs="Arial"/>
          <w:sz w:val="22"/>
          <w:szCs w:val="22"/>
        </w:rPr>
        <w:t xml:space="preserve"> Koh Pao and </w:t>
      </w:r>
      <w:proofErr w:type="spellStart"/>
      <w:r w:rsidRPr="00BF4AA8">
        <w:rPr>
          <w:rFonts w:ascii="Arial" w:hAnsi="Arial" w:cs="Arial"/>
          <w:sz w:val="22"/>
          <w:szCs w:val="22"/>
        </w:rPr>
        <w:t>Prek</w:t>
      </w:r>
      <w:proofErr w:type="spellEnd"/>
      <w:r w:rsidRPr="00BF4AA8">
        <w:rPr>
          <w:rFonts w:ascii="Arial" w:hAnsi="Arial" w:cs="Arial"/>
          <w:sz w:val="22"/>
          <w:szCs w:val="22"/>
        </w:rPr>
        <w:t xml:space="preserve"> </w:t>
      </w:r>
      <w:proofErr w:type="spellStart"/>
      <w:r w:rsidRPr="00BF4AA8">
        <w:rPr>
          <w:rFonts w:ascii="Arial" w:hAnsi="Arial" w:cs="Arial"/>
          <w:sz w:val="22"/>
          <w:szCs w:val="22"/>
        </w:rPr>
        <w:t>Khlang</w:t>
      </w:r>
      <w:proofErr w:type="spellEnd"/>
      <w:r w:rsidRPr="00BF4AA8">
        <w:rPr>
          <w:rFonts w:ascii="Arial" w:hAnsi="Arial" w:cs="Arial"/>
          <w:sz w:val="22"/>
          <w:szCs w:val="22"/>
        </w:rPr>
        <w:t xml:space="preserve"> </w:t>
      </w:r>
      <w:proofErr w:type="spellStart"/>
      <w:r w:rsidRPr="00BF4AA8">
        <w:rPr>
          <w:rFonts w:ascii="Arial" w:hAnsi="Arial" w:cs="Arial"/>
          <w:sz w:val="22"/>
          <w:szCs w:val="22"/>
        </w:rPr>
        <w:t>Yai</w:t>
      </w:r>
      <w:proofErr w:type="spellEnd"/>
      <w:r w:rsidRPr="00BF4AA8">
        <w:rPr>
          <w:rFonts w:ascii="Arial" w:hAnsi="Arial" w:cs="Arial"/>
          <w:sz w:val="22"/>
          <w:szCs w:val="22"/>
        </w:rPr>
        <w:t xml:space="preserve">/Stung </w:t>
      </w:r>
      <w:proofErr w:type="spellStart"/>
      <w:r w:rsidRPr="00BF4AA8">
        <w:rPr>
          <w:rFonts w:ascii="Arial" w:hAnsi="Arial" w:cs="Arial"/>
          <w:sz w:val="22"/>
          <w:szCs w:val="22"/>
        </w:rPr>
        <w:t>Kep</w:t>
      </w:r>
      <w:proofErr w:type="spellEnd"/>
      <w:r w:rsidRPr="00BF4AA8">
        <w:rPr>
          <w:rFonts w:ascii="Arial" w:hAnsi="Arial" w:cs="Arial"/>
          <w:sz w:val="22"/>
          <w:szCs w:val="22"/>
        </w:rPr>
        <w:t>) mixing with tides to maintain brackish productivity that supports fisheries and waterbirds. The site also has high livelihood reliance (&gt;65% of households with 70–90% wetland-derived income), so ecological change rapidly becomes a welfare issue.</w:t>
      </w:r>
    </w:p>
    <w:p w:rsidR="00F04907" w:rsidRPr="00BF4AA8" w:rsidRDefault="00F04907" w:rsidP="00F04907">
      <w:pPr>
        <w:pStyle w:val="NormalWeb"/>
        <w:jc w:val="both"/>
        <w:rPr>
          <w:rFonts w:ascii="Arial" w:hAnsi="Arial" w:cs="Arial"/>
          <w:i/>
          <w:iCs/>
          <w:sz w:val="22"/>
          <w:szCs w:val="22"/>
        </w:rPr>
      </w:pPr>
      <w:r w:rsidRPr="00BF4AA8">
        <w:rPr>
          <w:rStyle w:val="Strong"/>
          <w:rFonts w:ascii="Arial" w:hAnsi="Arial" w:cs="Arial"/>
          <w:i/>
          <w:iCs/>
          <w:sz w:val="22"/>
          <w:szCs w:val="22"/>
        </w:rPr>
        <w:t>Main pressures</w:t>
      </w:r>
    </w:p>
    <w:p w:rsidR="00F04907" w:rsidRPr="00BF4AA8" w:rsidRDefault="00F04907" w:rsidP="00F04907">
      <w:pPr>
        <w:pStyle w:val="NormalWeb"/>
        <w:numPr>
          <w:ilvl w:val="0"/>
          <w:numId w:val="229"/>
        </w:numPr>
        <w:jc w:val="both"/>
        <w:rPr>
          <w:rFonts w:ascii="Arial" w:hAnsi="Arial" w:cs="Arial"/>
          <w:sz w:val="22"/>
          <w:szCs w:val="22"/>
        </w:rPr>
      </w:pPr>
      <w:r w:rsidRPr="00BF4AA8">
        <w:rPr>
          <w:rStyle w:val="Strong"/>
          <w:rFonts w:ascii="Arial" w:hAnsi="Arial" w:cs="Arial"/>
          <w:sz w:val="22"/>
          <w:szCs w:val="22"/>
        </w:rPr>
        <w:t>Reduced freshwater inflow or altered timing</w:t>
      </w:r>
      <w:r w:rsidRPr="00BF4AA8">
        <w:rPr>
          <w:rFonts w:ascii="Arial" w:hAnsi="Arial" w:cs="Arial"/>
          <w:sz w:val="22"/>
          <w:szCs w:val="22"/>
        </w:rPr>
        <w:t xml:space="preserve"> (upstream changes, diversions) can shift salinity and reduce plankton/fish productivity.</w:t>
      </w:r>
    </w:p>
    <w:p w:rsidR="00F04907" w:rsidRPr="00BF4AA8" w:rsidRDefault="00F04907" w:rsidP="00F04907">
      <w:pPr>
        <w:pStyle w:val="NormalWeb"/>
        <w:numPr>
          <w:ilvl w:val="0"/>
          <w:numId w:val="229"/>
        </w:numPr>
        <w:jc w:val="both"/>
        <w:rPr>
          <w:rFonts w:ascii="Arial" w:hAnsi="Arial" w:cs="Arial"/>
          <w:sz w:val="22"/>
          <w:szCs w:val="22"/>
        </w:rPr>
      </w:pPr>
      <w:r w:rsidRPr="00BF4AA8">
        <w:rPr>
          <w:rStyle w:val="Strong"/>
          <w:rFonts w:ascii="Arial" w:hAnsi="Arial" w:cs="Arial"/>
          <w:sz w:val="22"/>
          <w:szCs w:val="22"/>
        </w:rPr>
        <w:t>Channel infill/sedimentation</w:t>
      </w:r>
      <w:r w:rsidRPr="00BF4AA8">
        <w:rPr>
          <w:rFonts w:ascii="Arial" w:hAnsi="Arial" w:cs="Arial"/>
          <w:sz w:val="22"/>
          <w:szCs w:val="22"/>
        </w:rPr>
        <w:t xml:space="preserve"> can shrink tidal prism and reduce habitat quality for shorebirds and fisheries.</w:t>
      </w:r>
    </w:p>
    <w:p w:rsidR="00F04907" w:rsidRPr="00BF4AA8" w:rsidRDefault="00F04907" w:rsidP="00F04907">
      <w:pPr>
        <w:pStyle w:val="NormalWeb"/>
        <w:numPr>
          <w:ilvl w:val="0"/>
          <w:numId w:val="229"/>
        </w:numPr>
        <w:jc w:val="both"/>
        <w:rPr>
          <w:rFonts w:ascii="Arial" w:hAnsi="Arial" w:cs="Arial"/>
          <w:sz w:val="22"/>
          <w:szCs w:val="22"/>
        </w:rPr>
      </w:pPr>
      <w:r w:rsidRPr="00BF4AA8">
        <w:rPr>
          <w:rStyle w:val="Strong"/>
          <w:rFonts w:ascii="Arial" w:hAnsi="Arial" w:cs="Arial"/>
          <w:sz w:val="22"/>
          <w:szCs w:val="22"/>
        </w:rPr>
        <w:t>Mangrove fragmentation</w:t>
      </w:r>
      <w:r w:rsidRPr="00BF4AA8">
        <w:rPr>
          <w:rFonts w:ascii="Arial" w:hAnsi="Arial" w:cs="Arial"/>
          <w:sz w:val="22"/>
          <w:szCs w:val="22"/>
        </w:rPr>
        <w:t xml:space="preserve"> weakens storm buffering and nursery connectivity.</w:t>
      </w:r>
    </w:p>
    <w:p w:rsidR="00F04907" w:rsidRPr="00BF4AA8" w:rsidRDefault="00F04907" w:rsidP="00F04907">
      <w:pPr>
        <w:pStyle w:val="NormalWeb"/>
        <w:numPr>
          <w:ilvl w:val="0"/>
          <w:numId w:val="229"/>
        </w:numPr>
        <w:jc w:val="both"/>
        <w:rPr>
          <w:rFonts w:ascii="Arial" w:hAnsi="Arial" w:cs="Arial"/>
          <w:sz w:val="22"/>
          <w:szCs w:val="22"/>
        </w:rPr>
      </w:pPr>
      <w:r w:rsidRPr="00BF4AA8">
        <w:rPr>
          <w:rStyle w:val="Strong"/>
          <w:rFonts w:ascii="Arial" w:hAnsi="Arial" w:cs="Arial"/>
          <w:sz w:val="22"/>
          <w:szCs w:val="22"/>
        </w:rPr>
        <w:t>Cross-boundary enforcement gaps</w:t>
      </w:r>
      <w:r w:rsidRPr="00BF4AA8">
        <w:rPr>
          <w:rFonts w:ascii="Arial" w:hAnsi="Arial" w:cs="Arial"/>
          <w:sz w:val="22"/>
          <w:szCs w:val="22"/>
        </w:rPr>
        <w:t xml:space="preserve"> (outside-WS areas) create weak points where clearing or unregulated activities can undermine the whole system.</w:t>
      </w:r>
    </w:p>
    <w:p w:rsidR="00F04907" w:rsidRPr="00BF4AA8" w:rsidRDefault="00F04907" w:rsidP="00F04907">
      <w:pPr>
        <w:pStyle w:val="NormalWeb"/>
        <w:jc w:val="both"/>
        <w:rPr>
          <w:rFonts w:ascii="Arial" w:hAnsi="Arial" w:cs="Arial"/>
          <w:i/>
          <w:iCs/>
          <w:sz w:val="22"/>
          <w:szCs w:val="22"/>
        </w:rPr>
      </w:pPr>
      <w:r w:rsidRPr="00BF4AA8">
        <w:rPr>
          <w:rStyle w:val="Strong"/>
          <w:rFonts w:ascii="Arial" w:hAnsi="Arial" w:cs="Arial"/>
          <w:i/>
          <w:iCs/>
          <w:sz w:val="22"/>
          <w:szCs w:val="22"/>
        </w:rPr>
        <w:t>Management implications</w:t>
      </w:r>
    </w:p>
    <w:p w:rsidR="00F04907" w:rsidRPr="00BF4AA8" w:rsidRDefault="00F04907" w:rsidP="00F04907">
      <w:pPr>
        <w:pStyle w:val="NormalWeb"/>
        <w:numPr>
          <w:ilvl w:val="0"/>
          <w:numId w:val="230"/>
        </w:numPr>
        <w:jc w:val="both"/>
        <w:rPr>
          <w:rFonts w:ascii="Arial" w:hAnsi="Arial" w:cs="Arial"/>
          <w:sz w:val="22"/>
          <w:szCs w:val="22"/>
        </w:rPr>
      </w:pPr>
      <w:r w:rsidRPr="00BF4AA8">
        <w:rPr>
          <w:rFonts w:ascii="Arial" w:hAnsi="Arial" w:cs="Arial"/>
          <w:sz w:val="22"/>
          <w:szCs w:val="22"/>
        </w:rPr>
        <w:t xml:space="preserve">Treat Koh </w:t>
      </w:r>
      <w:proofErr w:type="spellStart"/>
      <w:r w:rsidRPr="00BF4AA8">
        <w:rPr>
          <w:rFonts w:ascii="Arial" w:hAnsi="Arial" w:cs="Arial"/>
          <w:sz w:val="22"/>
          <w:szCs w:val="22"/>
        </w:rPr>
        <w:t>Kapik</w:t>
      </w:r>
      <w:proofErr w:type="spellEnd"/>
      <w:r w:rsidRPr="00BF4AA8">
        <w:rPr>
          <w:rFonts w:ascii="Arial" w:hAnsi="Arial" w:cs="Arial"/>
          <w:sz w:val="22"/>
          <w:szCs w:val="22"/>
        </w:rPr>
        <w:t xml:space="preserve"> as a </w:t>
      </w:r>
      <w:r w:rsidRPr="00BF4AA8">
        <w:rPr>
          <w:rStyle w:val="Strong"/>
          <w:rFonts w:ascii="Arial" w:hAnsi="Arial" w:cs="Arial"/>
          <w:sz w:val="22"/>
          <w:szCs w:val="22"/>
        </w:rPr>
        <w:t>connectivity-managed Ramsar landscape</w:t>
      </w:r>
      <w:r w:rsidRPr="00BF4AA8">
        <w:rPr>
          <w:rFonts w:ascii="Arial" w:hAnsi="Arial" w:cs="Arial"/>
          <w:sz w:val="22"/>
          <w:szCs w:val="22"/>
        </w:rPr>
        <w:t>: protect inter-islet flats, keep channels open, maintain freshwater inflows, and coordinate rules across administrative boundaries.</w:t>
      </w:r>
    </w:p>
    <w:p w:rsidR="00F04907" w:rsidRPr="00BF4AA8" w:rsidRDefault="00F04907" w:rsidP="00F04907">
      <w:pPr>
        <w:pStyle w:val="NormalWeb"/>
        <w:numPr>
          <w:ilvl w:val="0"/>
          <w:numId w:val="230"/>
        </w:numPr>
        <w:jc w:val="both"/>
        <w:rPr>
          <w:rFonts w:ascii="Arial" w:hAnsi="Arial" w:cs="Arial"/>
          <w:sz w:val="22"/>
          <w:szCs w:val="22"/>
        </w:rPr>
      </w:pPr>
      <w:r w:rsidRPr="00BF4AA8">
        <w:rPr>
          <w:rFonts w:ascii="Arial" w:hAnsi="Arial" w:cs="Arial"/>
          <w:sz w:val="22"/>
          <w:szCs w:val="22"/>
        </w:rPr>
        <w:t>Prioritize simple “system integrity” protections (no conversion of flats, avoid blocking channels, maintain tidal prism).</w:t>
      </w:r>
    </w:p>
    <w:p w:rsidR="00F04907" w:rsidRPr="00BF4AA8" w:rsidRDefault="00F04907" w:rsidP="00F04907">
      <w:pPr>
        <w:pStyle w:val="NormalWeb"/>
        <w:numPr>
          <w:ilvl w:val="0"/>
          <w:numId w:val="230"/>
        </w:numPr>
        <w:jc w:val="both"/>
        <w:rPr>
          <w:rFonts w:ascii="Arial" w:hAnsi="Arial" w:cs="Arial"/>
          <w:sz w:val="22"/>
          <w:szCs w:val="22"/>
        </w:rPr>
      </w:pPr>
      <w:r w:rsidRPr="00BF4AA8">
        <w:rPr>
          <w:rFonts w:ascii="Arial" w:hAnsi="Arial" w:cs="Arial"/>
          <w:sz w:val="22"/>
          <w:szCs w:val="22"/>
        </w:rPr>
        <w:t>Link livelihood protection with management: community compliance improves when rules clearly protect fishing productivity.</w:t>
      </w:r>
    </w:p>
    <w:p w:rsidR="00F04907" w:rsidRPr="00BF4AA8" w:rsidRDefault="00F04907" w:rsidP="00F04907">
      <w:pPr>
        <w:pStyle w:val="NormalWeb"/>
        <w:jc w:val="both"/>
        <w:rPr>
          <w:rFonts w:ascii="Arial" w:hAnsi="Arial" w:cs="Arial"/>
          <w:i/>
          <w:iCs/>
          <w:sz w:val="22"/>
          <w:szCs w:val="22"/>
        </w:rPr>
      </w:pPr>
      <w:r w:rsidRPr="00BF4AA8">
        <w:rPr>
          <w:rStyle w:val="Strong"/>
          <w:rFonts w:ascii="Arial" w:hAnsi="Arial" w:cs="Arial"/>
          <w:i/>
          <w:iCs/>
          <w:sz w:val="22"/>
          <w:szCs w:val="22"/>
        </w:rPr>
        <w:t>Priority indicators</w:t>
      </w:r>
    </w:p>
    <w:p w:rsidR="00F04907" w:rsidRPr="00BF4AA8" w:rsidRDefault="00F04907" w:rsidP="00F04907">
      <w:pPr>
        <w:pStyle w:val="NormalWeb"/>
        <w:numPr>
          <w:ilvl w:val="0"/>
          <w:numId w:val="231"/>
        </w:numPr>
        <w:jc w:val="both"/>
        <w:rPr>
          <w:rFonts w:ascii="Arial" w:hAnsi="Arial" w:cs="Arial"/>
          <w:sz w:val="22"/>
          <w:szCs w:val="22"/>
        </w:rPr>
      </w:pPr>
      <w:r w:rsidRPr="00BF4AA8">
        <w:rPr>
          <w:rFonts w:ascii="Arial" w:hAnsi="Arial" w:cs="Arial"/>
          <w:sz w:val="22"/>
          <w:szCs w:val="22"/>
        </w:rPr>
        <w:t>Freshwater inflow proxies, salinity band shifts, channel width/depth condition (rapid field checks), intertidal flat condition, and community income/catch dependence as a sensitivity indicator.</w:t>
      </w:r>
    </w:p>
    <w:p w:rsidR="00F04907" w:rsidRPr="00BF4AA8" w:rsidRDefault="00F04907" w:rsidP="00F04907">
      <w:pPr>
        <w:jc w:val="both"/>
        <w:rPr>
          <w:rFonts w:ascii="Arial" w:hAnsi="Arial" w:cs="Arial"/>
          <w:color w:val="0070C0"/>
          <w:sz w:val="22"/>
          <w:szCs w:val="22"/>
        </w:rPr>
      </w:pPr>
      <w:r w:rsidRPr="00BF4AA8">
        <w:rPr>
          <w:rFonts w:ascii="Arial" w:hAnsi="Arial" w:cs="Arial"/>
          <w:color w:val="0070C0"/>
          <w:sz w:val="22"/>
          <w:szCs w:val="22"/>
        </w:rPr>
        <w:t>C4. Site 4. Prey Nob District / Ream NP context (Preah Sihanouk)</w:t>
      </w:r>
    </w:p>
    <w:p w:rsidR="00F04907" w:rsidRPr="00BF4AA8" w:rsidRDefault="00F04907" w:rsidP="00F04907">
      <w:pPr>
        <w:pStyle w:val="NormalWeb"/>
        <w:jc w:val="both"/>
        <w:rPr>
          <w:rFonts w:ascii="Arial" w:hAnsi="Arial" w:cs="Arial"/>
          <w:sz w:val="22"/>
          <w:szCs w:val="22"/>
        </w:rPr>
      </w:pPr>
      <w:r w:rsidRPr="00BF4AA8">
        <w:rPr>
          <w:rStyle w:val="Strong"/>
          <w:rFonts w:ascii="Arial" w:hAnsi="Arial" w:cs="Arial"/>
          <w:sz w:val="22"/>
          <w:szCs w:val="22"/>
        </w:rPr>
        <w:t>Status &amp; ecological importance.</w:t>
      </w:r>
      <w:r w:rsidRPr="00BF4AA8">
        <w:rPr>
          <w:rFonts w:ascii="Arial" w:hAnsi="Arial" w:cs="Arial"/>
          <w:sz w:val="22"/>
          <w:szCs w:val="22"/>
        </w:rPr>
        <w:t xml:space="preserve"> Ream National Park (~21,000 ha; ~6,000 ha marine) is a mixed habitat mosaic (mangroves, wetlands, seagrass, coral) surrounded by multiple communes and high human use. This makes it a “high interaction” protected area: management outcomes depend heavily on boundary compliance, land-based pollution control, and coordination with coastal development planning. Nearby mapping has recorded ~98 ha of seagrass in Prey Nob (2021–2022), and historical mangrove estimates around Ream are ~1,800 ha—useful signals of nursery habitat and coastal resilience values.</w:t>
      </w:r>
    </w:p>
    <w:p w:rsidR="00F04907" w:rsidRPr="00BF4AA8" w:rsidRDefault="00F04907" w:rsidP="00F04907">
      <w:pPr>
        <w:pStyle w:val="NormalWeb"/>
        <w:jc w:val="both"/>
        <w:rPr>
          <w:rFonts w:ascii="Arial" w:hAnsi="Arial" w:cs="Arial"/>
          <w:i/>
          <w:iCs/>
          <w:sz w:val="22"/>
          <w:szCs w:val="22"/>
        </w:rPr>
      </w:pPr>
      <w:r w:rsidRPr="00BF4AA8">
        <w:rPr>
          <w:rStyle w:val="Strong"/>
          <w:rFonts w:ascii="Arial" w:hAnsi="Arial" w:cs="Arial"/>
          <w:i/>
          <w:iCs/>
          <w:sz w:val="22"/>
          <w:szCs w:val="22"/>
        </w:rPr>
        <w:t>Main pressures</w:t>
      </w:r>
    </w:p>
    <w:p w:rsidR="00F04907" w:rsidRPr="00BF4AA8" w:rsidRDefault="00F04907" w:rsidP="00F04907">
      <w:pPr>
        <w:pStyle w:val="NormalWeb"/>
        <w:numPr>
          <w:ilvl w:val="0"/>
          <w:numId w:val="232"/>
        </w:numPr>
        <w:jc w:val="both"/>
        <w:rPr>
          <w:rFonts w:ascii="Arial" w:hAnsi="Arial" w:cs="Arial"/>
          <w:sz w:val="22"/>
          <w:szCs w:val="22"/>
        </w:rPr>
      </w:pPr>
      <w:r w:rsidRPr="00BF4AA8">
        <w:rPr>
          <w:rStyle w:val="Strong"/>
          <w:rFonts w:ascii="Arial" w:hAnsi="Arial" w:cs="Arial"/>
          <w:sz w:val="22"/>
          <w:szCs w:val="22"/>
        </w:rPr>
        <w:t>Habitat conversion and encroachment pressure</w:t>
      </w:r>
      <w:r w:rsidRPr="00BF4AA8">
        <w:rPr>
          <w:rFonts w:ascii="Arial" w:hAnsi="Arial" w:cs="Arial"/>
          <w:sz w:val="22"/>
          <w:szCs w:val="22"/>
        </w:rPr>
        <w:t xml:space="preserve"> reflected in reported forest loss trends.</w:t>
      </w:r>
    </w:p>
    <w:p w:rsidR="00F04907" w:rsidRPr="00BF4AA8" w:rsidRDefault="00F04907" w:rsidP="00F04907">
      <w:pPr>
        <w:pStyle w:val="NormalWeb"/>
        <w:numPr>
          <w:ilvl w:val="0"/>
          <w:numId w:val="232"/>
        </w:numPr>
        <w:jc w:val="both"/>
        <w:rPr>
          <w:rFonts w:ascii="Arial" w:hAnsi="Arial" w:cs="Arial"/>
          <w:sz w:val="22"/>
          <w:szCs w:val="22"/>
        </w:rPr>
      </w:pPr>
      <w:r w:rsidRPr="00BF4AA8">
        <w:rPr>
          <w:rStyle w:val="Strong"/>
          <w:rFonts w:ascii="Arial" w:hAnsi="Arial" w:cs="Arial"/>
          <w:sz w:val="22"/>
          <w:szCs w:val="22"/>
        </w:rPr>
        <w:t>Rapid urbanization + port/tourism growth</w:t>
      </w:r>
      <w:r w:rsidRPr="00BF4AA8">
        <w:rPr>
          <w:rFonts w:ascii="Arial" w:hAnsi="Arial" w:cs="Arial"/>
          <w:sz w:val="22"/>
          <w:szCs w:val="22"/>
        </w:rPr>
        <w:t xml:space="preserve"> increasing wastewater, runoff, and sedimentation loads that degrade nearshore habitats.</w:t>
      </w:r>
    </w:p>
    <w:p w:rsidR="00F04907" w:rsidRPr="00BF4AA8" w:rsidRDefault="00F04907" w:rsidP="00F04907">
      <w:pPr>
        <w:pStyle w:val="NormalWeb"/>
        <w:numPr>
          <w:ilvl w:val="0"/>
          <w:numId w:val="232"/>
        </w:numPr>
        <w:jc w:val="both"/>
        <w:rPr>
          <w:rFonts w:ascii="Arial" w:hAnsi="Arial" w:cs="Arial"/>
          <w:sz w:val="22"/>
          <w:szCs w:val="22"/>
        </w:rPr>
      </w:pPr>
      <w:r w:rsidRPr="00BF4AA8">
        <w:rPr>
          <w:rStyle w:val="Strong"/>
          <w:rFonts w:ascii="Arial" w:hAnsi="Arial" w:cs="Arial"/>
          <w:sz w:val="22"/>
          <w:szCs w:val="22"/>
        </w:rPr>
        <w:t>Shoreline works/dredging and coastal construction</w:t>
      </w:r>
      <w:r w:rsidRPr="00BF4AA8">
        <w:rPr>
          <w:rFonts w:ascii="Arial" w:hAnsi="Arial" w:cs="Arial"/>
          <w:sz w:val="22"/>
          <w:szCs w:val="22"/>
        </w:rPr>
        <w:t xml:space="preserve"> that affect turbidity, seagrass light conditions, and estuary function.</w:t>
      </w:r>
    </w:p>
    <w:p w:rsidR="00F04907" w:rsidRPr="00BF4AA8" w:rsidRDefault="00F04907" w:rsidP="00F04907">
      <w:pPr>
        <w:pStyle w:val="NormalWeb"/>
        <w:numPr>
          <w:ilvl w:val="0"/>
          <w:numId w:val="232"/>
        </w:numPr>
        <w:jc w:val="both"/>
        <w:rPr>
          <w:rFonts w:ascii="Arial" w:hAnsi="Arial" w:cs="Arial"/>
          <w:sz w:val="22"/>
          <w:szCs w:val="22"/>
        </w:rPr>
      </w:pPr>
      <w:r w:rsidRPr="00BF4AA8">
        <w:rPr>
          <w:rStyle w:val="Strong"/>
          <w:rFonts w:ascii="Arial" w:hAnsi="Arial" w:cs="Arial"/>
          <w:sz w:val="22"/>
          <w:szCs w:val="22"/>
        </w:rPr>
        <w:t>Multiple users and access points</w:t>
      </w:r>
      <w:r w:rsidRPr="00BF4AA8">
        <w:rPr>
          <w:rFonts w:ascii="Arial" w:hAnsi="Arial" w:cs="Arial"/>
          <w:sz w:val="22"/>
          <w:szCs w:val="22"/>
        </w:rPr>
        <w:t xml:space="preserve"> increase enforcement complexity and raise cumulative impacts (small activities add up).</w:t>
      </w:r>
    </w:p>
    <w:p w:rsidR="00F04907" w:rsidRPr="00BF4AA8" w:rsidRDefault="00F04907" w:rsidP="00F04907">
      <w:pPr>
        <w:pStyle w:val="NormalWeb"/>
        <w:jc w:val="both"/>
        <w:rPr>
          <w:rFonts w:ascii="Arial" w:hAnsi="Arial" w:cs="Arial"/>
          <w:i/>
          <w:iCs/>
          <w:sz w:val="22"/>
          <w:szCs w:val="22"/>
        </w:rPr>
      </w:pPr>
      <w:r w:rsidRPr="00BF4AA8">
        <w:rPr>
          <w:rStyle w:val="Strong"/>
          <w:rFonts w:ascii="Arial" w:hAnsi="Arial" w:cs="Arial"/>
          <w:i/>
          <w:iCs/>
          <w:sz w:val="22"/>
          <w:szCs w:val="22"/>
        </w:rPr>
        <w:t>Management implications</w:t>
      </w:r>
    </w:p>
    <w:p w:rsidR="00F04907" w:rsidRPr="00BF4AA8" w:rsidRDefault="00F04907" w:rsidP="00F04907">
      <w:pPr>
        <w:pStyle w:val="NormalWeb"/>
        <w:numPr>
          <w:ilvl w:val="0"/>
          <w:numId w:val="233"/>
        </w:numPr>
        <w:jc w:val="both"/>
        <w:rPr>
          <w:rFonts w:ascii="Arial" w:hAnsi="Arial" w:cs="Arial"/>
          <w:sz w:val="22"/>
          <w:szCs w:val="22"/>
        </w:rPr>
      </w:pPr>
      <w:r w:rsidRPr="00BF4AA8">
        <w:rPr>
          <w:rFonts w:ascii="Arial" w:hAnsi="Arial" w:cs="Arial"/>
          <w:sz w:val="22"/>
          <w:szCs w:val="22"/>
        </w:rPr>
        <w:t xml:space="preserve">Focus on </w:t>
      </w:r>
      <w:r w:rsidRPr="00BF4AA8">
        <w:rPr>
          <w:rStyle w:val="Strong"/>
          <w:rFonts w:ascii="Arial" w:hAnsi="Arial" w:cs="Arial"/>
          <w:sz w:val="22"/>
          <w:szCs w:val="22"/>
        </w:rPr>
        <w:t>boundary integrity + land-based controls</w:t>
      </w:r>
      <w:r w:rsidRPr="00BF4AA8">
        <w:rPr>
          <w:rFonts w:ascii="Arial" w:hAnsi="Arial" w:cs="Arial"/>
          <w:sz w:val="22"/>
          <w:szCs w:val="22"/>
        </w:rPr>
        <w:t>: wastewater/drainage management and sediment control are as important as patrols.</w:t>
      </w:r>
    </w:p>
    <w:p w:rsidR="00F04907" w:rsidRPr="00BF4AA8" w:rsidRDefault="00F04907" w:rsidP="00F04907">
      <w:pPr>
        <w:pStyle w:val="NormalWeb"/>
        <w:numPr>
          <w:ilvl w:val="0"/>
          <w:numId w:val="233"/>
        </w:numPr>
        <w:jc w:val="both"/>
        <w:rPr>
          <w:rFonts w:ascii="Arial" w:hAnsi="Arial" w:cs="Arial"/>
          <w:sz w:val="22"/>
          <w:szCs w:val="22"/>
        </w:rPr>
      </w:pPr>
      <w:r w:rsidRPr="00BF4AA8">
        <w:rPr>
          <w:rFonts w:ascii="Arial" w:hAnsi="Arial" w:cs="Arial"/>
          <w:sz w:val="22"/>
          <w:szCs w:val="22"/>
        </w:rPr>
        <w:t>Use zoning to separate high-use areas (tourism/boat access) from sensitive seagrass/mangrove edges; apply no-anchor zones where needed.</w:t>
      </w:r>
    </w:p>
    <w:p w:rsidR="00F04907" w:rsidRPr="00BF4AA8" w:rsidRDefault="00F04907" w:rsidP="00F04907">
      <w:pPr>
        <w:pStyle w:val="NormalWeb"/>
        <w:numPr>
          <w:ilvl w:val="0"/>
          <w:numId w:val="233"/>
        </w:numPr>
        <w:jc w:val="both"/>
        <w:rPr>
          <w:rFonts w:ascii="Arial" w:hAnsi="Arial" w:cs="Arial"/>
          <w:sz w:val="22"/>
          <w:szCs w:val="22"/>
        </w:rPr>
      </w:pPr>
      <w:r w:rsidRPr="00BF4AA8">
        <w:rPr>
          <w:rFonts w:ascii="Arial" w:hAnsi="Arial" w:cs="Arial"/>
          <w:sz w:val="22"/>
          <w:szCs w:val="22"/>
        </w:rPr>
        <w:t>Strengthen collaborative governance with local authorities because pressures originate largely outside the park boundary.</w:t>
      </w:r>
    </w:p>
    <w:p w:rsidR="00F04907" w:rsidRPr="00BF4AA8" w:rsidRDefault="00F04907" w:rsidP="00F04907">
      <w:pPr>
        <w:pStyle w:val="NormalWeb"/>
        <w:jc w:val="both"/>
        <w:rPr>
          <w:rFonts w:ascii="Arial" w:hAnsi="Arial" w:cs="Arial"/>
          <w:i/>
          <w:iCs/>
          <w:sz w:val="22"/>
          <w:szCs w:val="22"/>
        </w:rPr>
      </w:pPr>
      <w:r w:rsidRPr="00BF4AA8">
        <w:rPr>
          <w:rStyle w:val="Strong"/>
          <w:rFonts w:ascii="Arial" w:hAnsi="Arial" w:cs="Arial"/>
          <w:i/>
          <w:iCs/>
          <w:sz w:val="22"/>
          <w:szCs w:val="22"/>
        </w:rPr>
        <w:t>Priority indicators</w:t>
      </w:r>
    </w:p>
    <w:p w:rsidR="00F04907" w:rsidRPr="00BF4AA8" w:rsidRDefault="00F04907" w:rsidP="00F04907">
      <w:pPr>
        <w:pStyle w:val="NormalWeb"/>
        <w:numPr>
          <w:ilvl w:val="0"/>
          <w:numId w:val="234"/>
        </w:numPr>
        <w:jc w:val="both"/>
        <w:rPr>
          <w:rFonts w:ascii="Arial" w:hAnsi="Arial" w:cs="Arial"/>
          <w:sz w:val="22"/>
          <w:szCs w:val="22"/>
        </w:rPr>
      </w:pPr>
      <w:r w:rsidRPr="00BF4AA8">
        <w:rPr>
          <w:rFonts w:ascii="Arial" w:hAnsi="Arial" w:cs="Arial"/>
          <w:sz w:val="22"/>
          <w:szCs w:val="22"/>
        </w:rPr>
        <w:t>Water-quality proxies (turbidity, coliform where feasible), seagrass extent and scarring, mangrove edge loss, and compliance indicators (patrol effort, violations).</w:t>
      </w:r>
    </w:p>
    <w:p w:rsidR="00F04907" w:rsidRPr="00BF4AA8" w:rsidRDefault="00F04907" w:rsidP="00F04907">
      <w:pPr>
        <w:jc w:val="both"/>
        <w:rPr>
          <w:rFonts w:ascii="Arial" w:hAnsi="Arial" w:cs="Arial"/>
          <w:sz w:val="22"/>
          <w:szCs w:val="22"/>
        </w:rPr>
      </w:pPr>
      <w:r w:rsidRPr="00BF4AA8">
        <w:rPr>
          <w:rFonts w:ascii="Arial" w:hAnsi="Arial" w:cs="Arial"/>
          <w:color w:val="0070C0"/>
          <w:sz w:val="22"/>
          <w:szCs w:val="22"/>
        </w:rPr>
        <w:t xml:space="preserve">C5. Site 5. Kampong Trach wetlands &amp; </w:t>
      </w:r>
      <w:proofErr w:type="spellStart"/>
      <w:r w:rsidRPr="00BF4AA8">
        <w:rPr>
          <w:rFonts w:ascii="Arial" w:hAnsi="Arial" w:cs="Arial"/>
          <w:color w:val="0070C0"/>
          <w:sz w:val="22"/>
          <w:szCs w:val="22"/>
        </w:rPr>
        <w:t>Anlung</w:t>
      </w:r>
      <w:proofErr w:type="spellEnd"/>
      <w:r w:rsidRPr="00BF4AA8">
        <w:rPr>
          <w:rFonts w:ascii="Arial" w:hAnsi="Arial" w:cs="Arial"/>
          <w:color w:val="0070C0"/>
          <w:sz w:val="22"/>
          <w:szCs w:val="22"/>
        </w:rPr>
        <w:t xml:space="preserve"> </w:t>
      </w:r>
      <w:proofErr w:type="spellStart"/>
      <w:r w:rsidRPr="00BF4AA8">
        <w:rPr>
          <w:rFonts w:ascii="Arial" w:hAnsi="Arial" w:cs="Arial"/>
          <w:color w:val="0070C0"/>
          <w:sz w:val="22"/>
          <w:szCs w:val="22"/>
        </w:rPr>
        <w:t>Pring</w:t>
      </w:r>
      <w:proofErr w:type="spellEnd"/>
      <w:r w:rsidRPr="00BF4AA8">
        <w:rPr>
          <w:rFonts w:ascii="Arial" w:hAnsi="Arial" w:cs="Arial"/>
          <w:color w:val="0070C0"/>
          <w:sz w:val="22"/>
          <w:szCs w:val="22"/>
        </w:rPr>
        <w:t xml:space="preserve"> Protected Landscape (</w:t>
      </w:r>
      <w:proofErr w:type="spellStart"/>
      <w:r w:rsidRPr="00BF4AA8">
        <w:rPr>
          <w:rFonts w:ascii="Arial" w:hAnsi="Arial" w:cs="Arial"/>
          <w:color w:val="0070C0"/>
          <w:sz w:val="22"/>
          <w:szCs w:val="22"/>
        </w:rPr>
        <w:t>Kampot</w:t>
      </w:r>
      <w:proofErr w:type="spellEnd"/>
      <w:r w:rsidRPr="00BF4AA8">
        <w:rPr>
          <w:rFonts w:ascii="Arial" w:hAnsi="Arial" w:cs="Arial"/>
          <w:color w:val="0070C0"/>
          <w:sz w:val="22"/>
          <w:szCs w:val="22"/>
        </w:rPr>
        <w:t>)</w:t>
      </w:r>
    </w:p>
    <w:p w:rsidR="00F04907" w:rsidRPr="00BF4AA8" w:rsidRDefault="00F04907" w:rsidP="00F04907">
      <w:pPr>
        <w:pStyle w:val="NormalWeb"/>
        <w:jc w:val="both"/>
        <w:rPr>
          <w:rFonts w:ascii="Arial" w:hAnsi="Arial" w:cs="Arial"/>
          <w:sz w:val="22"/>
          <w:szCs w:val="22"/>
        </w:rPr>
      </w:pPr>
      <w:r w:rsidRPr="00BF4AA8">
        <w:rPr>
          <w:rStyle w:val="Strong"/>
          <w:rFonts w:ascii="Arial" w:hAnsi="Arial" w:cs="Arial"/>
          <w:sz w:val="22"/>
          <w:szCs w:val="22"/>
        </w:rPr>
        <w:t>Status &amp; ecological importance.</w:t>
      </w:r>
      <w:r w:rsidRPr="00BF4AA8">
        <w:rPr>
          <w:rFonts w:ascii="Arial" w:hAnsi="Arial" w:cs="Arial"/>
          <w:sz w:val="22"/>
          <w:szCs w:val="22"/>
        </w:rPr>
        <w:t xml:space="preserve"> </w:t>
      </w:r>
      <w:proofErr w:type="spellStart"/>
      <w:r w:rsidRPr="00BF4AA8">
        <w:rPr>
          <w:rFonts w:ascii="Arial" w:hAnsi="Arial" w:cs="Arial"/>
          <w:sz w:val="22"/>
          <w:szCs w:val="22"/>
        </w:rPr>
        <w:t>Anlung</w:t>
      </w:r>
      <w:proofErr w:type="spellEnd"/>
      <w:r w:rsidRPr="00BF4AA8">
        <w:rPr>
          <w:rFonts w:ascii="Arial" w:hAnsi="Arial" w:cs="Arial"/>
          <w:sz w:val="22"/>
          <w:szCs w:val="22"/>
        </w:rPr>
        <w:t xml:space="preserve"> </w:t>
      </w:r>
      <w:proofErr w:type="spellStart"/>
      <w:r w:rsidRPr="00BF4AA8">
        <w:rPr>
          <w:rFonts w:ascii="Arial" w:hAnsi="Arial" w:cs="Arial"/>
          <w:sz w:val="22"/>
          <w:szCs w:val="22"/>
        </w:rPr>
        <w:t>Pring</w:t>
      </w:r>
      <w:proofErr w:type="spellEnd"/>
      <w:r w:rsidRPr="00BF4AA8">
        <w:rPr>
          <w:rFonts w:ascii="Arial" w:hAnsi="Arial" w:cs="Arial"/>
          <w:sz w:val="22"/>
          <w:szCs w:val="22"/>
        </w:rPr>
        <w:t xml:space="preserve"> (~219 ha) </w:t>
      </w:r>
      <w:proofErr w:type="gramStart"/>
      <w:r w:rsidRPr="00BF4AA8">
        <w:rPr>
          <w:rFonts w:ascii="Arial" w:hAnsi="Arial" w:cs="Arial"/>
          <w:sz w:val="22"/>
          <w:szCs w:val="22"/>
        </w:rPr>
        <w:t>is embedded</w:t>
      </w:r>
      <w:proofErr w:type="gramEnd"/>
      <w:r w:rsidRPr="00BF4AA8">
        <w:rPr>
          <w:rFonts w:ascii="Arial" w:hAnsi="Arial" w:cs="Arial"/>
          <w:sz w:val="22"/>
          <w:szCs w:val="22"/>
        </w:rPr>
        <w:t xml:space="preserve"> in seasonal wetlands and rice mosaics and serves as an important dry-season refuge for key waterbirds (including Sarus Crane). Its ecological function depends on </w:t>
      </w:r>
      <w:r w:rsidRPr="00BF4AA8">
        <w:rPr>
          <w:rStyle w:val="Strong"/>
          <w:rFonts w:ascii="Arial" w:hAnsi="Arial" w:cs="Arial"/>
          <w:sz w:val="22"/>
          <w:szCs w:val="22"/>
        </w:rPr>
        <w:t>seasonal inundation timing and shallow-water persistence</w:t>
      </w:r>
      <w:r w:rsidRPr="00BF4AA8">
        <w:rPr>
          <w:rFonts w:ascii="Arial" w:hAnsi="Arial" w:cs="Arial"/>
          <w:sz w:val="22"/>
          <w:szCs w:val="22"/>
        </w:rPr>
        <w:t>, which also supports local fisheries and wetland productivity.</w:t>
      </w:r>
    </w:p>
    <w:p w:rsidR="00F04907" w:rsidRPr="00BF4AA8" w:rsidRDefault="00F04907" w:rsidP="00F04907">
      <w:pPr>
        <w:pStyle w:val="NormalWeb"/>
        <w:jc w:val="both"/>
        <w:rPr>
          <w:rFonts w:ascii="Arial" w:hAnsi="Arial" w:cs="Arial"/>
          <w:i/>
          <w:iCs/>
          <w:sz w:val="22"/>
          <w:szCs w:val="22"/>
        </w:rPr>
      </w:pPr>
      <w:r w:rsidRPr="00BF4AA8">
        <w:rPr>
          <w:rStyle w:val="Strong"/>
          <w:rFonts w:ascii="Arial" w:hAnsi="Arial" w:cs="Arial"/>
          <w:i/>
          <w:iCs/>
          <w:sz w:val="22"/>
          <w:szCs w:val="22"/>
        </w:rPr>
        <w:t>Main pressures</w:t>
      </w:r>
    </w:p>
    <w:p w:rsidR="00F04907" w:rsidRPr="00BF4AA8" w:rsidRDefault="00F04907" w:rsidP="00F04907">
      <w:pPr>
        <w:pStyle w:val="NormalWeb"/>
        <w:numPr>
          <w:ilvl w:val="0"/>
          <w:numId w:val="235"/>
        </w:numPr>
        <w:jc w:val="both"/>
        <w:rPr>
          <w:rFonts w:ascii="Arial" w:hAnsi="Arial" w:cs="Arial"/>
          <w:sz w:val="22"/>
          <w:szCs w:val="22"/>
        </w:rPr>
      </w:pPr>
      <w:r w:rsidRPr="00BF4AA8">
        <w:rPr>
          <w:rStyle w:val="Strong"/>
          <w:rFonts w:ascii="Arial" w:hAnsi="Arial" w:cs="Arial"/>
          <w:sz w:val="22"/>
          <w:szCs w:val="22"/>
        </w:rPr>
        <w:t>Hydrologic modifications</w:t>
      </w:r>
      <w:r w:rsidRPr="00BF4AA8">
        <w:rPr>
          <w:rFonts w:ascii="Arial" w:hAnsi="Arial" w:cs="Arial"/>
          <w:sz w:val="22"/>
          <w:szCs w:val="22"/>
        </w:rPr>
        <w:t xml:space="preserve"> (canals, small reservoirs, drainage) can shift inundation timing/depth and reduce habitat suitability.</w:t>
      </w:r>
    </w:p>
    <w:p w:rsidR="00F04907" w:rsidRPr="00BF4AA8" w:rsidRDefault="00F04907" w:rsidP="00F04907">
      <w:pPr>
        <w:pStyle w:val="NormalWeb"/>
        <w:numPr>
          <w:ilvl w:val="0"/>
          <w:numId w:val="235"/>
        </w:numPr>
        <w:jc w:val="both"/>
        <w:rPr>
          <w:rFonts w:ascii="Arial" w:hAnsi="Arial" w:cs="Arial"/>
          <w:sz w:val="22"/>
          <w:szCs w:val="22"/>
        </w:rPr>
      </w:pPr>
      <w:r w:rsidRPr="00BF4AA8">
        <w:rPr>
          <w:rStyle w:val="Strong"/>
          <w:rFonts w:ascii="Arial" w:hAnsi="Arial" w:cs="Arial"/>
          <w:sz w:val="22"/>
          <w:szCs w:val="22"/>
        </w:rPr>
        <w:t>Saline intrusion</w:t>
      </w:r>
      <w:r w:rsidRPr="00BF4AA8">
        <w:rPr>
          <w:rFonts w:ascii="Arial" w:hAnsi="Arial" w:cs="Arial"/>
          <w:sz w:val="22"/>
          <w:szCs w:val="22"/>
        </w:rPr>
        <w:t xml:space="preserve"> can alter wetland vegetation and food availability and reduce freshwater productivity.</w:t>
      </w:r>
    </w:p>
    <w:p w:rsidR="00F04907" w:rsidRPr="00BF4AA8" w:rsidRDefault="00F04907" w:rsidP="00F04907">
      <w:pPr>
        <w:pStyle w:val="NormalWeb"/>
        <w:numPr>
          <w:ilvl w:val="0"/>
          <w:numId w:val="235"/>
        </w:numPr>
        <w:jc w:val="both"/>
        <w:rPr>
          <w:rFonts w:ascii="Arial" w:hAnsi="Arial" w:cs="Arial"/>
          <w:sz w:val="22"/>
          <w:szCs w:val="22"/>
        </w:rPr>
      </w:pPr>
      <w:r w:rsidRPr="00BF4AA8">
        <w:rPr>
          <w:rStyle w:val="Strong"/>
          <w:rFonts w:ascii="Arial" w:hAnsi="Arial" w:cs="Arial"/>
          <w:sz w:val="22"/>
          <w:szCs w:val="22"/>
        </w:rPr>
        <w:t>Landscape fragmentation</w:t>
      </w:r>
      <w:r w:rsidRPr="00BF4AA8">
        <w:rPr>
          <w:rFonts w:ascii="Arial" w:hAnsi="Arial" w:cs="Arial"/>
          <w:sz w:val="22"/>
          <w:szCs w:val="22"/>
        </w:rPr>
        <w:t xml:space="preserve"> from agricultural intensification can reduce ecological connectivity across the wider wetland complex.</w:t>
      </w:r>
    </w:p>
    <w:p w:rsidR="00F04907" w:rsidRPr="00BF4AA8" w:rsidRDefault="00F04907" w:rsidP="00F04907">
      <w:pPr>
        <w:pStyle w:val="NormalWeb"/>
        <w:jc w:val="both"/>
        <w:rPr>
          <w:rFonts w:ascii="Arial" w:hAnsi="Arial" w:cs="Arial"/>
          <w:i/>
          <w:iCs/>
          <w:sz w:val="22"/>
          <w:szCs w:val="22"/>
        </w:rPr>
      </w:pPr>
      <w:r w:rsidRPr="00BF4AA8">
        <w:rPr>
          <w:rStyle w:val="Strong"/>
          <w:rFonts w:ascii="Arial" w:hAnsi="Arial" w:cs="Arial"/>
          <w:i/>
          <w:iCs/>
          <w:sz w:val="22"/>
          <w:szCs w:val="22"/>
        </w:rPr>
        <w:t>Management implications</w:t>
      </w:r>
    </w:p>
    <w:p w:rsidR="00F04907" w:rsidRPr="00BF4AA8" w:rsidRDefault="00F04907" w:rsidP="00F04907">
      <w:pPr>
        <w:pStyle w:val="NormalWeb"/>
        <w:numPr>
          <w:ilvl w:val="0"/>
          <w:numId w:val="236"/>
        </w:numPr>
        <w:jc w:val="both"/>
        <w:rPr>
          <w:rFonts w:ascii="Arial" w:hAnsi="Arial" w:cs="Arial"/>
          <w:sz w:val="22"/>
          <w:szCs w:val="22"/>
        </w:rPr>
      </w:pPr>
      <w:r w:rsidRPr="00BF4AA8">
        <w:rPr>
          <w:rFonts w:ascii="Arial" w:hAnsi="Arial" w:cs="Arial"/>
          <w:sz w:val="22"/>
          <w:szCs w:val="22"/>
        </w:rPr>
        <w:t xml:space="preserve">Protect the wetland’s </w:t>
      </w:r>
      <w:r w:rsidRPr="00BF4AA8">
        <w:rPr>
          <w:rStyle w:val="Strong"/>
          <w:rFonts w:ascii="Arial" w:hAnsi="Arial" w:cs="Arial"/>
          <w:sz w:val="22"/>
          <w:szCs w:val="22"/>
        </w:rPr>
        <w:t>seasonal water regime</w:t>
      </w:r>
      <w:r w:rsidRPr="00BF4AA8">
        <w:rPr>
          <w:rFonts w:ascii="Arial" w:hAnsi="Arial" w:cs="Arial"/>
          <w:sz w:val="22"/>
          <w:szCs w:val="22"/>
        </w:rPr>
        <w:t xml:space="preserve"> (retain shallow-water dynamics; avoid drainage that eliminates dry-season refuges).</w:t>
      </w:r>
    </w:p>
    <w:p w:rsidR="00F04907" w:rsidRPr="00BF4AA8" w:rsidRDefault="00F04907" w:rsidP="00F04907">
      <w:pPr>
        <w:pStyle w:val="NormalWeb"/>
        <w:numPr>
          <w:ilvl w:val="0"/>
          <w:numId w:val="236"/>
        </w:numPr>
        <w:jc w:val="both"/>
        <w:rPr>
          <w:rFonts w:ascii="Arial" w:hAnsi="Arial" w:cs="Arial"/>
          <w:sz w:val="22"/>
          <w:szCs w:val="22"/>
        </w:rPr>
      </w:pPr>
      <w:r w:rsidRPr="00BF4AA8">
        <w:rPr>
          <w:rFonts w:ascii="Arial" w:hAnsi="Arial" w:cs="Arial"/>
          <w:sz w:val="22"/>
          <w:szCs w:val="22"/>
        </w:rPr>
        <w:t>Integrate wetland conservation into local land and water planning (align irrigation/drainage with biodiversity and fisheries needs).</w:t>
      </w:r>
    </w:p>
    <w:p w:rsidR="00F04907" w:rsidRPr="00BF4AA8" w:rsidRDefault="00F04907" w:rsidP="00F04907">
      <w:pPr>
        <w:pStyle w:val="NormalWeb"/>
        <w:numPr>
          <w:ilvl w:val="0"/>
          <w:numId w:val="236"/>
        </w:numPr>
        <w:jc w:val="both"/>
        <w:rPr>
          <w:rFonts w:ascii="Arial" w:hAnsi="Arial" w:cs="Arial"/>
          <w:sz w:val="22"/>
          <w:szCs w:val="22"/>
        </w:rPr>
      </w:pPr>
      <w:r w:rsidRPr="00BF4AA8">
        <w:rPr>
          <w:rFonts w:ascii="Arial" w:hAnsi="Arial" w:cs="Arial"/>
          <w:sz w:val="22"/>
          <w:szCs w:val="22"/>
        </w:rPr>
        <w:t>Use a small set of practical measures: water-level management rules, buffer strips, and community awareness on dry-season sensitivity.</w:t>
      </w:r>
    </w:p>
    <w:p w:rsidR="00F04907" w:rsidRPr="00BF4AA8" w:rsidRDefault="00F04907" w:rsidP="00F04907">
      <w:pPr>
        <w:pStyle w:val="NormalWeb"/>
        <w:jc w:val="both"/>
        <w:rPr>
          <w:rFonts w:ascii="Arial" w:hAnsi="Arial" w:cs="Arial"/>
          <w:i/>
          <w:iCs/>
          <w:sz w:val="22"/>
          <w:szCs w:val="22"/>
        </w:rPr>
      </w:pPr>
      <w:r w:rsidRPr="00BF4AA8">
        <w:rPr>
          <w:rStyle w:val="Strong"/>
          <w:rFonts w:ascii="Arial" w:hAnsi="Arial" w:cs="Arial"/>
          <w:i/>
          <w:iCs/>
          <w:sz w:val="22"/>
          <w:szCs w:val="22"/>
        </w:rPr>
        <w:t>Priority indicators</w:t>
      </w:r>
    </w:p>
    <w:p w:rsidR="00F04907" w:rsidRPr="00BF4AA8" w:rsidRDefault="00F04907" w:rsidP="00F04907">
      <w:pPr>
        <w:pStyle w:val="NormalWeb"/>
        <w:numPr>
          <w:ilvl w:val="0"/>
          <w:numId w:val="237"/>
        </w:numPr>
        <w:jc w:val="both"/>
        <w:rPr>
          <w:rFonts w:ascii="Arial" w:hAnsi="Arial" w:cs="Arial"/>
          <w:sz w:val="22"/>
          <w:szCs w:val="22"/>
        </w:rPr>
      </w:pPr>
      <w:r w:rsidRPr="00BF4AA8">
        <w:rPr>
          <w:rFonts w:ascii="Arial" w:hAnsi="Arial" w:cs="Arial"/>
          <w:sz w:val="22"/>
          <w:szCs w:val="22"/>
        </w:rPr>
        <w:t>Seasonal water depth/duration, salinity in dry season, waterbird counts, and local fish catch indicators.</w:t>
      </w:r>
    </w:p>
    <w:p w:rsidR="00F04907" w:rsidRPr="00BF4AA8" w:rsidRDefault="00F04907" w:rsidP="00F04907">
      <w:pPr>
        <w:jc w:val="both"/>
        <w:rPr>
          <w:rFonts w:ascii="Arial" w:hAnsi="Arial" w:cs="Arial"/>
          <w:color w:val="0070C0"/>
          <w:sz w:val="22"/>
          <w:szCs w:val="22"/>
        </w:rPr>
      </w:pPr>
      <w:r w:rsidRPr="00BF4AA8">
        <w:rPr>
          <w:rFonts w:ascii="Arial" w:hAnsi="Arial" w:cs="Arial"/>
          <w:color w:val="0070C0"/>
          <w:sz w:val="22"/>
          <w:szCs w:val="22"/>
        </w:rPr>
        <w:t xml:space="preserve">C6. Site 6. </w:t>
      </w:r>
      <w:proofErr w:type="spellStart"/>
      <w:r w:rsidRPr="00BF4AA8">
        <w:rPr>
          <w:rFonts w:ascii="Arial" w:hAnsi="Arial" w:cs="Arial"/>
          <w:color w:val="0070C0"/>
          <w:sz w:val="22"/>
          <w:szCs w:val="22"/>
        </w:rPr>
        <w:t>Chumpu</w:t>
      </w:r>
      <w:proofErr w:type="spellEnd"/>
      <w:r w:rsidRPr="00BF4AA8">
        <w:rPr>
          <w:rFonts w:ascii="Arial" w:hAnsi="Arial" w:cs="Arial"/>
          <w:color w:val="0070C0"/>
          <w:sz w:val="22"/>
          <w:szCs w:val="22"/>
        </w:rPr>
        <w:t xml:space="preserve"> </w:t>
      </w:r>
      <w:proofErr w:type="spellStart"/>
      <w:r w:rsidRPr="00BF4AA8">
        <w:rPr>
          <w:rFonts w:ascii="Arial" w:hAnsi="Arial" w:cs="Arial"/>
          <w:color w:val="0070C0"/>
          <w:sz w:val="22"/>
          <w:szCs w:val="22"/>
        </w:rPr>
        <w:t>Khmao</w:t>
      </w:r>
      <w:proofErr w:type="spellEnd"/>
      <w:r w:rsidRPr="00BF4AA8">
        <w:rPr>
          <w:rFonts w:ascii="Arial" w:hAnsi="Arial" w:cs="Arial"/>
          <w:color w:val="0070C0"/>
          <w:sz w:val="22"/>
          <w:szCs w:val="22"/>
        </w:rPr>
        <w:t xml:space="preserve"> (Prey </w:t>
      </w:r>
      <w:proofErr w:type="spellStart"/>
      <w:r w:rsidRPr="00BF4AA8">
        <w:rPr>
          <w:rFonts w:ascii="Arial" w:hAnsi="Arial" w:cs="Arial"/>
          <w:color w:val="0070C0"/>
          <w:sz w:val="22"/>
          <w:szCs w:val="22"/>
        </w:rPr>
        <w:t>Nup</w:t>
      </w:r>
      <w:proofErr w:type="spellEnd"/>
      <w:r w:rsidRPr="00BF4AA8">
        <w:rPr>
          <w:rFonts w:ascii="Arial" w:hAnsi="Arial" w:cs="Arial"/>
          <w:color w:val="0070C0"/>
          <w:sz w:val="22"/>
          <w:szCs w:val="22"/>
        </w:rPr>
        <w:t>)</w:t>
      </w:r>
    </w:p>
    <w:p w:rsidR="00F04907" w:rsidRPr="00BF4AA8" w:rsidRDefault="00F04907" w:rsidP="00F04907">
      <w:pPr>
        <w:pStyle w:val="NormalWeb"/>
        <w:jc w:val="both"/>
        <w:rPr>
          <w:rFonts w:ascii="Arial" w:hAnsi="Arial" w:cs="Arial"/>
          <w:sz w:val="22"/>
          <w:szCs w:val="22"/>
        </w:rPr>
      </w:pPr>
      <w:r w:rsidRPr="00BF4AA8">
        <w:rPr>
          <w:rStyle w:val="Strong"/>
          <w:rFonts w:ascii="Arial" w:hAnsi="Arial" w:cs="Arial"/>
          <w:sz w:val="22"/>
          <w:szCs w:val="22"/>
        </w:rPr>
        <w:t>Status &amp; ecological importance.</w:t>
      </w:r>
      <w:r w:rsidRPr="00BF4AA8">
        <w:rPr>
          <w:rFonts w:ascii="Arial" w:hAnsi="Arial" w:cs="Arial"/>
          <w:sz w:val="22"/>
          <w:szCs w:val="22"/>
        </w:rPr>
        <w:t xml:space="preserve"> </w:t>
      </w:r>
      <w:proofErr w:type="spellStart"/>
      <w:r w:rsidRPr="00BF4AA8">
        <w:rPr>
          <w:rFonts w:ascii="Arial" w:hAnsi="Arial" w:cs="Arial"/>
          <w:sz w:val="22"/>
          <w:szCs w:val="22"/>
        </w:rPr>
        <w:t>Chumpu</w:t>
      </w:r>
      <w:proofErr w:type="spellEnd"/>
      <w:r w:rsidRPr="00BF4AA8">
        <w:rPr>
          <w:rFonts w:ascii="Arial" w:hAnsi="Arial" w:cs="Arial"/>
          <w:sz w:val="22"/>
          <w:szCs w:val="22"/>
        </w:rPr>
        <w:t xml:space="preserve"> </w:t>
      </w:r>
      <w:proofErr w:type="spellStart"/>
      <w:r w:rsidRPr="00BF4AA8">
        <w:rPr>
          <w:rFonts w:ascii="Arial" w:hAnsi="Arial" w:cs="Arial"/>
          <w:sz w:val="22"/>
          <w:szCs w:val="22"/>
        </w:rPr>
        <w:t>Khmao</w:t>
      </w:r>
      <w:proofErr w:type="spellEnd"/>
      <w:r w:rsidRPr="00BF4AA8">
        <w:rPr>
          <w:rFonts w:ascii="Arial" w:hAnsi="Arial" w:cs="Arial"/>
          <w:sz w:val="22"/>
          <w:szCs w:val="22"/>
        </w:rPr>
        <w:t xml:space="preserve"> is a community fishery (</w:t>
      </w:r>
      <w:proofErr w:type="spellStart"/>
      <w:r w:rsidRPr="00BF4AA8">
        <w:rPr>
          <w:rFonts w:ascii="Arial" w:hAnsi="Arial" w:cs="Arial"/>
          <w:sz w:val="22"/>
          <w:szCs w:val="22"/>
        </w:rPr>
        <w:t>CFi</w:t>
      </w:r>
      <w:proofErr w:type="spellEnd"/>
      <w:r w:rsidRPr="00BF4AA8">
        <w:rPr>
          <w:rFonts w:ascii="Arial" w:hAnsi="Arial" w:cs="Arial"/>
          <w:sz w:val="22"/>
          <w:szCs w:val="22"/>
        </w:rPr>
        <w:t>) landscape within a broader coastal wetland system. Recent restoration planting (12,500 mangrove saplings) indicates active community stewardship. The area also has biodiversity significance (e.g., fishing cat records in the wider mangrove landscape), and it sits within a coastal corridor between major seagrass cells (</w:t>
      </w:r>
      <w:proofErr w:type="spellStart"/>
      <w:r w:rsidRPr="00BF4AA8">
        <w:rPr>
          <w:rFonts w:ascii="Arial" w:hAnsi="Arial" w:cs="Arial"/>
          <w:sz w:val="22"/>
          <w:szCs w:val="22"/>
        </w:rPr>
        <w:t>Steung</w:t>
      </w:r>
      <w:proofErr w:type="spellEnd"/>
      <w:r w:rsidRPr="00BF4AA8">
        <w:rPr>
          <w:rFonts w:ascii="Arial" w:hAnsi="Arial" w:cs="Arial"/>
          <w:sz w:val="22"/>
          <w:szCs w:val="22"/>
        </w:rPr>
        <w:t xml:space="preserve"> </w:t>
      </w:r>
      <w:proofErr w:type="spellStart"/>
      <w:r w:rsidRPr="00BF4AA8">
        <w:rPr>
          <w:rFonts w:ascii="Arial" w:hAnsi="Arial" w:cs="Arial"/>
          <w:sz w:val="22"/>
          <w:szCs w:val="22"/>
        </w:rPr>
        <w:t>Hav</w:t>
      </w:r>
      <w:proofErr w:type="spellEnd"/>
      <w:r w:rsidRPr="00BF4AA8">
        <w:rPr>
          <w:rFonts w:ascii="Arial" w:hAnsi="Arial" w:cs="Arial"/>
          <w:sz w:val="22"/>
          <w:szCs w:val="22"/>
        </w:rPr>
        <w:t xml:space="preserve"> and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meadows), making it strategically placed for community-based monitoring and compliance.</w:t>
      </w:r>
    </w:p>
    <w:p w:rsidR="00F04907" w:rsidRPr="00BF4AA8" w:rsidRDefault="00F04907" w:rsidP="00F04907">
      <w:pPr>
        <w:pStyle w:val="NormalWeb"/>
        <w:jc w:val="both"/>
        <w:rPr>
          <w:rFonts w:ascii="Arial" w:hAnsi="Arial" w:cs="Arial"/>
          <w:i/>
          <w:iCs/>
          <w:sz w:val="22"/>
          <w:szCs w:val="22"/>
        </w:rPr>
      </w:pPr>
      <w:r w:rsidRPr="00BF4AA8">
        <w:rPr>
          <w:rStyle w:val="Strong"/>
          <w:rFonts w:ascii="Arial" w:hAnsi="Arial" w:cs="Arial"/>
          <w:i/>
          <w:iCs/>
          <w:sz w:val="22"/>
          <w:szCs w:val="22"/>
        </w:rPr>
        <w:t>Main pressures</w:t>
      </w:r>
    </w:p>
    <w:p w:rsidR="00F04907" w:rsidRPr="00BF4AA8" w:rsidRDefault="00F04907" w:rsidP="00F04907">
      <w:pPr>
        <w:pStyle w:val="NormalWeb"/>
        <w:numPr>
          <w:ilvl w:val="0"/>
          <w:numId w:val="238"/>
        </w:numPr>
        <w:jc w:val="both"/>
        <w:rPr>
          <w:rFonts w:ascii="Arial" w:hAnsi="Arial" w:cs="Arial"/>
          <w:sz w:val="22"/>
          <w:szCs w:val="22"/>
        </w:rPr>
      </w:pPr>
      <w:r w:rsidRPr="00BF4AA8">
        <w:rPr>
          <w:rStyle w:val="Strong"/>
          <w:rFonts w:ascii="Arial" w:hAnsi="Arial" w:cs="Arial"/>
          <w:sz w:val="22"/>
          <w:szCs w:val="22"/>
        </w:rPr>
        <w:t xml:space="preserve">Localized clearing and gear </w:t>
      </w:r>
      <w:proofErr w:type="gramStart"/>
      <w:r w:rsidRPr="00BF4AA8">
        <w:rPr>
          <w:rStyle w:val="Strong"/>
          <w:rFonts w:ascii="Arial" w:hAnsi="Arial" w:cs="Arial"/>
          <w:sz w:val="22"/>
          <w:szCs w:val="22"/>
        </w:rPr>
        <w:t>impacts</w:t>
      </w:r>
      <w:proofErr w:type="gramEnd"/>
      <w:r w:rsidRPr="00BF4AA8">
        <w:rPr>
          <w:rFonts w:ascii="Arial" w:hAnsi="Arial" w:cs="Arial"/>
          <w:sz w:val="22"/>
          <w:szCs w:val="22"/>
        </w:rPr>
        <w:t xml:space="preserve"> typical of multi-use wetlands (small but cumulative).</w:t>
      </w:r>
    </w:p>
    <w:p w:rsidR="00F04907" w:rsidRPr="00BF4AA8" w:rsidRDefault="00F04907" w:rsidP="00F04907">
      <w:pPr>
        <w:pStyle w:val="NormalWeb"/>
        <w:numPr>
          <w:ilvl w:val="0"/>
          <w:numId w:val="238"/>
        </w:numPr>
        <w:jc w:val="both"/>
        <w:rPr>
          <w:rFonts w:ascii="Arial" w:hAnsi="Arial" w:cs="Arial"/>
          <w:sz w:val="22"/>
          <w:szCs w:val="22"/>
        </w:rPr>
      </w:pPr>
      <w:r w:rsidRPr="00BF4AA8">
        <w:rPr>
          <w:rStyle w:val="Strong"/>
          <w:rFonts w:ascii="Arial" w:hAnsi="Arial" w:cs="Arial"/>
          <w:sz w:val="22"/>
          <w:szCs w:val="22"/>
        </w:rPr>
        <w:t>Water-quality stress</w:t>
      </w:r>
      <w:r w:rsidRPr="00BF4AA8">
        <w:rPr>
          <w:rFonts w:ascii="Arial" w:hAnsi="Arial" w:cs="Arial"/>
          <w:sz w:val="22"/>
          <w:szCs w:val="22"/>
        </w:rPr>
        <w:t xml:space="preserve"> from nearby settlements/activities affecting mangrove and nearshore conditions.</w:t>
      </w:r>
    </w:p>
    <w:p w:rsidR="00F04907" w:rsidRPr="00BF4AA8" w:rsidRDefault="00F04907" w:rsidP="00F04907">
      <w:pPr>
        <w:pStyle w:val="NormalWeb"/>
        <w:numPr>
          <w:ilvl w:val="0"/>
          <w:numId w:val="238"/>
        </w:numPr>
        <w:jc w:val="both"/>
        <w:rPr>
          <w:rFonts w:ascii="Arial" w:hAnsi="Arial" w:cs="Arial"/>
          <w:sz w:val="22"/>
          <w:szCs w:val="22"/>
        </w:rPr>
      </w:pPr>
      <w:r w:rsidRPr="00BF4AA8">
        <w:rPr>
          <w:rStyle w:val="Strong"/>
          <w:rFonts w:ascii="Arial" w:hAnsi="Arial" w:cs="Arial"/>
          <w:sz w:val="22"/>
          <w:szCs w:val="22"/>
        </w:rPr>
        <w:t>Connectivity pressures</w:t>
      </w:r>
      <w:r w:rsidRPr="00BF4AA8">
        <w:rPr>
          <w:rFonts w:ascii="Arial" w:hAnsi="Arial" w:cs="Arial"/>
          <w:sz w:val="22"/>
          <w:szCs w:val="22"/>
        </w:rPr>
        <w:t xml:space="preserve"> (if adjacent corridors degrade, the site loses nursery function and resilience).</w:t>
      </w:r>
    </w:p>
    <w:p w:rsidR="00F04907" w:rsidRPr="00BF4AA8" w:rsidRDefault="00F04907" w:rsidP="00F04907">
      <w:pPr>
        <w:pStyle w:val="NormalWeb"/>
        <w:jc w:val="both"/>
        <w:rPr>
          <w:rFonts w:ascii="Arial" w:hAnsi="Arial" w:cs="Arial"/>
          <w:i/>
          <w:iCs/>
          <w:sz w:val="22"/>
          <w:szCs w:val="22"/>
        </w:rPr>
      </w:pPr>
      <w:r w:rsidRPr="00BF4AA8">
        <w:rPr>
          <w:rStyle w:val="Strong"/>
          <w:rFonts w:ascii="Arial" w:hAnsi="Arial" w:cs="Arial"/>
          <w:i/>
          <w:iCs/>
          <w:sz w:val="22"/>
          <w:szCs w:val="22"/>
        </w:rPr>
        <w:t>Management implications</w:t>
      </w:r>
    </w:p>
    <w:p w:rsidR="00F04907" w:rsidRPr="00BF4AA8" w:rsidRDefault="00F04907" w:rsidP="00F04907">
      <w:pPr>
        <w:pStyle w:val="NormalWeb"/>
        <w:numPr>
          <w:ilvl w:val="0"/>
          <w:numId w:val="239"/>
        </w:numPr>
        <w:jc w:val="both"/>
        <w:rPr>
          <w:rFonts w:ascii="Arial" w:hAnsi="Arial" w:cs="Arial"/>
          <w:sz w:val="22"/>
          <w:szCs w:val="22"/>
        </w:rPr>
      </w:pPr>
      <w:r w:rsidRPr="00BF4AA8">
        <w:rPr>
          <w:rFonts w:ascii="Arial" w:hAnsi="Arial" w:cs="Arial"/>
          <w:sz w:val="22"/>
          <w:szCs w:val="22"/>
        </w:rPr>
        <w:t xml:space="preserve">Build on existing restoration by linking it to </w:t>
      </w:r>
      <w:r w:rsidRPr="00BF4AA8">
        <w:rPr>
          <w:rStyle w:val="Strong"/>
          <w:rFonts w:ascii="Arial" w:hAnsi="Arial" w:cs="Arial"/>
          <w:sz w:val="22"/>
          <w:szCs w:val="22"/>
        </w:rPr>
        <w:t xml:space="preserve">enforceable </w:t>
      </w:r>
      <w:proofErr w:type="spellStart"/>
      <w:r w:rsidRPr="00BF4AA8">
        <w:rPr>
          <w:rStyle w:val="Strong"/>
          <w:rFonts w:ascii="Arial" w:hAnsi="Arial" w:cs="Arial"/>
          <w:sz w:val="22"/>
          <w:szCs w:val="22"/>
        </w:rPr>
        <w:t>CFi</w:t>
      </w:r>
      <w:proofErr w:type="spellEnd"/>
      <w:r w:rsidRPr="00BF4AA8">
        <w:rPr>
          <w:rStyle w:val="Strong"/>
          <w:rFonts w:ascii="Arial" w:hAnsi="Arial" w:cs="Arial"/>
          <w:sz w:val="22"/>
          <w:szCs w:val="22"/>
        </w:rPr>
        <w:t xml:space="preserve"> rules</w:t>
      </w:r>
      <w:r w:rsidRPr="00BF4AA8">
        <w:rPr>
          <w:rFonts w:ascii="Arial" w:hAnsi="Arial" w:cs="Arial"/>
          <w:sz w:val="22"/>
          <w:szCs w:val="22"/>
        </w:rPr>
        <w:t xml:space="preserve"> (gear restrictions, no-cut zones, patrol support).</w:t>
      </w:r>
    </w:p>
    <w:p w:rsidR="00F04907" w:rsidRPr="00BF4AA8" w:rsidRDefault="00F04907" w:rsidP="00F04907">
      <w:pPr>
        <w:pStyle w:val="NormalWeb"/>
        <w:numPr>
          <w:ilvl w:val="0"/>
          <w:numId w:val="239"/>
        </w:numPr>
        <w:jc w:val="both"/>
        <w:rPr>
          <w:rFonts w:ascii="Arial" w:hAnsi="Arial" w:cs="Arial"/>
          <w:sz w:val="22"/>
          <w:szCs w:val="22"/>
        </w:rPr>
      </w:pPr>
      <w:r w:rsidRPr="00BF4AA8">
        <w:rPr>
          <w:rFonts w:ascii="Arial" w:hAnsi="Arial" w:cs="Arial"/>
          <w:sz w:val="22"/>
          <w:szCs w:val="22"/>
        </w:rPr>
        <w:t>Promote “simple, visible” management: signage, community patrol schedules, and reporting mechanisms for violations.</w:t>
      </w:r>
    </w:p>
    <w:p w:rsidR="00F04907" w:rsidRPr="00BF4AA8" w:rsidRDefault="00F04907" w:rsidP="00F04907">
      <w:pPr>
        <w:pStyle w:val="NormalWeb"/>
        <w:numPr>
          <w:ilvl w:val="0"/>
          <w:numId w:val="239"/>
        </w:numPr>
        <w:jc w:val="both"/>
        <w:rPr>
          <w:rFonts w:ascii="Arial" w:hAnsi="Arial" w:cs="Arial"/>
          <w:sz w:val="22"/>
          <w:szCs w:val="22"/>
        </w:rPr>
      </w:pPr>
      <w:r w:rsidRPr="00BF4AA8">
        <w:rPr>
          <w:rFonts w:ascii="Arial" w:hAnsi="Arial" w:cs="Arial"/>
          <w:sz w:val="22"/>
          <w:szCs w:val="22"/>
        </w:rPr>
        <w:t xml:space="preserve">Use the site as a </w:t>
      </w:r>
      <w:r w:rsidRPr="00BF4AA8">
        <w:rPr>
          <w:rStyle w:val="Strong"/>
          <w:rFonts w:ascii="Arial" w:hAnsi="Arial" w:cs="Arial"/>
          <w:sz w:val="22"/>
          <w:szCs w:val="22"/>
        </w:rPr>
        <w:t>community monitoring node</w:t>
      </w:r>
      <w:r w:rsidRPr="00BF4AA8">
        <w:rPr>
          <w:rFonts w:ascii="Arial" w:hAnsi="Arial" w:cs="Arial"/>
          <w:sz w:val="22"/>
          <w:szCs w:val="22"/>
        </w:rPr>
        <w:t xml:space="preserve"> for nearby seagrass (anchor management, trawl exclusion signals) and mangrove survival rates.</w:t>
      </w:r>
    </w:p>
    <w:p w:rsidR="00F04907" w:rsidRPr="00BF4AA8" w:rsidRDefault="00F04907" w:rsidP="00F04907">
      <w:pPr>
        <w:pStyle w:val="NormalWeb"/>
        <w:jc w:val="both"/>
        <w:rPr>
          <w:rFonts w:ascii="Arial" w:hAnsi="Arial" w:cs="Arial"/>
          <w:i/>
          <w:iCs/>
          <w:sz w:val="22"/>
          <w:szCs w:val="22"/>
        </w:rPr>
      </w:pPr>
      <w:r w:rsidRPr="00BF4AA8">
        <w:rPr>
          <w:rStyle w:val="Strong"/>
          <w:rFonts w:ascii="Arial" w:hAnsi="Arial" w:cs="Arial"/>
          <w:i/>
          <w:iCs/>
          <w:sz w:val="22"/>
          <w:szCs w:val="22"/>
        </w:rPr>
        <w:t>Priority indicators</w:t>
      </w:r>
    </w:p>
    <w:p w:rsidR="00F04907" w:rsidRPr="00BF4AA8" w:rsidRDefault="00F04907" w:rsidP="00F04907">
      <w:pPr>
        <w:pStyle w:val="NormalWeb"/>
        <w:numPr>
          <w:ilvl w:val="0"/>
          <w:numId w:val="240"/>
        </w:numPr>
        <w:jc w:val="both"/>
        <w:rPr>
          <w:rFonts w:ascii="Arial" w:hAnsi="Arial" w:cs="Arial"/>
          <w:sz w:val="22"/>
          <w:szCs w:val="22"/>
        </w:rPr>
      </w:pPr>
      <w:r w:rsidRPr="00BF4AA8">
        <w:rPr>
          <w:rFonts w:ascii="Arial" w:hAnsi="Arial" w:cs="Arial"/>
          <w:sz w:val="22"/>
          <w:szCs w:val="22"/>
        </w:rPr>
        <w:t>Mangrove seedling survival and canopy recovery, violations/patrol effort, and simple nearshore habitat checks (seagrass presence/scarring where relevant).</w:t>
      </w:r>
    </w:p>
    <w:p w:rsidR="00F04907" w:rsidRPr="00BF4AA8" w:rsidRDefault="00F04907" w:rsidP="00F04907">
      <w:pPr>
        <w:jc w:val="both"/>
        <w:rPr>
          <w:rFonts w:ascii="Arial" w:hAnsi="Arial" w:cs="Arial"/>
          <w:b/>
          <w:bCs/>
          <w:sz w:val="22"/>
          <w:szCs w:val="22"/>
        </w:rPr>
      </w:pPr>
      <w:r w:rsidRPr="00BF4AA8">
        <w:rPr>
          <w:rFonts w:ascii="Arial" w:hAnsi="Arial" w:cs="Arial"/>
          <w:b/>
          <w:bCs/>
          <w:sz w:val="22"/>
          <w:szCs w:val="22"/>
        </w:rPr>
        <w:t>D. Data note</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sz w:val="22"/>
          <w:szCs w:val="22"/>
        </w:rPr>
        <w:t xml:space="preserve">Mangrove “extent” figures differ by dataset and method; they </w:t>
      </w:r>
      <w:proofErr w:type="gramStart"/>
      <w:r w:rsidRPr="00BF4AA8">
        <w:rPr>
          <w:rFonts w:ascii="Arial" w:hAnsi="Arial" w:cs="Arial"/>
          <w:sz w:val="22"/>
          <w:szCs w:val="22"/>
        </w:rPr>
        <w:t>are best interpreted</w:t>
      </w:r>
      <w:proofErr w:type="gramEnd"/>
      <w:r w:rsidRPr="00BF4AA8">
        <w:rPr>
          <w:rFonts w:ascii="Arial" w:hAnsi="Arial" w:cs="Arial"/>
          <w:sz w:val="22"/>
          <w:szCs w:val="22"/>
        </w:rPr>
        <w:t xml:space="preserve"> as </w:t>
      </w:r>
      <w:r w:rsidRPr="00BF4AA8">
        <w:rPr>
          <w:rFonts w:ascii="Arial" w:hAnsi="Arial" w:cs="Arial"/>
          <w:b/>
          <w:bCs/>
          <w:sz w:val="22"/>
          <w:szCs w:val="22"/>
        </w:rPr>
        <w:t>trend signals</w:t>
      </w:r>
      <w:r w:rsidRPr="00BF4AA8">
        <w:rPr>
          <w:rFonts w:ascii="Arial" w:hAnsi="Arial" w:cs="Arial"/>
          <w:sz w:val="22"/>
          <w:szCs w:val="22"/>
        </w:rPr>
        <w:t xml:space="preserve"> rather than exact totals. Wetland extent and condition </w:t>
      </w:r>
      <w:proofErr w:type="gramStart"/>
      <w:r w:rsidRPr="00BF4AA8">
        <w:rPr>
          <w:rFonts w:ascii="Arial" w:hAnsi="Arial" w:cs="Arial"/>
          <w:sz w:val="22"/>
          <w:szCs w:val="22"/>
        </w:rPr>
        <w:t>are even less consistently quantified</w:t>
      </w:r>
      <w:proofErr w:type="gramEnd"/>
      <w:r w:rsidRPr="00BF4AA8">
        <w:rPr>
          <w:rFonts w:ascii="Arial" w:hAnsi="Arial" w:cs="Arial"/>
          <w:sz w:val="22"/>
          <w:szCs w:val="22"/>
        </w:rPr>
        <w:t xml:space="preserve"> in legal instruments and often rely on Ramsar documentation, habitat mapping, and project assessments. For reporting, avoid mixing extent totals across incompatible sources and prioritize clarity on (</w:t>
      </w:r>
      <w:proofErr w:type="spellStart"/>
      <w:r w:rsidRPr="00BF4AA8">
        <w:rPr>
          <w:rFonts w:ascii="Arial" w:hAnsi="Arial" w:cs="Arial"/>
          <w:sz w:val="22"/>
          <w:szCs w:val="22"/>
        </w:rPr>
        <w:t>i</w:t>
      </w:r>
      <w:proofErr w:type="spellEnd"/>
      <w:r w:rsidRPr="00BF4AA8">
        <w:rPr>
          <w:rFonts w:ascii="Arial" w:hAnsi="Arial" w:cs="Arial"/>
          <w:sz w:val="22"/>
          <w:szCs w:val="22"/>
        </w:rPr>
        <w:t>) the dataset used, (ii) the year, and (iii) the main uncertainty drivers (classification, tide, validation coverage).</w:t>
      </w:r>
    </w:p>
    <w:p w:rsidR="00F04907" w:rsidRPr="00BF4AA8" w:rsidRDefault="00F04907" w:rsidP="00BF4AA8">
      <w:pPr>
        <w:pStyle w:val="Heading2"/>
        <w:keepNext/>
        <w:adjustRightInd w:val="0"/>
        <w:snapToGrid w:val="0"/>
        <w:spacing w:before="240" w:beforeAutospacing="0" w:after="120" w:afterAutospacing="0"/>
        <w:rPr>
          <w:rFonts w:ascii="Arial" w:hAnsi="Arial" w:cs="Arial"/>
          <w:color w:val="0070C0"/>
          <w:sz w:val="22"/>
          <w:szCs w:val="22"/>
        </w:rPr>
      </w:pPr>
      <w:bookmarkStart w:id="27" w:name="_Ref216612442"/>
      <w:bookmarkStart w:id="28" w:name="_Toc216681459"/>
      <w:r w:rsidRPr="00BF4AA8">
        <w:rPr>
          <w:rFonts w:ascii="Arial" w:hAnsi="Arial" w:cs="Arial"/>
          <w:color w:val="0070C0"/>
          <w:sz w:val="22"/>
          <w:szCs w:val="22"/>
        </w:rPr>
        <w:t>Annex 4-</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Annex_4-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6</w:t>
      </w:r>
      <w:r w:rsidRPr="00BF4AA8">
        <w:rPr>
          <w:rFonts w:ascii="Arial" w:hAnsi="Arial" w:cs="Arial"/>
          <w:color w:val="0070C0"/>
          <w:sz w:val="22"/>
          <w:szCs w:val="22"/>
        </w:rPr>
        <w:fldChar w:fldCharType="end"/>
      </w:r>
      <w:bookmarkEnd w:id="27"/>
      <w:r w:rsidRPr="00BF4AA8">
        <w:rPr>
          <w:rFonts w:ascii="Arial" w:hAnsi="Arial" w:cs="Arial"/>
          <w:color w:val="0070C0"/>
          <w:sz w:val="22"/>
          <w:szCs w:val="22"/>
        </w:rPr>
        <w:t xml:space="preserve"> Extended explanatory note on coral reefs and seagrass in Cambodia</w:t>
      </w:r>
      <w:bookmarkEnd w:id="28"/>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i/>
          <w:iCs/>
          <w:sz w:val="22"/>
          <w:szCs w:val="22"/>
        </w:rPr>
        <w:t>(Supporting Sections 4.2.2.1 and 4.2.2.2 of the main chapter)</w:t>
      </w:r>
    </w:p>
    <w:p w:rsidR="00F04907" w:rsidRPr="00BF4AA8" w:rsidRDefault="00F04907" w:rsidP="00F04907">
      <w:pPr>
        <w:rPr>
          <w:rFonts w:ascii="Arial" w:hAnsi="Arial" w:cs="Arial"/>
          <w:b/>
          <w:bCs/>
          <w:sz w:val="22"/>
          <w:szCs w:val="22"/>
        </w:rPr>
      </w:pPr>
      <w:r w:rsidRPr="00BF4AA8">
        <w:rPr>
          <w:rFonts w:ascii="Arial" w:hAnsi="Arial" w:cs="Arial"/>
          <w:b/>
          <w:bCs/>
          <w:sz w:val="22"/>
          <w:szCs w:val="22"/>
        </w:rPr>
        <w:t>A. Coral reefs (status, distribution, and interpretation)</w:t>
      </w:r>
    </w:p>
    <w:p w:rsidR="00F04907" w:rsidRPr="00BF4AA8" w:rsidRDefault="00F04907" w:rsidP="00F04907">
      <w:pPr>
        <w:keepNext/>
        <w:adjustRightInd w:val="0"/>
        <w:snapToGrid w:val="0"/>
        <w:spacing w:before="240" w:after="120"/>
        <w:jc w:val="both"/>
        <w:rPr>
          <w:rFonts w:ascii="Arial" w:hAnsi="Arial" w:cs="Arial"/>
          <w:color w:val="0070C0"/>
          <w:sz w:val="22"/>
          <w:szCs w:val="22"/>
        </w:rPr>
      </w:pPr>
      <w:r w:rsidRPr="00BF4AA8">
        <w:rPr>
          <w:rFonts w:ascii="Arial" w:hAnsi="Arial" w:cs="Arial"/>
          <w:color w:val="0070C0"/>
          <w:sz w:val="22"/>
          <w:szCs w:val="22"/>
        </w:rPr>
        <w:t>A1. Distribution and reef types</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sz w:val="22"/>
          <w:szCs w:val="22"/>
        </w:rPr>
        <w:t xml:space="preserve">Cambodia’s coral reefs are predominantly </w:t>
      </w:r>
      <w:r w:rsidRPr="00BF4AA8">
        <w:rPr>
          <w:rFonts w:ascii="Arial" w:hAnsi="Arial" w:cs="Arial"/>
          <w:b/>
          <w:bCs/>
          <w:sz w:val="22"/>
          <w:szCs w:val="22"/>
        </w:rPr>
        <w:t>fringing reef systems</w:t>
      </w:r>
      <w:r w:rsidRPr="00BF4AA8">
        <w:rPr>
          <w:rFonts w:ascii="Arial" w:hAnsi="Arial" w:cs="Arial"/>
          <w:sz w:val="22"/>
          <w:szCs w:val="22"/>
        </w:rPr>
        <w:t xml:space="preserve"> associated with island groups along the Gulf of Thailand. The highest concentration occurs around the </w:t>
      </w:r>
      <w:r w:rsidRPr="00BF4AA8">
        <w:rPr>
          <w:rFonts w:ascii="Arial" w:hAnsi="Arial" w:cs="Arial"/>
          <w:b/>
          <w:bCs/>
          <w:sz w:val="22"/>
          <w:szCs w:val="22"/>
        </w:rPr>
        <w:t>Preah Sihanouk archipelagos</w:t>
      </w:r>
      <w:r w:rsidRPr="00BF4AA8">
        <w:rPr>
          <w:rFonts w:ascii="Arial" w:hAnsi="Arial" w:cs="Arial"/>
          <w:sz w:val="22"/>
          <w:szCs w:val="22"/>
        </w:rPr>
        <w:t xml:space="preserve"> (especially the Koh Rong Archipelago) and the </w:t>
      </w:r>
      <w:proofErr w:type="gramStart"/>
      <w:r w:rsidRPr="00BF4AA8">
        <w:rPr>
          <w:rFonts w:ascii="Arial" w:hAnsi="Arial" w:cs="Arial"/>
          <w:b/>
          <w:bCs/>
          <w:sz w:val="22"/>
          <w:szCs w:val="22"/>
        </w:rPr>
        <w:t>Koh Kong island</w:t>
      </w:r>
      <w:proofErr w:type="gramEnd"/>
      <w:r w:rsidRPr="00BF4AA8">
        <w:rPr>
          <w:rFonts w:ascii="Arial" w:hAnsi="Arial" w:cs="Arial"/>
          <w:b/>
          <w:bCs/>
          <w:sz w:val="22"/>
          <w:szCs w:val="22"/>
        </w:rPr>
        <w:t xml:space="preserve"> complex</w:t>
      </w:r>
      <w:r w:rsidRPr="00BF4AA8">
        <w:rPr>
          <w:rFonts w:ascii="Arial" w:hAnsi="Arial" w:cs="Arial"/>
          <w:sz w:val="22"/>
          <w:szCs w:val="22"/>
        </w:rPr>
        <w:t xml:space="preserve"> (including Koh </w:t>
      </w:r>
      <w:proofErr w:type="spellStart"/>
      <w:r w:rsidRPr="00BF4AA8">
        <w:rPr>
          <w:rFonts w:ascii="Arial" w:hAnsi="Arial" w:cs="Arial"/>
          <w:sz w:val="22"/>
          <w:szCs w:val="22"/>
        </w:rPr>
        <w:t>Sdach</w:t>
      </w:r>
      <w:proofErr w:type="spellEnd"/>
      <w:r w:rsidRPr="00BF4AA8">
        <w:rPr>
          <w:rFonts w:ascii="Arial" w:hAnsi="Arial" w:cs="Arial"/>
          <w:sz w:val="22"/>
          <w:szCs w:val="22"/>
        </w:rPr>
        <w:t xml:space="preserve"> and nearby island chains). Smaller reef patches are present along the mainland-influenced waters of </w:t>
      </w:r>
      <w:proofErr w:type="spellStart"/>
      <w:r w:rsidRPr="00BF4AA8">
        <w:rPr>
          <w:rFonts w:ascii="Arial" w:hAnsi="Arial" w:cs="Arial"/>
          <w:b/>
          <w:bCs/>
          <w:sz w:val="22"/>
          <w:szCs w:val="22"/>
        </w:rPr>
        <w:t>Kep</w:t>
      </w:r>
      <w:proofErr w:type="spellEnd"/>
      <w:r w:rsidRPr="00BF4AA8">
        <w:rPr>
          <w:rFonts w:ascii="Arial" w:hAnsi="Arial" w:cs="Arial"/>
          <w:b/>
          <w:bCs/>
          <w:sz w:val="22"/>
          <w:szCs w:val="22"/>
        </w:rPr>
        <w:t xml:space="preserve"> and </w:t>
      </w:r>
      <w:proofErr w:type="spellStart"/>
      <w:r w:rsidRPr="00BF4AA8">
        <w:rPr>
          <w:rFonts w:ascii="Arial" w:hAnsi="Arial" w:cs="Arial"/>
          <w:b/>
          <w:bCs/>
          <w:sz w:val="22"/>
          <w:szCs w:val="22"/>
        </w:rPr>
        <w:t>Kampot</w:t>
      </w:r>
      <w:proofErr w:type="spellEnd"/>
      <w:r w:rsidRPr="00BF4AA8">
        <w:rPr>
          <w:rFonts w:ascii="Arial" w:hAnsi="Arial" w:cs="Arial"/>
          <w:sz w:val="22"/>
          <w:szCs w:val="22"/>
        </w:rPr>
        <w:t>, where higher turbidity favors sediment-tolerant reef assemblages and limits reef development to discontinuous, shallow patches. This spatial pattern reflects the interaction of (</w:t>
      </w:r>
      <w:proofErr w:type="spellStart"/>
      <w:r w:rsidRPr="00BF4AA8">
        <w:rPr>
          <w:rFonts w:ascii="Arial" w:hAnsi="Arial" w:cs="Arial"/>
          <w:sz w:val="22"/>
          <w:szCs w:val="22"/>
        </w:rPr>
        <w:t>i</w:t>
      </w:r>
      <w:proofErr w:type="spellEnd"/>
      <w:r w:rsidRPr="00BF4AA8">
        <w:rPr>
          <w:rFonts w:ascii="Arial" w:hAnsi="Arial" w:cs="Arial"/>
          <w:sz w:val="22"/>
          <w:szCs w:val="22"/>
        </w:rPr>
        <w:t>) substrate availability around islands, (ii) sediment and nutrient loads from nearshore development and rivers, and (iii) wave exposure and circulation in the semi-enclosed Gulf.</w:t>
      </w:r>
    </w:p>
    <w:p w:rsidR="00F04907" w:rsidRPr="00BF4AA8" w:rsidRDefault="00F04907" w:rsidP="00F04907">
      <w:pPr>
        <w:keepNext/>
        <w:adjustRightInd w:val="0"/>
        <w:snapToGrid w:val="0"/>
        <w:spacing w:before="240" w:after="120"/>
        <w:jc w:val="both"/>
        <w:rPr>
          <w:rFonts w:ascii="Arial" w:hAnsi="Arial" w:cs="Arial"/>
          <w:color w:val="0070C0"/>
          <w:sz w:val="22"/>
          <w:szCs w:val="22"/>
        </w:rPr>
      </w:pPr>
      <w:r w:rsidRPr="00BF4AA8">
        <w:rPr>
          <w:rFonts w:ascii="Arial" w:hAnsi="Arial" w:cs="Arial"/>
          <w:color w:val="0070C0"/>
          <w:sz w:val="22"/>
          <w:szCs w:val="22"/>
        </w:rPr>
        <w:t>A2. Extent and uncertainty (why figures vary)</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sz w:val="22"/>
          <w:szCs w:val="22"/>
        </w:rPr>
        <w:t xml:space="preserve">Early national assessments estimated approximately </w:t>
      </w:r>
      <w:r w:rsidRPr="00BF4AA8">
        <w:rPr>
          <w:rFonts w:ascii="Arial" w:hAnsi="Arial" w:cs="Arial"/>
          <w:b/>
          <w:bCs/>
          <w:sz w:val="22"/>
          <w:szCs w:val="22"/>
        </w:rPr>
        <w:t>~2,700 ha</w:t>
      </w:r>
      <w:r w:rsidRPr="00BF4AA8">
        <w:rPr>
          <w:rFonts w:ascii="Arial" w:hAnsi="Arial" w:cs="Arial"/>
          <w:sz w:val="22"/>
          <w:szCs w:val="22"/>
        </w:rPr>
        <w:t xml:space="preserve"> of reef habitat, largely concentrated in Koh Kong and Preah Sihanouk. More recent mapping and validation comparing </w:t>
      </w:r>
      <w:r w:rsidRPr="00BF4AA8">
        <w:rPr>
          <w:rFonts w:ascii="Arial" w:hAnsi="Arial" w:cs="Arial"/>
          <w:b/>
          <w:bCs/>
          <w:sz w:val="22"/>
          <w:szCs w:val="22"/>
        </w:rPr>
        <w:t>2014 vs. 2025</w:t>
      </w:r>
      <w:r w:rsidRPr="00BF4AA8">
        <w:rPr>
          <w:rFonts w:ascii="Arial" w:hAnsi="Arial" w:cs="Arial"/>
          <w:sz w:val="22"/>
          <w:szCs w:val="22"/>
        </w:rPr>
        <w:t xml:space="preserve"> indicate that reefs remain strongly concentrated in </w:t>
      </w:r>
      <w:r w:rsidRPr="00BF4AA8">
        <w:rPr>
          <w:rFonts w:ascii="Arial" w:hAnsi="Arial" w:cs="Arial"/>
          <w:b/>
          <w:bCs/>
          <w:sz w:val="22"/>
          <w:szCs w:val="22"/>
        </w:rPr>
        <w:t>Preah Sihanouk and Koh Kong (&gt;85% of national mapped cover)</w:t>
      </w:r>
      <w:r w:rsidRPr="00BF4AA8">
        <w:rPr>
          <w:rFonts w:ascii="Arial" w:hAnsi="Arial" w:cs="Arial"/>
          <w:sz w:val="22"/>
          <w:szCs w:val="22"/>
        </w:rPr>
        <w:t xml:space="preserve">, with changes over time generally described as </w:t>
      </w:r>
      <w:r w:rsidRPr="00BF4AA8">
        <w:rPr>
          <w:rFonts w:ascii="Arial" w:hAnsi="Arial" w:cs="Arial"/>
          <w:b/>
          <w:bCs/>
          <w:sz w:val="22"/>
          <w:szCs w:val="22"/>
        </w:rPr>
        <w:t>modest and method-bounded</w:t>
      </w:r>
      <w:r w:rsidRPr="00BF4AA8">
        <w:rPr>
          <w:rFonts w:ascii="Arial" w:hAnsi="Arial" w:cs="Arial"/>
          <w:sz w:val="22"/>
          <w:szCs w:val="22"/>
        </w:rPr>
        <w:t xml:space="preserve">—meaning that apparent gains/losses can partly reflect classification thresholds, sensor resolution, water clarity at image acquisition, and validation coverage rather than true ecological change. For this reason, reef “extent” should </w:t>
      </w:r>
      <w:proofErr w:type="gramStart"/>
      <w:r w:rsidRPr="00BF4AA8">
        <w:rPr>
          <w:rFonts w:ascii="Arial" w:hAnsi="Arial" w:cs="Arial"/>
          <w:sz w:val="22"/>
          <w:szCs w:val="22"/>
        </w:rPr>
        <w:t>be interpreted</w:t>
      </w:r>
      <w:proofErr w:type="gramEnd"/>
      <w:r w:rsidRPr="00BF4AA8">
        <w:rPr>
          <w:rFonts w:ascii="Arial" w:hAnsi="Arial" w:cs="Arial"/>
          <w:sz w:val="22"/>
          <w:szCs w:val="22"/>
        </w:rPr>
        <w:t xml:space="preserve"> alongside </w:t>
      </w:r>
      <w:r w:rsidRPr="00BF4AA8">
        <w:rPr>
          <w:rFonts w:ascii="Arial" w:hAnsi="Arial" w:cs="Arial"/>
          <w:b/>
          <w:bCs/>
          <w:sz w:val="22"/>
          <w:szCs w:val="22"/>
        </w:rPr>
        <w:t>condition indicators</w:t>
      </w:r>
      <w:r w:rsidRPr="00BF4AA8">
        <w:rPr>
          <w:rFonts w:ascii="Arial" w:hAnsi="Arial" w:cs="Arial"/>
          <w:sz w:val="22"/>
          <w:szCs w:val="22"/>
        </w:rPr>
        <w:t xml:space="preserve"> (live coral cover, structural complexity, fish biomass) and </w:t>
      </w:r>
      <w:r w:rsidRPr="00BF4AA8">
        <w:rPr>
          <w:rFonts w:ascii="Arial" w:hAnsi="Arial" w:cs="Arial"/>
          <w:b/>
          <w:bCs/>
          <w:sz w:val="22"/>
          <w:szCs w:val="22"/>
        </w:rPr>
        <w:t>pressure indicators</w:t>
      </w:r>
      <w:r w:rsidRPr="00BF4AA8">
        <w:rPr>
          <w:rFonts w:ascii="Arial" w:hAnsi="Arial" w:cs="Arial"/>
          <w:sz w:val="22"/>
          <w:szCs w:val="22"/>
        </w:rPr>
        <w:t xml:space="preserve"> (turbidity, fishing intensity, tourism footprint).</w:t>
      </w:r>
    </w:p>
    <w:p w:rsidR="00F04907" w:rsidRPr="00BF4AA8" w:rsidRDefault="00F04907" w:rsidP="00F04907">
      <w:pPr>
        <w:keepNext/>
        <w:adjustRightInd w:val="0"/>
        <w:snapToGrid w:val="0"/>
        <w:spacing w:before="240" w:after="120"/>
        <w:jc w:val="both"/>
        <w:rPr>
          <w:rFonts w:ascii="Arial" w:hAnsi="Arial" w:cs="Arial"/>
          <w:color w:val="0070C0"/>
          <w:sz w:val="22"/>
          <w:szCs w:val="22"/>
        </w:rPr>
      </w:pPr>
      <w:r w:rsidRPr="00BF4AA8">
        <w:rPr>
          <w:rFonts w:ascii="Arial" w:hAnsi="Arial" w:cs="Arial"/>
          <w:color w:val="0070C0"/>
          <w:sz w:val="22"/>
          <w:szCs w:val="22"/>
        </w:rPr>
        <w:t>A3. Condition and ecological signals</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sz w:val="22"/>
          <w:szCs w:val="22"/>
        </w:rPr>
        <w:t xml:space="preserve">Available evidence suggests that reef condition in the 2000s typically ranged from </w:t>
      </w:r>
      <w:r w:rsidRPr="00BF4AA8">
        <w:rPr>
          <w:rFonts w:ascii="Arial" w:hAnsi="Arial" w:cs="Arial"/>
          <w:b/>
          <w:bCs/>
          <w:sz w:val="22"/>
          <w:szCs w:val="22"/>
        </w:rPr>
        <w:t>fair to good</w:t>
      </w:r>
      <w:r w:rsidRPr="00BF4AA8">
        <w:rPr>
          <w:rFonts w:ascii="Arial" w:hAnsi="Arial" w:cs="Arial"/>
          <w:sz w:val="22"/>
          <w:szCs w:val="22"/>
        </w:rPr>
        <w:t xml:space="preserve"> (≈23–58% live cover). Long-term monitoring in Koh Rong (initiated around 2010 and later extended to Koh </w:t>
      </w:r>
      <w:proofErr w:type="spellStart"/>
      <w:r w:rsidRPr="00BF4AA8">
        <w:rPr>
          <w:rFonts w:ascii="Arial" w:hAnsi="Arial" w:cs="Arial"/>
          <w:sz w:val="22"/>
          <w:szCs w:val="22"/>
        </w:rPr>
        <w:t>Sdach</w:t>
      </w:r>
      <w:proofErr w:type="spellEnd"/>
      <w:r w:rsidRPr="00BF4AA8">
        <w:rPr>
          <w:rFonts w:ascii="Arial" w:hAnsi="Arial" w:cs="Arial"/>
          <w:sz w:val="22"/>
          <w:szCs w:val="22"/>
        </w:rPr>
        <w:t xml:space="preserve"> and </w:t>
      </w:r>
      <w:proofErr w:type="spellStart"/>
      <w:r w:rsidRPr="00BF4AA8">
        <w:rPr>
          <w:rFonts w:ascii="Arial" w:hAnsi="Arial" w:cs="Arial"/>
          <w:sz w:val="22"/>
          <w:szCs w:val="22"/>
        </w:rPr>
        <w:t>Kep</w:t>
      </w:r>
      <w:proofErr w:type="spellEnd"/>
      <w:r w:rsidRPr="00BF4AA8">
        <w:rPr>
          <w:rFonts w:ascii="Arial" w:hAnsi="Arial" w:cs="Arial"/>
          <w:sz w:val="22"/>
          <w:szCs w:val="22"/>
        </w:rPr>
        <w:t xml:space="preserve">) indicates reefs that </w:t>
      </w:r>
      <w:proofErr w:type="gramStart"/>
      <w:r w:rsidRPr="00BF4AA8">
        <w:rPr>
          <w:rFonts w:ascii="Arial" w:hAnsi="Arial" w:cs="Arial"/>
          <w:sz w:val="22"/>
          <w:szCs w:val="22"/>
        </w:rPr>
        <w:t xml:space="preserve">are </w:t>
      </w:r>
      <w:r w:rsidRPr="00BF4AA8">
        <w:rPr>
          <w:rFonts w:ascii="Arial" w:hAnsi="Arial" w:cs="Arial"/>
          <w:b/>
          <w:bCs/>
          <w:sz w:val="22"/>
          <w:szCs w:val="22"/>
        </w:rPr>
        <w:t>sediment-influenced</w:t>
      </w:r>
      <w:proofErr w:type="gramEnd"/>
      <w:r w:rsidRPr="00BF4AA8">
        <w:rPr>
          <w:rFonts w:ascii="Arial" w:hAnsi="Arial" w:cs="Arial"/>
          <w:sz w:val="22"/>
          <w:szCs w:val="22"/>
        </w:rPr>
        <w:t xml:space="preserve">, with benthic communities often dominated by </w:t>
      </w:r>
      <w:r w:rsidRPr="00BF4AA8">
        <w:rPr>
          <w:rFonts w:ascii="Arial" w:hAnsi="Arial" w:cs="Arial"/>
          <w:b/>
          <w:bCs/>
          <w:sz w:val="22"/>
          <w:szCs w:val="22"/>
        </w:rPr>
        <w:t>massive and encrusting genera</w:t>
      </w:r>
      <w:r w:rsidRPr="00BF4AA8">
        <w:rPr>
          <w:rFonts w:ascii="Arial" w:hAnsi="Arial" w:cs="Arial"/>
          <w:sz w:val="22"/>
          <w:szCs w:val="22"/>
        </w:rPr>
        <w:t xml:space="preserve"> such as </w:t>
      </w:r>
      <w:r w:rsidRPr="00BF4AA8">
        <w:rPr>
          <w:rFonts w:ascii="Arial" w:hAnsi="Arial" w:cs="Arial"/>
          <w:i/>
          <w:iCs/>
          <w:sz w:val="22"/>
          <w:szCs w:val="22"/>
        </w:rPr>
        <w:t>Porites</w:t>
      </w:r>
      <w:r w:rsidRPr="00BF4AA8">
        <w:rPr>
          <w:rFonts w:ascii="Arial" w:hAnsi="Arial" w:cs="Arial"/>
          <w:sz w:val="22"/>
          <w:szCs w:val="22"/>
        </w:rPr>
        <w:t xml:space="preserve"> and </w:t>
      </w:r>
      <w:proofErr w:type="spellStart"/>
      <w:r w:rsidRPr="00BF4AA8">
        <w:rPr>
          <w:rFonts w:ascii="Arial" w:hAnsi="Arial" w:cs="Arial"/>
          <w:i/>
          <w:iCs/>
          <w:sz w:val="22"/>
          <w:szCs w:val="22"/>
        </w:rPr>
        <w:t>Diploastrea</w:t>
      </w:r>
      <w:proofErr w:type="spellEnd"/>
      <w:r w:rsidRPr="00BF4AA8">
        <w:rPr>
          <w:rFonts w:ascii="Arial" w:hAnsi="Arial" w:cs="Arial"/>
          <w:sz w:val="22"/>
          <w:szCs w:val="22"/>
        </w:rPr>
        <w:t xml:space="preserve">. This dominance is an important ecological signal: massive/encrusting forms are generally more tolerant of periodic turbidity and sedimentation, but their prevalence often coincides with </w:t>
      </w:r>
      <w:r w:rsidRPr="00BF4AA8">
        <w:rPr>
          <w:rFonts w:ascii="Arial" w:hAnsi="Arial" w:cs="Arial"/>
          <w:b/>
          <w:bCs/>
          <w:sz w:val="22"/>
          <w:szCs w:val="22"/>
        </w:rPr>
        <w:t>reduced branching coral abundance</w:t>
      </w:r>
      <w:r w:rsidRPr="00BF4AA8">
        <w:rPr>
          <w:rFonts w:ascii="Arial" w:hAnsi="Arial" w:cs="Arial"/>
          <w:sz w:val="22"/>
          <w:szCs w:val="22"/>
        </w:rPr>
        <w:t xml:space="preserve">, lower structural complexity, and altered fish assemblages over time. In practice, this means reefs can remain “alive” (moderate live cover) while still experiencing </w:t>
      </w:r>
      <w:r w:rsidRPr="00BF4AA8">
        <w:rPr>
          <w:rFonts w:ascii="Arial" w:hAnsi="Arial" w:cs="Arial"/>
          <w:b/>
          <w:bCs/>
          <w:sz w:val="22"/>
          <w:szCs w:val="22"/>
        </w:rPr>
        <w:t>structural simplification</w:t>
      </w:r>
      <w:r w:rsidRPr="00BF4AA8">
        <w:rPr>
          <w:rFonts w:ascii="Arial" w:hAnsi="Arial" w:cs="Arial"/>
          <w:sz w:val="22"/>
          <w:szCs w:val="22"/>
        </w:rPr>
        <w:t xml:space="preserve"> and reduced nursery/refuge function for reef fish.</w:t>
      </w:r>
    </w:p>
    <w:p w:rsidR="00F04907" w:rsidRPr="00BF4AA8" w:rsidRDefault="00F04907" w:rsidP="00F04907">
      <w:pPr>
        <w:keepNext/>
        <w:adjustRightInd w:val="0"/>
        <w:snapToGrid w:val="0"/>
        <w:spacing w:before="240" w:after="120"/>
        <w:jc w:val="both"/>
        <w:rPr>
          <w:rFonts w:ascii="Arial" w:hAnsi="Arial" w:cs="Arial"/>
          <w:color w:val="0070C0"/>
          <w:sz w:val="22"/>
          <w:szCs w:val="22"/>
        </w:rPr>
      </w:pPr>
      <w:r w:rsidRPr="00BF4AA8">
        <w:rPr>
          <w:rFonts w:ascii="Arial" w:hAnsi="Arial" w:cs="Arial"/>
          <w:color w:val="0070C0"/>
          <w:sz w:val="22"/>
          <w:szCs w:val="22"/>
        </w:rPr>
        <w:t xml:space="preserve">A4. Monitoring and comparability (CCRMN and why it </w:t>
      </w:r>
      <w:proofErr w:type="gramStart"/>
      <w:r w:rsidRPr="00BF4AA8">
        <w:rPr>
          <w:rFonts w:ascii="Arial" w:hAnsi="Arial" w:cs="Arial"/>
          <w:color w:val="0070C0"/>
          <w:sz w:val="22"/>
          <w:szCs w:val="22"/>
        </w:rPr>
        <w:t>matters</w:t>
      </w:r>
      <w:proofErr w:type="gramEnd"/>
      <w:r w:rsidRPr="00BF4AA8">
        <w:rPr>
          <w:rFonts w:ascii="Arial" w:hAnsi="Arial" w:cs="Arial"/>
          <w:color w:val="0070C0"/>
          <w:sz w:val="22"/>
          <w:szCs w:val="22"/>
        </w:rPr>
        <w:t>)</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sz w:val="22"/>
          <w:szCs w:val="22"/>
        </w:rPr>
        <w:t xml:space="preserve">Since 2019, the </w:t>
      </w:r>
      <w:r w:rsidRPr="00BF4AA8">
        <w:rPr>
          <w:rFonts w:ascii="Arial" w:hAnsi="Arial" w:cs="Arial"/>
          <w:b/>
          <w:bCs/>
          <w:sz w:val="22"/>
          <w:szCs w:val="22"/>
        </w:rPr>
        <w:t>Cambodian Coral Reef Monitoring Network (CCRMN)</w:t>
      </w:r>
      <w:r w:rsidRPr="00BF4AA8">
        <w:rPr>
          <w:rFonts w:ascii="Arial" w:hAnsi="Arial" w:cs="Arial"/>
          <w:sz w:val="22"/>
          <w:szCs w:val="22"/>
        </w:rPr>
        <w:t xml:space="preserve"> has standardized protocols across sites for fish biomass, benthic cover, invertebrates, and structural complexity. This is important for two reasons:</w:t>
      </w:r>
    </w:p>
    <w:p w:rsidR="00F04907" w:rsidRPr="00BF4AA8" w:rsidRDefault="00F04907" w:rsidP="00F04907">
      <w:pPr>
        <w:numPr>
          <w:ilvl w:val="0"/>
          <w:numId w:val="241"/>
        </w:numPr>
        <w:spacing w:before="100" w:beforeAutospacing="1" w:after="100" w:afterAutospacing="1"/>
        <w:jc w:val="both"/>
        <w:rPr>
          <w:rFonts w:ascii="Arial" w:hAnsi="Arial" w:cs="Arial"/>
          <w:sz w:val="22"/>
          <w:szCs w:val="22"/>
        </w:rPr>
      </w:pPr>
      <w:r w:rsidRPr="00BF4AA8">
        <w:rPr>
          <w:rFonts w:ascii="Arial" w:hAnsi="Arial" w:cs="Arial"/>
          <w:sz w:val="22"/>
          <w:szCs w:val="22"/>
        </w:rPr>
        <w:t xml:space="preserve">It improves </w:t>
      </w:r>
      <w:r w:rsidRPr="00BF4AA8">
        <w:rPr>
          <w:rFonts w:ascii="Arial" w:hAnsi="Arial" w:cs="Arial"/>
          <w:b/>
          <w:bCs/>
          <w:sz w:val="22"/>
          <w:szCs w:val="22"/>
        </w:rPr>
        <w:t>comparability</w:t>
      </w:r>
      <w:r w:rsidRPr="00BF4AA8">
        <w:rPr>
          <w:rFonts w:ascii="Arial" w:hAnsi="Arial" w:cs="Arial"/>
          <w:sz w:val="22"/>
          <w:szCs w:val="22"/>
        </w:rPr>
        <w:t xml:space="preserve"> across provinces and years (reduces “apples vs oranges” monitoring), and</w:t>
      </w:r>
    </w:p>
    <w:p w:rsidR="00F04907" w:rsidRPr="00BF4AA8" w:rsidRDefault="00F04907" w:rsidP="00F04907">
      <w:pPr>
        <w:numPr>
          <w:ilvl w:val="0"/>
          <w:numId w:val="241"/>
        </w:numPr>
        <w:spacing w:before="100" w:beforeAutospacing="1" w:after="100" w:afterAutospacing="1"/>
        <w:jc w:val="both"/>
        <w:rPr>
          <w:rFonts w:ascii="Arial" w:hAnsi="Arial" w:cs="Arial"/>
          <w:sz w:val="22"/>
          <w:szCs w:val="22"/>
        </w:rPr>
      </w:pPr>
      <w:r w:rsidRPr="00BF4AA8">
        <w:rPr>
          <w:rFonts w:ascii="Arial" w:hAnsi="Arial" w:cs="Arial"/>
          <w:sz w:val="22"/>
          <w:szCs w:val="22"/>
        </w:rPr>
        <w:t xml:space="preserve">It supports management evaluation—i.e., whether zoning/enforcement (MNPs, MFMAs, </w:t>
      </w:r>
      <w:proofErr w:type="spellStart"/>
      <w:r w:rsidRPr="00BF4AA8">
        <w:rPr>
          <w:rFonts w:ascii="Arial" w:hAnsi="Arial" w:cs="Arial"/>
          <w:sz w:val="22"/>
          <w:szCs w:val="22"/>
        </w:rPr>
        <w:t>CFis</w:t>
      </w:r>
      <w:proofErr w:type="spellEnd"/>
      <w:r w:rsidRPr="00BF4AA8">
        <w:rPr>
          <w:rFonts w:ascii="Arial" w:hAnsi="Arial" w:cs="Arial"/>
          <w:sz w:val="22"/>
          <w:szCs w:val="22"/>
        </w:rPr>
        <w:t>) is associated with measurable improvements in fish biomass or reduced physical damage.</w:t>
      </w:r>
    </w:p>
    <w:p w:rsidR="00F04907" w:rsidRPr="00BF4AA8" w:rsidRDefault="00F04907" w:rsidP="00F04907">
      <w:pPr>
        <w:keepNext/>
        <w:adjustRightInd w:val="0"/>
        <w:snapToGrid w:val="0"/>
        <w:spacing w:before="240" w:after="120"/>
        <w:jc w:val="both"/>
        <w:rPr>
          <w:rFonts w:ascii="Arial" w:hAnsi="Arial" w:cs="Arial"/>
          <w:color w:val="0070C0"/>
          <w:sz w:val="22"/>
          <w:szCs w:val="22"/>
        </w:rPr>
      </w:pPr>
      <w:r w:rsidRPr="00BF4AA8">
        <w:rPr>
          <w:rFonts w:ascii="Arial" w:hAnsi="Arial" w:cs="Arial"/>
          <w:color w:val="0070C0"/>
          <w:sz w:val="22"/>
          <w:szCs w:val="22"/>
        </w:rPr>
        <w:t>A5. Species diversity and data gaps</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sz w:val="22"/>
          <w:szCs w:val="22"/>
        </w:rPr>
        <w:t xml:space="preserve">Cambodia likely hosts around </w:t>
      </w:r>
      <w:r w:rsidRPr="00BF4AA8">
        <w:rPr>
          <w:rFonts w:ascii="Arial" w:hAnsi="Arial" w:cs="Arial"/>
          <w:b/>
          <w:bCs/>
          <w:sz w:val="22"/>
          <w:szCs w:val="22"/>
        </w:rPr>
        <w:t>~70 coral species</w:t>
      </w:r>
      <w:r w:rsidRPr="00BF4AA8">
        <w:rPr>
          <w:rFonts w:ascii="Arial" w:hAnsi="Arial" w:cs="Arial"/>
          <w:sz w:val="22"/>
          <w:szCs w:val="22"/>
        </w:rPr>
        <w:t xml:space="preserve">, but distribution data remain incomplete—particularly offshore. Several historical/partner surveys have mapped nearshore reefs, but </w:t>
      </w:r>
      <w:r w:rsidRPr="00BF4AA8">
        <w:rPr>
          <w:rFonts w:ascii="Arial" w:hAnsi="Arial" w:cs="Arial"/>
          <w:b/>
          <w:bCs/>
          <w:sz w:val="22"/>
          <w:szCs w:val="22"/>
        </w:rPr>
        <w:t>species inventories</w:t>
      </w:r>
      <w:r w:rsidRPr="00BF4AA8">
        <w:rPr>
          <w:rFonts w:ascii="Arial" w:hAnsi="Arial" w:cs="Arial"/>
          <w:sz w:val="22"/>
          <w:szCs w:val="22"/>
        </w:rPr>
        <w:t xml:space="preserve"> and </w:t>
      </w:r>
      <w:r w:rsidRPr="00BF4AA8">
        <w:rPr>
          <w:rFonts w:ascii="Arial" w:hAnsi="Arial" w:cs="Arial"/>
          <w:b/>
          <w:bCs/>
          <w:sz w:val="22"/>
          <w:szCs w:val="22"/>
        </w:rPr>
        <w:t>standardized biodiversity baselines</w:t>
      </w:r>
      <w:r w:rsidRPr="00BF4AA8">
        <w:rPr>
          <w:rFonts w:ascii="Arial" w:hAnsi="Arial" w:cs="Arial"/>
          <w:sz w:val="22"/>
          <w:szCs w:val="22"/>
        </w:rPr>
        <w:t xml:space="preserve"> remain limited in many areas. Localized coral extraction persists in some communities, typically small-scale, but it can be significant where reef patches are small or already degraded.</w:t>
      </w:r>
    </w:p>
    <w:p w:rsidR="00F04907" w:rsidRPr="00BF4AA8" w:rsidRDefault="00F04907" w:rsidP="00F04907">
      <w:pPr>
        <w:keepNext/>
        <w:adjustRightInd w:val="0"/>
        <w:snapToGrid w:val="0"/>
        <w:spacing w:before="240" w:after="120"/>
        <w:jc w:val="both"/>
        <w:rPr>
          <w:rFonts w:ascii="Arial" w:hAnsi="Arial" w:cs="Arial"/>
          <w:color w:val="0070C0"/>
          <w:sz w:val="22"/>
          <w:szCs w:val="22"/>
        </w:rPr>
      </w:pPr>
      <w:r w:rsidRPr="00BF4AA8">
        <w:rPr>
          <w:rFonts w:ascii="Arial" w:hAnsi="Arial" w:cs="Arial"/>
          <w:color w:val="0070C0"/>
          <w:sz w:val="22"/>
          <w:szCs w:val="22"/>
        </w:rPr>
        <w:t>A6. Management interpretation and priorities</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sz w:val="22"/>
          <w:szCs w:val="22"/>
        </w:rPr>
        <w:t xml:space="preserve">The key management implication is that Cambodia’s reefs </w:t>
      </w:r>
      <w:proofErr w:type="gramStart"/>
      <w:r w:rsidRPr="00BF4AA8">
        <w:rPr>
          <w:rFonts w:ascii="Arial" w:hAnsi="Arial" w:cs="Arial"/>
          <w:sz w:val="22"/>
          <w:szCs w:val="22"/>
        </w:rPr>
        <w:t>are strongly shaped</w:t>
      </w:r>
      <w:proofErr w:type="gramEnd"/>
      <w:r w:rsidRPr="00BF4AA8">
        <w:rPr>
          <w:rFonts w:ascii="Arial" w:hAnsi="Arial" w:cs="Arial"/>
          <w:sz w:val="22"/>
          <w:szCs w:val="22"/>
        </w:rPr>
        <w:t xml:space="preserve"> by </w:t>
      </w:r>
      <w:r w:rsidRPr="00BF4AA8">
        <w:rPr>
          <w:rFonts w:ascii="Arial" w:hAnsi="Arial" w:cs="Arial"/>
          <w:b/>
          <w:bCs/>
          <w:sz w:val="22"/>
          <w:szCs w:val="22"/>
        </w:rPr>
        <w:t>chronic, cumulative pressures</w:t>
      </w:r>
      <w:r w:rsidRPr="00BF4AA8">
        <w:rPr>
          <w:rFonts w:ascii="Arial" w:hAnsi="Arial" w:cs="Arial"/>
          <w:sz w:val="22"/>
          <w:szCs w:val="22"/>
        </w:rPr>
        <w:t xml:space="preserve"> rather than single catastrophic events. Priority actions typically include:</w:t>
      </w:r>
    </w:p>
    <w:p w:rsidR="00F04907" w:rsidRPr="00BF4AA8" w:rsidRDefault="00F04907" w:rsidP="00F04907">
      <w:pPr>
        <w:numPr>
          <w:ilvl w:val="0"/>
          <w:numId w:val="242"/>
        </w:numPr>
        <w:spacing w:before="100" w:beforeAutospacing="1" w:after="100" w:afterAutospacing="1"/>
        <w:jc w:val="both"/>
        <w:rPr>
          <w:rFonts w:ascii="Arial" w:hAnsi="Arial" w:cs="Arial"/>
          <w:sz w:val="22"/>
          <w:szCs w:val="22"/>
        </w:rPr>
      </w:pPr>
      <w:r w:rsidRPr="00BF4AA8">
        <w:rPr>
          <w:rFonts w:ascii="Arial" w:hAnsi="Arial" w:cs="Arial"/>
          <w:sz w:val="22"/>
          <w:szCs w:val="22"/>
        </w:rPr>
        <w:t xml:space="preserve">Reducing </w:t>
      </w:r>
      <w:r w:rsidRPr="00BF4AA8">
        <w:rPr>
          <w:rFonts w:ascii="Arial" w:hAnsi="Arial" w:cs="Arial"/>
          <w:b/>
          <w:bCs/>
          <w:sz w:val="22"/>
          <w:szCs w:val="22"/>
        </w:rPr>
        <w:t>sedimentation and water-quality stress</w:t>
      </w:r>
      <w:r w:rsidRPr="00BF4AA8">
        <w:rPr>
          <w:rFonts w:ascii="Arial" w:hAnsi="Arial" w:cs="Arial"/>
          <w:sz w:val="22"/>
          <w:szCs w:val="22"/>
        </w:rPr>
        <w:t xml:space="preserve"> (shoreline works, dredging controls, wastewater/runoff management)</w:t>
      </w:r>
    </w:p>
    <w:p w:rsidR="00F04907" w:rsidRPr="00BF4AA8" w:rsidRDefault="00F04907" w:rsidP="00F04907">
      <w:pPr>
        <w:numPr>
          <w:ilvl w:val="0"/>
          <w:numId w:val="242"/>
        </w:numPr>
        <w:spacing w:before="100" w:beforeAutospacing="1" w:after="100" w:afterAutospacing="1"/>
        <w:jc w:val="both"/>
        <w:rPr>
          <w:rFonts w:ascii="Arial" w:hAnsi="Arial" w:cs="Arial"/>
          <w:sz w:val="22"/>
          <w:szCs w:val="22"/>
        </w:rPr>
      </w:pPr>
      <w:r w:rsidRPr="00BF4AA8">
        <w:rPr>
          <w:rFonts w:ascii="Arial" w:hAnsi="Arial" w:cs="Arial"/>
          <w:sz w:val="22"/>
          <w:szCs w:val="22"/>
        </w:rPr>
        <w:t>Strengthening fisheries compliance (illegal gears, compressor fishing where relevant)</w:t>
      </w:r>
    </w:p>
    <w:p w:rsidR="00F04907" w:rsidRPr="00BF4AA8" w:rsidRDefault="00F04907" w:rsidP="00F04907">
      <w:pPr>
        <w:numPr>
          <w:ilvl w:val="0"/>
          <w:numId w:val="242"/>
        </w:numPr>
        <w:spacing w:before="100" w:beforeAutospacing="1" w:after="100" w:afterAutospacing="1"/>
        <w:jc w:val="both"/>
        <w:rPr>
          <w:rFonts w:ascii="Arial" w:hAnsi="Arial" w:cs="Arial"/>
          <w:sz w:val="22"/>
          <w:szCs w:val="22"/>
        </w:rPr>
      </w:pPr>
      <w:r w:rsidRPr="00BF4AA8">
        <w:rPr>
          <w:rFonts w:ascii="Arial" w:hAnsi="Arial" w:cs="Arial"/>
          <w:sz w:val="22"/>
          <w:szCs w:val="22"/>
        </w:rPr>
        <w:t>Managing tourism impacts (anchoring, trampling, unregulated snorkel/diver pressure)</w:t>
      </w:r>
    </w:p>
    <w:p w:rsidR="00F04907" w:rsidRPr="00BF4AA8" w:rsidRDefault="00F04907" w:rsidP="00F04907">
      <w:pPr>
        <w:numPr>
          <w:ilvl w:val="0"/>
          <w:numId w:val="242"/>
        </w:numPr>
        <w:spacing w:before="100" w:beforeAutospacing="1" w:after="100" w:afterAutospacing="1"/>
        <w:jc w:val="both"/>
        <w:rPr>
          <w:rFonts w:ascii="Arial" w:hAnsi="Arial" w:cs="Arial"/>
          <w:sz w:val="22"/>
          <w:szCs w:val="22"/>
        </w:rPr>
      </w:pPr>
      <w:r w:rsidRPr="00BF4AA8">
        <w:rPr>
          <w:rFonts w:ascii="Arial" w:hAnsi="Arial" w:cs="Arial"/>
          <w:sz w:val="22"/>
          <w:szCs w:val="22"/>
        </w:rPr>
        <w:t>Targeting restoration where it has the highest chance of success (e.g., reef areas with stable substrate, manageable turbidity, and enforceable no-anchor zones)</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sz w:val="22"/>
          <w:szCs w:val="22"/>
        </w:rPr>
        <w:t xml:space="preserve">Recent mapping-based restoration priorities highlight </w:t>
      </w:r>
      <w:r w:rsidRPr="00BF4AA8">
        <w:rPr>
          <w:rFonts w:ascii="Arial" w:hAnsi="Arial" w:cs="Arial"/>
          <w:b/>
          <w:bCs/>
          <w:sz w:val="22"/>
          <w:szCs w:val="22"/>
        </w:rPr>
        <w:t xml:space="preserve">Koh Rong </w:t>
      </w:r>
      <w:proofErr w:type="spellStart"/>
      <w:r w:rsidRPr="00BF4AA8">
        <w:rPr>
          <w:rFonts w:ascii="Arial" w:hAnsi="Arial" w:cs="Arial"/>
          <w:b/>
          <w:bCs/>
          <w:sz w:val="22"/>
          <w:szCs w:val="22"/>
        </w:rPr>
        <w:t>Sanloem</w:t>
      </w:r>
      <w:proofErr w:type="spellEnd"/>
      <w:r w:rsidRPr="00BF4AA8">
        <w:rPr>
          <w:rFonts w:ascii="Arial" w:hAnsi="Arial" w:cs="Arial"/>
          <w:b/>
          <w:bCs/>
          <w:sz w:val="22"/>
          <w:szCs w:val="22"/>
        </w:rPr>
        <w:t>/</w:t>
      </w:r>
      <w:proofErr w:type="spellStart"/>
      <w:r w:rsidRPr="00BF4AA8">
        <w:rPr>
          <w:rFonts w:ascii="Arial" w:hAnsi="Arial" w:cs="Arial"/>
          <w:b/>
          <w:bCs/>
          <w:sz w:val="22"/>
          <w:szCs w:val="22"/>
        </w:rPr>
        <w:t>Prek</w:t>
      </w:r>
      <w:proofErr w:type="spellEnd"/>
      <w:r w:rsidRPr="00BF4AA8">
        <w:rPr>
          <w:rFonts w:ascii="Arial" w:hAnsi="Arial" w:cs="Arial"/>
          <w:b/>
          <w:bCs/>
          <w:sz w:val="22"/>
          <w:szCs w:val="22"/>
        </w:rPr>
        <w:t xml:space="preserve"> </w:t>
      </w:r>
      <w:proofErr w:type="spellStart"/>
      <w:r w:rsidRPr="00BF4AA8">
        <w:rPr>
          <w:rFonts w:ascii="Arial" w:hAnsi="Arial" w:cs="Arial"/>
          <w:b/>
          <w:bCs/>
          <w:sz w:val="22"/>
          <w:szCs w:val="22"/>
        </w:rPr>
        <w:t>Svay</w:t>
      </w:r>
      <w:proofErr w:type="spellEnd"/>
      <w:r w:rsidRPr="00BF4AA8">
        <w:rPr>
          <w:rFonts w:ascii="Arial" w:hAnsi="Arial" w:cs="Arial"/>
          <w:sz w:val="22"/>
          <w:szCs w:val="22"/>
        </w:rPr>
        <w:t xml:space="preserve"> (high tourism pressure) and larger Koh Kong reef complexes such as </w:t>
      </w:r>
      <w:proofErr w:type="spellStart"/>
      <w:r w:rsidRPr="00BF4AA8">
        <w:rPr>
          <w:rFonts w:ascii="Arial" w:hAnsi="Arial" w:cs="Arial"/>
          <w:b/>
          <w:bCs/>
          <w:sz w:val="22"/>
          <w:szCs w:val="22"/>
        </w:rPr>
        <w:t>Samros</w:t>
      </w:r>
      <w:proofErr w:type="spellEnd"/>
      <w:r w:rsidRPr="00BF4AA8">
        <w:rPr>
          <w:rFonts w:ascii="Arial" w:hAnsi="Arial" w:cs="Arial"/>
          <w:b/>
          <w:bCs/>
          <w:sz w:val="22"/>
          <w:szCs w:val="22"/>
        </w:rPr>
        <w:t xml:space="preserve"> Koh </w:t>
      </w:r>
      <w:proofErr w:type="spellStart"/>
      <w:r w:rsidRPr="00BF4AA8">
        <w:rPr>
          <w:rFonts w:ascii="Arial" w:hAnsi="Arial" w:cs="Arial"/>
          <w:b/>
          <w:bCs/>
          <w:sz w:val="22"/>
          <w:szCs w:val="22"/>
        </w:rPr>
        <w:t>Sdach</w:t>
      </w:r>
      <w:proofErr w:type="spellEnd"/>
      <w:r w:rsidRPr="00BF4AA8">
        <w:rPr>
          <w:rFonts w:ascii="Arial" w:hAnsi="Arial" w:cs="Arial"/>
          <w:b/>
          <w:bCs/>
          <w:sz w:val="22"/>
          <w:szCs w:val="22"/>
        </w:rPr>
        <w:t xml:space="preserve">, </w:t>
      </w:r>
      <w:proofErr w:type="spellStart"/>
      <w:r w:rsidRPr="00BF4AA8">
        <w:rPr>
          <w:rFonts w:ascii="Arial" w:hAnsi="Arial" w:cs="Arial"/>
          <w:b/>
          <w:bCs/>
          <w:sz w:val="22"/>
          <w:szCs w:val="22"/>
        </w:rPr>
        <w:t>Phnhy</w:t>
      </w:r>
      <w:proofErr w:type="spellEnd"/>
      <w:r w:rsidRPr="00BF4AA8">
        <w:rPr>
          <w:rFonts w:ascii="Arial" w:hAnsi="Arial" w:cs="Arial"/>
          <w:b/>
          <w:bCs/>
          <w:sz w:val="22"/>
          <w:szCs w:val="22"/>
        </w:rPr>
        <w:t xml:space="preserve"> </w:t>
      </w:r>
      <w:proofErr w:type="spellStart"/>
      <w:r w:rsidRPr="00BF4AA8">
        <w:rPr>
          <w:rFonts w:ascii="Arial" w:hAnsi="Arial" w:cs="Arial"/>
          <w:b/>
          <w:bCs/>
          <w:sz w:val="22"/>
          <w:szCs w:val="22"/>
        </w:rPr>
        <w:t>Meas</w:t>
      </w:r>
      <w:proofErr w:type="spellEnd"/>
      <w:r w:rsidRPr="00BF4AA8">
        <w:rPr>
          <w:rFonts w:ascii="Arial" w:hAnsi="Arial" w:cs="Arial"/>
          <w:b/>
          <w:bCs/>
          <w:sz w:val="22"/>
          <w:szCs w:val="22"/>
        </w:rPr>
        <w:t xml:space="preserve"> and </w:t>
      </w:r>
      <w:proofErr w:type="spellStart"/>
      <w:r w:rsidRPr="00BF4AA8">
        <w:rPr>
          <w:rFonts w:ascii="Arial" w:hAnsi="Arial" w:cs="Arial"/>
          <w:b/>
          <w:bCs/>
          <w:sz w:val="22"/>
          <w:szCs w:val="22"/>
        </w:rPr>
        <w:t>Chrouy</w:t>
      </w:r>
      <w:proofErr w:type="spellEnd"/>
      <w:r w:rsidRPr="00BF4AA8">
        <w:rPr>
          <w:rFonts w:ascii="Arial" w:hAnsi="Arial" w:cs="Arial"/>
          <w:b/>
          <w:bCs/>
          <w:sz w:val="22"/>
          <w:szCs w:val="22"/>
        </w:rPr>
        <w:t xml:space="preserve"> Pros</w:t>
      </w:r>
      <w:r w:rsidRPr="00BF4AA8">
        <w:rPr>
          <w:rFonts w:ascii="Arial" w:hAnsi="Arial" w:cs="Arial"/>
          <w:sz w:val="22"/>
          <w:szCs w:val="22"/>
        </w:rPr>
        <w:t>, reflecting a strategy of focusing on places with both ecological scale and practical management leverage.</w:t>
      </w:r>
    </w:p>
    <w:p w:rsidR="00F04907" w:rsidRPr="00BF4AA8" w:rsidRDefault="00F04907" w:rsidP="00F04907">
      <w:pPr>
        <w:rPr>
          <w:rFonts w:ascii="Arial" w:hAnsi="Arial" w:cs="Arial"/>
          <w:b/>
          <w:bCs/>
          <w:sz w:val="22"/>
          <w:szCs w:val="22"/>
        </w:rPr>
      </w:pPr>
      <w:r w:rsidRPr="00BF4AA8">
        <w:rPr>
          <w:rFonts w:ascii="Arial" w:hAnsi="Arial" w:cs="Arial"/>
          <w:b/>
          <w:bCs/>
          <w:sz w:val="22"/>
          <w:szCs w:val="22"/>
        </w:rPr>
        <w:t>B. Seagrass (status, distribution, and interpretation)</w:t>
      </w:r>
    </w:p>
    <w:p w:rsidR="00F04907" w:rsidRPr="00BF4AA8" w:rsidRDefault="00F04907" w:rsidP="00F04907">
      <w:pPr>
        <w:keepNext/>
        <w:adjustRightInd w:val="0"/>
        <w:snapToGrid w:val="0"/>
        <w:spacing w:before="240" w:after="120"/>
        <w:jc w:val="both"/>
        <w:rPr>
          <w:rFonts w:ascii="Arial" w:hAnsi="Arial" w:cs="Arial"/>
          <w:color w:val="0070C0"/>
          <w:sz w:val="22"/>
          <w:szCs w:val="22"/>
        </w:rPr>
      </w:pPr>
      <w:r w:rsidRPr="00BF4AA8">
        <w:rPr>
          <w:rFonts w:ascii="Arial" w:hAnsi="Arial" w:cs="Arial"/>
          <w:color w:val="0070C0"/>
          <w:sz w:val="22"/>
          <w:szCs w:val="22"/>
        </w:rPr>
        <w:t>B1. Distribution and meadow configurations</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sz w:val="22"/>
          <w:szCs w:val="22"/>
        </w:rPr>
        <w:t xml:space="preserve">Cambodia hosts extensive seagrass meadows, particularly in </w:t>
      </w:r>
      <w:proofErr w:type="spellStart"/>
      <w:r w:rsidRPr="00BF4AA8">
        <w:rPr>
          <w:rFonts w:ascii="Arial" w:hAnsi="Arial" w:cs="Arial"/>
          <w:b/>
          <w:bCs/>
          <w:sz w:val="22"/>
          <w:szCs w:val="22"/>
        </w:rPr>
        <w:t>Kampot</w:t>
      </w:r>
      <w:proofErr w:type="spellEnd"/>
      <w:r w:rsidRPr="00BF4AA8">
        <w:rPr>
          <w:rFonts w:ascii="Arial" w:hAnsi="Arial" w:cs="Arial"/>
          <w:b/>
          <w:bCs/>
          <w:sz w:val="22"/>
          <w:szCs w:val="22"/>
        </w:rPr>
        <w:t xml:space="preserve"> and Koh Kong</w:t>
      </w:r>
      <w:r w:rsidRPr="00BF4AA8">
        <w:rPr>
          <w:rFonts w:ascii="Arial" w:hAnsi="Arial" w:cs="Arial"/>
          <w:sz w:val="22"/>
          <w:szCs w:val="22"/>
        </w:rPr>
        <w:t>, with notable nearshore beds also recorded around Preah Sihanouk coastal cells. Recent surveys describe two dominant configurations:</w:t>
      </w:r>
    </w:p>
    <w:p w:rsidR="00F04907" w:rsidRPr="00BF4AA8" w:rsidRDefault="00F04907" w:rsidP="00F04907">
      <w:pPr>
        <w:numPr>
          <w:ilvl w:val="0"/>
          <w:numId w:val="243"/>
        </w:numPr>
        <w:spacing w:before="100" w:beforeAutospacing="1" w:after="100" w:afterAutospacing="1"/>
        <w:jc w:val="both"/>
        <w:rPr>
          <w:rFonts w:ascii="Arial" w:hAnsi="Arial" w:cs="Arial"/>
          <w:sz w:val="22"/>
          <w:szCs w:val="22"/>
        </w:rPr>
      </w:pPr>
      <w:r w:rsidRPr="00BF4AA8">
        <w:rPr>
          <w:rFonts w:ascii="Arial" w:hAnsi="Arial" w:cs="Arial"/>
          <w:b/>
          <w:bCs/>
          <w:sz w:val="22"/>
          <w:szCs w:val="22"/>
        </w:rPr>
        <w:t>Large mainland-adjacent meadows</w:t>
      </w:r>
      <w:r w:rsidRPr="00BF4AA8">
        <w:rPr>
          <w:rFonts w:ascii="Arial" w:hAnsi="Arial" w:cs="Arial"/>
          <w:sz w:val="22"/>
          <w:szCs w:val="22"/>
        </w:rPr>
        <w:t xml:space="preserve"> (often shallow, continuous, and highly exposed to fishing and turbidity pressures), and</w:t>
      </w:r>
    </w:p>
    <w:p w:rsidR="00F04907" w:rsidRPr="00BF4AA8" w:rsidRDefault="00F04907" w:rsidP="00F04907">
      <w:pPr>
        <w:numPr>
          <w:ilvl w:val="0"/>
          <w:numId w:val="243"/>
        </w:numPr>
        <w:spacing w:before="100" w:beforeAutospacing="1" w:after="100" w:afterAutospacing="1"/>
        <w:jc w:val="both"/>
        <w:rPr>
          <w:rFonts w:ascii="Arial" w:hAnsi="Arial" w:cs="Arial"/>
          <w:sz w:val="22"/>
          <w:szCs w:val="22"/>
        </w:rPr>
      </w:pPr>
      <w:r w:rsidRPr="00BF4AA8">
        <w:rPr>
          <w:rFonts w:ascii="Arial" w:hAnsi="Arial" w:cs="Arial"/>
          <w:b/>
          <w:bCs/>
          <w:sz w:val="22"/>
          <w:szCs w:val="22"/>
        </w:rPr>
        <w:t>Smaller island/bay patches</w:t>
      </w:r>
      <w:r w:rsidRPr="00BF4AA8">
        <w:rPr>
          <w:rFonts w:ascii="Arial" w:hAnsi="Arial" w:cs="Arial"/>
          <w:sz w:val="22"/>
          <w:szCs w:val="22"/>
        </w:rPr>
        <w:t xml:space="preserve"> (more sheltered but vulnerable to localized tourism and anchoring).</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sz w:val="22"/>
          <w:szCs w:val="22"/>
        </w:rPr>
        <w:t xml:space="preserve">Dominant taxa commonly include </w:t>
      </w:r>
      <w:proofErr w:type="spellStart"/>
      <w:r w:rsidRPr="00BF4AA8">
        <w:rPr>
          <w:rFonts w:ascii="Arial" w:hAnsi="Arial" w:cs="Arial"/>
          <w:i/>
          <w:iCs/>
          <w:sz w:val="22"/>
          <w:szCs w:val="22"/>
        </w:rPr>
        <w:t>Thalassia</w:t>
      </w:r>
      <w:proofErr w:type="spellEnd"/>
      <w:r w:rsidRPr="00BF4AA8">
        <w:rPr>
          <w:rFonts w:ascii="Arial" w:hAnsi="Arial" w:cs="Arial"/>
          <w:i/>
          <w:iCs/>
          <w:sz w:val="22"/>
          <w:szCs w:val="22"/>
        </w:rPr>
        <w:t xml:space="preserve"> </w:t>
      </w:r>
      <w:proofErr w:type="spellStart"/>
      <w:r w:rsidRPr="00BF4AA8">
        <w:rPr>
          <w:rFonts w:ascii="Arial" w:hAnsi="Arial" w:cs="Arial"/>
          <w:i/>
          <w:iCs/>
          <w:sz w:val="22"/>
          <w:szCs w:val="22"/>
        </w:rPr>
        <w:t>hemprichii</w:t>
      </w:r>
      <w:proofErr w:type="spellEnd"/>
      <w:r w:rsidRPr="00BF4AA8">
        <w:rPr>
          <w:rFonts w:ascii="Arial" w:hAnsi="Arial" w:cs="Arial"/>
          <w:sz w:val="22"/>
          <w:szCs w:val="22"/>
        </w:rPr>
        <w:t xml:space="preserve">, </w:t>
      </w:r>
      <w:proofErr w:type="spellStart"/>
      <w:r w:rsidRPr="00BF4AA8">
        <w:rPr>
          <w:rFonts w:ascii="Arial" w:hAnsi="Arial" w:cs="Arial"/>
          <w:i/>
          <w:iCs/>
          <w:sz w:val="22"/>
          <w:szCs w:val="22"/>
        </w:rPr>
        <w:t>Halodule</w:t>
      </w:r>
      <w:proofErr w:type="spellEnd"/>
      <w:r w:rsidRPr="00BF4AA8">
        <w:rPr>
          <w:rFonts w:ascii="Arial" w:hAnsi="Arial" w:cs="Arial"/>
          <w:i/>
          <w:iCs/>
          <w:sz w:val="22"/>
          <w:szCs w:val="22"/>
        </w:rPr>
        <w:t xml:space="preserve"> </w:t>
      </w:r>
      <w:proofErr w:type="spellStart"/>
      <w:r w:rsidRPr="00BF4AA8">
        <w:rPr>
          <w:rFonts w:ascii="Arial" w:hAnsi="Arial" w:cs="Arial"/>
          <w:i/>
          <w:iCs/>
          <w:sz w:val="22"/>
          <w:szCs w:val="22"/>
        </w:rPr>
        <w:t>uninervis</w:t>
      </w:r>
      <w:proofErr w:type="spellEnd"/>
      <w:r w:rsidRPr="00BF4AA8">
        <w:rPr>
          <w:rFonts w:ascii="Arial" w:hAnsi="Arial" w:cs="Arial"/>
          <w:sz w:val="22"/>
          <w:szCs w:val="22"/>
        </w:rPr>
        <w:t xml:space="preserve">, and </w:t>
      </w:r>
      <w:proofErr w:type="spellStart"/>
      <w:r w:rsidRPr="00BF4AA8">
        <w:rPr>
          <w:rFonts w:ascii="Arial" w:hAnsi="Arial" w:cs="Arial"/>
          <w:i/>
          <w:iCs/>
          <w:sz w:val="22"/>
          <w:szCs w:val="22"/>
        </w:rPr>
        <w:t>Enhalus</w:t>
      </w:r>
      <w:proofErr w:type="spellEnd"/>
      <w:r w:rsidRPr="00BF4AA8">
        <w:rPr>
          <w:rFonts w:ascii="Arial" w:hAnsi="Arial" w:cs="Arial"/>
          <w:i/>
          <w:iCs/>
          <w:sz w:val="22"/>
          <w:szCs w:val="22"/>
        </w:rPr>
        <w:t xml:space="preserve"> </w:t>
      </w:r>
      <w:proofErr w:type="spellStart"/>
      <w:r w:rsidRPr="00BF4AA8">
        <w:rPr>
          <w:rFonts w:ascii="Arial" w:hAnsi="Arial" w:cs="Arial"/>
          <w:i/>
          <w:iCs/>
          <w:sz w:val="22"/>
          <w:szCs w:val="22"/>
        </w:rPr>
        <w:t>acoroides</w:t>
      </w:r>
      <w:proofErr w:type="spellEnd"/>
      <w:r w:rsidRPr="00BF4AA8">
        <w:rPr>
          <w:rFonts w:ascii="Arial" w:hAnsi="Arial" w:cs="Arial"/>
          <w:sz w:val="22"/>
          <w:szCs w:val="22"/>
        </w:rPr>
        <w:t>—a composition typical of shallow tropical Indo-Pacific meadows.</w:t>
      </w:r>
    </w:p>
    <w:p w:rsidR="00F04907" w:rsidRPr="00BF4AA8" w:rsidRDefault="00F04907" w:rsidP="00F04907">
      <w:pPr>
        <w:keepNext/>
        <w:adjustRightInd w:val="0"/>
        <w:snapToGrid w:val="0"/>
        <w:spacing w:before="240" w:after="120"/>
        <w:jc w:val="both"/>
        <w:rPr>
          <w:rFonts w:ascii="Arial" w:hAnsi="Arial" w:cs="Arial"/>
          <w:color w:val="0070C0"/>
          <w:sz w:val="22"/>
          <w:szCs w:val="22"/>
        </w:rPr>
      </w:pPr>
      <w:r w:rsidRPr="00BF4AA8">
        <w:rPr>
          <w:rFonts w:ascii="Arial" w:hAnsi="Arial" w:cs="Arial"/>
          <w:color w:val="0070C0"/>
          <w:sz w:val="22"/>
          <w:szCs w:val="22"/>
        </w:rPr>
        <w:t>B2. Why seagrass matters (services and sensitivity)</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sz w:val="22"/>
          <w:szCs w:val="22"/>
        </w:rPr>
        <w:t>Seagrass provides (</w:t>
      </w:r>
      <w:proofErr w:type="spellStart"/>
      <w:r w:rsidRPr="00BF4AA8">
        <w:rPr>
          <w:rFonts w:ascii="Arial" w:hAnsi="Arial" w:cs="Arial"/>
          <w:sz w:val="22"/>
          <w:szCs w:val="22"/>
        </w:rPr>
        <w:t>i</w:t>
      </w:r>
      <w:proofErr w:type="spellEnd"/>
      <w:r w:rsidRPr="00BF4AA8">
        <w:rPr>
          <w:rFonts w:ascii="Arial" w:hAnsi="Arial" w:cs="Arial"/>
          <w:sz w:val="22"/>
          <w:szCs w:val="22"/>
        </w:rPr>
        <w:t xml:space="preserve">) </w:t>
      </w:r>
      <w:r w:rsidRPr="00BF4AA8">
        <w:rPr>
          <w:rFonts w:ascii="Arial" w:hAnsi="Arial" w:cs="Arial"/>
          <w:b/>
          <w:bCs/>
          <w:sz w:val="22"/>
          <w:szCs w:val="22"/>
        </w:rPr>
        <w:t>nursery habitat</w:t>
      </w:r>
      <w:r w:rsidRPr="00BF4AA8">
        <w:rPr>
          <w:rFonts w:ascii="Arial" w:hAnsi="Arial" w:cs="Arial"/>
          <w:sz w:val="22"/>
          <w:szCs w:val="22"/>
        </w:rPr>
        <w:t xml:space="preserve"> that supports coastal fisheries productivity, (ii) </w:t>
      </w:r>
      <w:r w:rsidRPr="00BF4AA8">
        <w:rPr>
          <w:rFonts w:ascii="Arial" w:hAnsi="Arial" w:cs="Arial"/>
          <w:b/>
          <w:bCs/>
          <w:sz w:val="22"/>
          <w:szCs w:val="22"/>
        </w:rPr>
        <w:t>sediment stabilization</w:t>
      </w:r>
      <w:r w:rsidRPr="00BF4AA8">
        <w:rPr>
          <w:rFonts w:ascii="Arial" w:hAnsi="Arial" w:cs="Arial"/>
          <w:sz w:val="22"/>
          <w:szCs w:val="22"/>
        </w:rPr>
        <w:t xml:space="preserve"> that improves water clarity and shoreline resilience, and (iii) important </w:t>
      </w:r>
      <w:r w:rsidRPr="00BF4AA8">
        <w:rPr>
          <w:rFonts w:ascii="Arial" w:hAnsi="Arial" w:cs="Arial"/>
          <w:b/>
          <w:bCs/>
          <w:sz w:val="22"/>
          <w:szCs w:val="22"/>
        </w:rPr>
        <w:t>blue-carbon storage</w:t>
      </w:r>
      <w:r w:rsidRPr="00BF4AA8">
        <w:rPr>
          <w:rFonts w:ascii="Arial" w:hAnsi="Arial" w:cs="Arial"/>
          <w:sz w:val="22"/>
          <w:szCs w:val="22"/>
        </w:rPr>
        <w:t xml:space="preserve"> in below-ground biomass and soils. It is also the key feeding habitat for </w:t>
      </w:r>
      <w:r w:rsidRPr="00BF4AA8">
        <w:rPr>
          <w:rFonts w:ascii="Arial" w:hAnsi="Arial" w:cs="Arial"/>
          <w:b/>
          <w:bCs/>
          <w:sz w:val="22"/>
          <w:szCs w:val="22"/>
        </w:rPr>
        <w:t>dugongs</w:t>
      </w:r>
      <w:r w:rsidRPr="00BF4AA8">
        <w:rPr>
          <w:rFonts w:ascii="Arial" w:hAnsi="Arial" w:cs="Arial"/>
          <w:sz w:val="22"/>
          <w:szCs w:val="22"/>
        </w:rPr>
        <w:t xml:space="preserve"> and foraging green turtles. However, seagrass is highly sensitive to two stress pathways:</w:t>
      </w:r>
    </w:p>
    <w:p w:rsidR="00F04907" w:rsidRPr="00BF4AA8" w:rsidRDefault="00F04907" w:rsidP="00F04907">
      <w:pPr>
        <w:numPr>
          <w:ilvl w:val="0"/>
          <w:numId w:val="244"/>
        </w:numPr>
        <w:spacing w:before="100" w:beforeAutospacing="1" w:after="100" w:afterAutospacing="1"/>
        <w:jc w:val="both"/>
        <w:rPr>
          <w:rFonts w:ascii="Arial" w:hAnsi="Arial" w:cs="Arial"/>
          <w:sz w:val="22"/>
          <w:szCs w:val="22"/>
        </w:rPr>
      </w:pPr>
      <w:r w:rsidRPr="00BF4AA8">
        <w:rPr>
          <w:rFonts w:ascii="Arial" w:hAnsi="Arial" w:cs="Arial"/>
          <w:b/>
          <w:bCs/>
          <w:sz w:val="22"/>
          <w:szCs w:val="22"/>
        </w:rPr>
        <w:t>Light limitation</w:t>
      </w:r>
      <w:r w:rsidRPr="00BF4AA8">
        <w:rPr>
          <w:rFonts w:ascii="Arial" w:hAnsi="Arial" w:cs="Arial"/>
          <w:sz w:val="22"/>
          <w:szCs w:val="22"/>
        </w:rPr>
        <w:t xml:space="preserve"> (turbidity, suspended sediment, eutrophication-driven algal growth), and</w:t>
      </w:r>
    </w:p>
    <w:p w:rsidR="00F04907" w:rsidRPr="00BF4AA8" w:rsidRDefault="00F04907" w:rsidP="00F04907">
      <w:pPr>
        <w:numPr>
          <w:ilvl w:val="0"/>
          <w:numId w:val="244"/>
        </w:numPr>
        <w:spacing w:before="100" w:beforeAutospacing="1" w:after="100" w:afterAutospacing="1"/>
        <w:jc w:val="both"/>
        <w:rPr>
          <w:rFonts w:ascii="Arial" w:hAnsi="Arial" w:cs="Arial"/>
          <w:sz w:val="22"/>
          <w:szCs w:val="22"/>
        </w:rPr>
      </w:pPr>
      <w:r w:rsidRPr="00BF4AA8">
        <w:rPr>
          <w:rFonts w:ascii="Arial" w:hAnsi="Arial" w:cs="Arial"/>
          <w:b/>
          <w:bCs/>
          <w:sz w:val="22"/>
          <w:szCs w:val="22"/>
        </w:rPr>
        <w:t>Physical disturbance</w:t>
      </w:r>
      <w:r w:rsidRPr="00BF4AA8">
        <w:rPr>
          <w:rFonts w:ascii="Arial" w:hAnsi="Arial" w:cs="Arial"/>
          <w:sz w:val="22"/>
          <w:szCs w:val="22"/>
        </w:rPr>
        <w:t xml:space="preserve"> (bottom trawling/push-nets, dredging, propeller scarring, anchor damage).</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sz w:val="22"/>
          <w:szCs w:val="22"/>
        </w:rPr>
        <w:t>These pathways are critical because they link seagrass condition directly to manageable pressures: gear restrictions, dredging controls, and wastewater/runoff management.</w:t>
      </w:r>
    </w:p>
    <w:p w:rsidR="00F04907" w:rsidRPr="00BF4AA8" w:rsidRDefault="00F04907" w:rsidP="00F04907">
      <w:pPr>
        <w:keepNext/>
        <w:adjustRightInd w:val="0"/>
        <w:snapToGrid w:val="0"/>
        <w:spacing w:before="240" w:after="120"/>
        <w:jc w:val="both"/>
        <w:rPr>
          <w:rFonts w:ascii="Arial" w:hAnsi="Arial" w:cs="Arial"/>
          <w:color w:val="0070C0"/>
          <w:sz w:val="22"/>
          <w:szCs w:val="22"/>
        </w:rPr>
      </w:pPr>
      <w:r w:rsidRPr="00BF4AA8">
        <w:rPr>
          <w:rFonts w:ascii="Arial" w:hAnsi="Arial" w:cs="Arial"/>
          <w:color w:val="0070C0"/>
          <w:sz w:val="22"/>
          <w:szCs w:val="22"/>
        </w:rPr>
        <w:t>B3. Mapped examples and extent (with caution)</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sz w:val="22"/>
          <w:szCs w:val="22"/>
        </w:rPr>
        <w:t xml:space="preserve">Recent mapped examples (~2,333 ha across 11 sites) include </w:t>
      </w:r>
      <w:proofErr w:type="spellStart"/>
      <w:r w:rsidRPr="00BF4AA8">
        <w:rPr>
          <w:rFonts w:ascii="Arial" w:hAnsi="Arial" w:cs="Arial"/>
          <w:b/>
          <w:bCs/>
          <w:sz w:val="22"/>
          <w:szCs w:val="22"/>
        </w:rPr>
        <w:t>Chrouy</w:t>
      </w:r>
      <w:proofErr w:type="spellEnd"/>
      <w:r w:rsidRPr="00BF4AA8">
        <w:rPr>
          <w:rFonts w:ascii="Arial" w:hAnsi="Arial" w:cs="Arial"/>
          <w:b/>
          <w:bCs/>
          <w:sz w:val="22"/>
          <w:szCs w:val="22"/>
        </w:rPr>
        <w:t xml:space="preserve"> Pros Bay (~1,485 ha)</w:t>
      </w:r>
      <w:r w:rsidRPr="00BF4AA8">
        <w:rPr>
          <w:rFonts w:ascii="Arial" w:hAnsi="Arial" w:cs="Arial"/>
          <w:sz w:val="22"/>
          <w:szCs w:val="22"/>
        </w:rPr>
        <w:t xml:space="preserve">, </w:t>
      </w:r>
      <w:proofErr w:type="spellStart"/>
      <w:r w:rsidRPr="00BF4AA8">
        <w:rPr>
          <w:rFonts w:ascii="Arial" w:hAnsi="Arial" w:cs="Arial"/>
          <w:b/>
          <w:bCs/>
          <w:sz w:val="22"/>
          <w:szCs w:val="22"/>
        </w:rPr>
        <w:t>Steung</w:t>
      </w:r>
      <w:proofErr w:type="spellEnd"/>
      <w:r w:rsidRPr="00BF4AA8">
        <w:rPr>
          <w:rFonts w:ascii="Arial" w:hAnsi="Arial" w:cs="Arial"/>
          <w:b/>
          <w:bCs/>
          <w:sz w:val="22"/>
          <w:szCs w:val="22"/>
        </w:rPr>
        <w:t xml:space="preserve"> </w:t>
      </w:r>
      <w:proofErr w:type="spellStart"/>
      <w:r w:rsidRPr="00BF4AA8">
        <w:rPr>
          <w:rFonts w:ascii="Arial" w:hAnsi="Arial" w:cs="Arial"/>
          <w:b/>
          <w:bCs/>
          <w:sz w:val="22"/>
          <w:szCs w:val="22"/>
        </w:rPr>
        <w:t>Hav</w:t>
      </w:r>
      <w:proofErr w:type="spellEnd"/>
      <w:r w:rsidRPr="00BF4AA8">
        <w:rPr>
          <w:rFonts w:ascii="Arial" w:hAnsi="Arial" w:cs="Arial"/>
          <w:b/>
          <w:bCs/>
          <w:sz w:val="22"/>
          <w:szCs w:val="22"/>
        </w:rPr>
        <w:t xml:space="preserve"> (610 ha)</w:t>
      </w:r>
      <w:r w:rsidRPr="00BF4AA8">
        <w:rPr>
          <w:rFonts w:ascii="Arial" w:hAnsi="Arial" w:cs="Arial"/>
          <w:sz w:val="22"/>
          <w:szCs w:val="22"/>
        </w:rPr>
        <w:t xml:space="preserve"> and </w:t>
      </w:r>
      <w:r w:rsidRPr="00BF4AA8">
        <w:rPr>
          <w:rFonts w:ascii="Arial" w:hAnsi="Arial" w:cs="Arial"/>
          <w:b/>
          <w:bCs/>
          <w:sz w:val="22"/>
          <w:szCs w:val="22"/>
        </w:rPr>
        <w:t>Prey Nob (98 ha)</w:t>
      </w:r>
      <w:r w:rsidRPr="00BF4AA8">
        <w:rPr>
          <w:rFonts w:ascii="Arial" w:hAnsi="Arial" w:cs="Arial"/>
          <w:sz w:val="22"/>
          <w:szCs w:val="22"/>
        </w:rPr>
        <w:t xml:space="preserve">, with smaller island patches (e.g., Koh Ta Kiev, Koh Bong, Koh Tang, Koh </w:t>
      </w:r>
      <w:proofErr w:type="spellStart"/>
      <w:r w:rsidRPr="00BF4AA8">
        <w:rPr>
          <w:rFonts w:ascii="Arial" w:hAnsi="Arial" w:cs="Arial"/>
          <w:sz w:val="22"/>
          <w:szCs w:val="22"/>
        </w:rPr>
        <w:t>Thmei</w:t>
      </w:r>
      <w:proofErr w:type="spellEnd"/>
      <w:r w:rsidRPr="00BF4AA8">
        <w:rPr>
          <w:rFonts w:ascii="Arial" w:hAnsi="Arial" w:cs="Arial"/>
          <w:sz w:val="22"/>
          <w:szCs w:val="22"/>
        </w:rPr>
        <w:t>/</w:t>
      </w:r>
      <w:proofErr w:type="spellStart"/>
      <w:r w:rsidRPr="00BF4AA8">
        <w:rPr>
          <w:rFonts w:ascii="Arial" w:hAnsi="Arial" w:cs="Arial"/>
          <w:sz w:val="22"/>
          <w:szCs w:val="22"/>
        </w:rPr>
        <w:t>Thmor</w:t>
      </w:r>
      <w:proofErr w:type="spellEnd"/>
      <w:r w:rsidRPr="00BF4AA8">
        <w:rPr>
          <w:rFonts w:ascii="Arial" w:hAnsi="Arial" w:cs="Arial"/>
          <w:sz w:val="22"/>
          <w:szCs w:val="22"/>
        </w:rPr>
        <w:t xml:space="preserve"> Tom). These figures are valuable for spatial planning but should </w:t>
      </w:r>
      <w:proofErr w:type="gramStart"/>
      <w:r w:rsidRPr="00BF4AA8">
        <w:rPr>
          <w:rFonts w:ascii="Arial" w:hAnsi="Arial" w:cs="Arial"/>
          <w:sz w:val="22"/>
          <w:szCs w:val="22"/>
        </w:rPr>
        <w:t>be treated</w:t>
      </w:r>
      <w:proofErr w:type="gramEnd"/>
      <w:r w:rsidRPr="00BF4AA8">
        <w:rPr>
          <w:rFonts w:ascii="Arial" w:hAnsi="Arial" w:cs="Arial"/>
          <w:sz w:val="22"/>
          <w:szCs w:val="22"/>
        </w:rPr>
        <w:t xml:space="preserve"> as mapping-based extents that can vary with water clarity, seasonality, and classification thresholds. For management, it is often more useful to track:</w:t>
      </w:r>
    </w:p>
    <w:p w:rsidR="00F04907" w:rsidRPr="00BF4AA8" w:rsidRDefault="00F04907" w:rsidP="00F04907">
      <w:pPr>
        <w:numPr>
          <w:ilvl w:val="0"/>
          <w:numId w:val="245"/>
        </w:numPr>
        <w:spacing w:before="100" w:beforeAutospacing="1" w:after="100" w:afterAutospacing="1"/>
        <w:jc w:val="both"/>
        <w:rPr>
          <w:rFonts w:ascii="Arial" w:hAnsi="Arial" w:cs="Arial"/>
          <w:sz w:val="22"/>
          <w:szCs w:val="22"/>
        </w:rPr>
      </w:pPr>
      <w:r w:rsidRPr="00BF4AA8">
        <w:rPr>
          <w:rFonts w:ascii="Arial" w:hAnsi="Arial" w:cs="Arial"/>
          <w:sz w:val="22"/>
          <w:szCs w:val="22"/>
        </w:rPr>
        <w:t>Meadow persistence (stable vs shrinking),</w:t>
      </w:r>
    </w:p>
    <w:p w:rsidR="00F04907" w:rsidRPr="00BF4AA8" w:rsidRDefault="00F04907" w:rsidP="00F04907">
      <w:pPr>
        <w:numPr>
          <w:ilvl w:val="0"/>
          <w:numId w:val="245"/>
        </w:numPr>
        <w:spacing w:before="100" w:beforeAutospacing="1" w:after="100" w:afterAutospacing="1"/>
        <w:jc w:val="both"/>
        <w:rPr>
          <w:rFonts w:ascii="Arial" w:hAnsi="Arial" w:cs="Arial"/>
          <w:sz w:val="22"/>
          <w:szCs w:val="22"/>
        </w:rPr>
      </w:pPr>
      <w:r w:rsidRPr="00BF4AA8">
        <w:rPr>
          <w:rFonts w:ascii="Arial" w:hAnsi="Arial" w:cs="Arial"/>
          <w:sz w:val="22"/>
          <w:szCs w:val="22"/>
        </w:rPr>
        <w:t>Disturbance signatures (trawl scars, anchor scars), and</w:t>
      </w:r>
    </w:p>
    <w:p w:rsidR="00F04907" w:rsidRPr="00BF4AA8" w:rsidRDefault="00F04907" w:rsidP="00F04907">
      <w:pPr>
        <w:numPr>
          <w:ilvl w:val="0"/>
          <w:numId w:val="245"/>
        </w:numPr>
        <w:spacing w:before="100" w:beforeAutospacing="1" w:after="100" w:afterAutospacing="1"/>
        <w:jc w:val="both"/>
        <w:rPr>
          <w:rFonts w:ascii="Arial" w:hAnsi="Arial" w:cs="Arial"/>
          <w:sz w:val="22"/>
          <w:szCs w:val="22"/>
        </w:rPr>
      </w:pPr>
      <w:r w:rsidRPr="00BF4AA8">
        <w:rPr>
          <w:rFonts w:ascii="Arial" w:hAnsi="Arial" w:cs="Arial"/>
          <w:sz w:val="22"/>
          <w:szCs w:val="22"/>
        </w:rPr>
        <w:t>Local light/turbidity trends in high-use corridors.</w:t>
      </w:r>
    </w:p>
    <w:p w:rsidR="00F04907" w:rsidRPr="00BF4AA8" w:rsidRDefault="00F04907" w:rsidP="00F04907">
      <w:pPr>
        <w:keepNext/>
        <w:adjustRightInd w:val="0"/>
        <w:snapToGrid w:val="0"/>
        <w:spacing w:before="240" w:after="120"/>
        <w:jc w:val="both"/>
        <w:rPr>
          <w:rFonts w:ascii="Arial" w:hAnsi="Arial" w:cs="Arial"/>
          <w:color w:val="0070C0"/>
          <w:sz w:val="22"/>
          <w:szCs w:val="22"/>
        </w:rPr>
      </w:pPr>
      <w:r w:rsidRPr="00BF4AA8">
        <w:rPr>
          <w:rFonts w:ascii="Arial" w:hAnsi="Arial" w:cs="Arial"/>
          <w:color w:val="0070C0"/>
          <w:sz w:val="22"/>
          <w:szCs w:val="22"/>
        </w:rPr>
        <w:t>B4. Governance linkages (why MFMAs matter for seagrass)</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sz w:val="22"/>
          <w:szCs w:val="22"/>
        </w:rPr>
        <w:t xml:space="preserve">A key feature of Cambodia’s seagrass is that many major meadows occur </w:t>
      </w:r>
      <w:r w:rsidRPr="00BF4AA8">
        <w:rPr>
          <w:rFonts w:ascii="Arial" w:hAnsi="Arial" w:cs="Arial"/>
          <w:b/>
          <w:bCs/>
          <w:sz w:val="22"/>
          <w:szCs w:val="22"/>
        </w:rPr>
        <w:t>within or adjacent to MFMAs</w:t>
      </w:r>
      <w:r w:rsidRPr="00BF4AA8">
        <w:rPr>
          <w:rFonts w:ascii="Arial" w:hAnsi="Arial" w:cs="Arial"/>
          <w:sz w:val="22"/>
          <w:szCs w:val="22"/>
        </w:rPr>
        <w:t xml:space="preserve"> and high-use nearshore corridors (fishing, tourism, port approaches). This makes fisheries zoning and enforcement (trawl bans, no-anchor zones, seasonal closures) one of the most direct levers for improving meadow condition—often more immediately than longer-term restoration planting.</w:t>
      </w:r>
    </w:p>
    <w:p w:rsidR="00F04907" w:rsidRPr="00BF4AA8" w:rsidRDefault="00F04907" w:rsidP="00F04907">
      <w:pPr>
        <w:rPr>
          <w:rFonts w:ascii="Arial" w:hAnsi="Arial" w:cs="Arial"/>
          <w:b/>
          <w:bCs/>
          <w:sz w:val="22"/>
          <w:szCs w:val="22"/>
        </w:rPr>
      </w:pPr>
      <w:r w:rsidRPr="00BF4AA8">
        <w:rPr>
          <w:rFonts w:ascii="Arial" w:hAnsi="Arial" w:cs="Arial"/>
          <w:b/>
          <w:bCs/>
          <w:sz w:val="22"/>
          <w:szCs w:val="22"/>
        </w:rPr>
        <w:t>C. Selected site-specific status and pressures — expanded notes</w:t>
      </w:r>
    </w:p>
    <w:p w:rsidR="00F04907" w:rsidRPr="00BF4AA8" w:rsidRDefault="00F04907" w:rsidP="00F04907">
      <w:pPr>
        <w:keepNext/>
        <w:adjustRightInd w:val="0"/>
        <w:snapToGrid w:val="0"/>
        <w:spacing w:before="240" w:after="120"/>
        <w:jc w:val="both"/>
        <w:rPr>
          <w:rFonts w:ascii="Arial" w:hAnsi="Arial" w:cs="Arial"/>
          <w:color w:val="0070C0"/>
          <w:sz w:val="22"/>
          <w:szCs w:val="22"/>
        </w:rPr>
      </w:pPr>
      <w:r w:rsidRPr="00BF4AA8">
        <w:rPr>
          <w:rFonts w:ascii="Arial" w:hAnsi="Arial" w:cs="Arial"/>
          <w:color w:val="0070C0"/>
          <w:sz w:val="22"/>
          <w:szCs w:val="22"/>
        </w:rPr>
        <w:t>C1. Site 1. Koh Rong Archipelago (Koh Rong Marine National Park)</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b/>
          <w:bCs/>
          <w:sz w:val="22"/>
          <w:szCs w:val="22"/>
        </w:rPr>
        <w:t>Designation and governance context.</w:t>
      </w:r>
      <w:r w:rsidRPr="00BF4AA8">
        <w:rPr>
          <w:rFonts w:ascii="Arial" w:hAnsi="Arial" w:cs="Arial"/>
          <w:sz w:val="22"/>
          <w:szCs w:val="22"/>
        </w:rPr>
        <w:t xml:space="preserve"> Koh Rong </w:t>
      </w:r>
      <w:proofErr w:type="gramStart"/>
      <w:r w:rsidRPr="00BF4AA8">
        <w:rPr>
          <w:rFonts w:ascii="Arial" w:hAnsi="Arial" w:cs="Arial"/>
          <w:sz w:val="22"/>
          <w:szCs w:val="22"/>
        </w:rPr>
        <w:t>was initially managed</w:t>
      </w:r>
      <w:proofErr w:type="gramEnd"/>
      <w:r w:rsidRPr="00BF4AA8">
        <w:rPr>
          <w:rFonts w:ascii="Arial" w:hAnsi="Arial" w:cs="Arial"/>
          <w:sz w:val="22"/>
          <w:szCs w:val="22"/>
        </w:rPr>
        <w:t xml:space="preserve"> under fisheries zoning (MFMA) and later designated as a </w:t>
      </w:r>
      <w:r w:rsidRPr="00BF4AA8">
        <w:rPr>
          <w:rFonts w:ascii="Arial" w:hAnsi="Arial" w:cs="Arial"/>
          <w:b/>
          <w:bCs/>
          <w:sz w:val="22"/>
          <w:szCs w:val="22"/>
        </w:rPr>
        <w:t>Marine National Park (Feb 2018)</w:t>
      </w:r>
      <w:r w:rsidRPr="00BF4AA8">
        <w:rPr>
          <w:rFonts w:ascii="Arial" w:hAnsi="Arial" w:cs="Arial"/>
          <w:sz w:val="22"/>
          <w:szCs w:val="22"/>
        </w:rPr>
        <w:t xml:space="preserve">. This governance transition creates a practical need for </w:t>
      </w:r>
      <w:proofErr w:type="spellStart"/>
      <w:r w:rsidRPr="00BF4AA8">
        <w:rPr>
          <w:rFonts w:ascii="Arial" w:hAnsi="Arial" w:cs="Arial"/>
          <w:b/>
          <w:bCs/>
          <w:sz w:val="22"/>
          <w:szCs w:val="22"/>
        </w:rPr>
        <w:t>MoE</w:t>
      </w:r>
      <w:proofErr w:type="spellEnd"/>
      <w:r w:rsidRPr="00BF4AA8">
        <w:rPr>
          <w:rFonts w:ascii="Arial" w:hAnsi="Arial" w:cs="Arial"/>
          <w:b/>
          <w:bCs/>
          <w:sz w:val="22"/>
          <w:szCs w:val="22"/>
        </w:rPr>
        <w:t>–</w:t>
      </w:r>
      <w:proofErr w:type="spellStart"/>
      <w:r w:rsidRPr="00BF4AA8">
        <w:rPr>
          <w:rFonts w:ascii="Arial" w:hAnsi="Arial" w:cs="Arial"/>
          <w:b/>
          <w:bCs/>
          <w:sz w:val="22"/>
          <w:szCs w:val="22"/>
        </w:rPr>
        <w:t>FiA</w:t>
      </w:r>
      <w:proofErr w:type="spellEnd"/>
      <w:r w:rsidRPr="00BF4AA8">
        <w:rPr>
          <w:rFonts w:ascii="Arial" w:hAnsi="Arial" w:cs="Arial"/>
          <w:b/>
          <w:bCs/>
          <w:sz w:val="22"/>
          <w:szCs w:val="22"/>
        </w:rPr>
        <w:t xml:space="preserve"> coordination</w:t>
      </w:r>
      <w:r w:rsidRPr="00BF4AA8">
        <w:rPr>
          <w:rFonts w:ascii="Arial" w:hAnsi="Arial" w:cs="Arial"/>
          <w:sz w:val="22"/>
          <w:szCs w:val="22"/>
        </w:rPr>
        <w:t xml:space="preserve"> so that zoning boundaries, permitted activities, and enforcement roles are consistent for residents, fishers, and tourism operators.</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b/>
          <w:bCs/>
          <w:sz w:val="22"/>
          <w:szCs w:val="22"/>
        </w:rPr>
        <w:t>Ecological status (reef and seagrass).</w:t>
      </w:r>
      <w:r w:rsidRPr="00BF4AA8">
        <w:rPr>
          <w:rFonts w:ascii="Arial" w:hAnsi="Arial" w:cs="Arial"/>
          <w:sz w:val="22"/>
          <w:szCs w:val="22"/>
        </w:rPr>
        <w:t xml:space="preserve"> Spatial planning baselines map approximately </w:t>
      </w:r>
      <w:r w:rsidRPr="00BF4AA8">
        <w:rPr>
          <w:rFonts w:ascii="Arial" w:hAnsi="Arial" w:cs="Arial"/>
          <w:b/>
          <w:bCs/>
          <w:sz w:val="22"/>
          <w:szCs w:val="22"/>
        </w:rPr>
        <w:t>~1,198 ha of coral reefs</w:t>
      </w:r>
      <w:r w:rsidRPr="00BF4AA8">
        <w:rPr>
          <w:rFonts w:ascii="Arial" w:hAnsi="Arial" w:cs="Arial"/>
          <w:sz w:val="22"/>
          <w:szCs w:val="22"/>
        </w:rPr>
        <w:t xml:space="preserve"> and </w:t>
      </w:r>
      <w:r w:rsidRPr="00BF4AA8">
        <w:rPr>
          <w:rFonts w:ascii="Arial" w:hAnsi="Arial" w:cs="Arial"/>
          <w:b/>
          <w:bCs/>
          <w:sz w:val="22"/>
          <w:szCs w:val="22"/>
        </w:rPr>
        <w:t>~1,360 ha of seagrass</w:t>
      </w:r>
      <w:r w:rsidRPr="00BF4AA8">
        <w:rPr>
          <w:rFonts w:ascii="Arial" w:hAnsi="Arial" w:cs="Arial"/>
          <w:sz w:val="22"/>
          <w:szCs w:val="22"/>
        </w:rPr>
        <w:t xml:space="preserve">. Reef surveys in 2019–2020 recorded </w:t>
      </w:r>
      <w:r w:rsidRPr="00BF4AA8">
        <w:rPr>
          <w:rFonts w:ascii="Arial" w:hAnsi="Arial" w:cs="Arial"/>
          <w:b/>
          <w:bCs/>
          <w:sz w:val="22"/>
          <w:szCs w:val="22"/>
        </w:rPr>
        <w:t>~29.8% coral cover</w:t>
      </w:r>
      <w:r w:rsidRPr="00BF4AA8">
        <w:rPr>
          <w:rFonts w:ascii="Arial" w:hAnsi="Arial" w:cs="Arial"/>
          <w:sz w:val="22"/>
          <w:szCs w:val="22"/>
        </w:rPr>
        <w:t xml:space="preserve">, with communities dominated by sediment-tolerant </w:t>
      </w:r>
      <w:r w:rsidRPr="00BF4AA8">
        <w:rPr>
          <w:rFonts w:ascii="Arial" w:hAnsi="Arial" w:cs="Arial"/>
          <w:i/>
          <w:iCs/>
          <w:sz w:val="22"/>
          <w:szCs w:val="22"/>
        </w:rPr>
        <w:t>Porites</w:t>
      </w:r>
      <w:r w:rsidRPr="00BF4AA8">
        <w:rPr>
          <w:rFonts w:ascii="Arial" w:hAnsi="Arial" w:cs="Arial"/>
          <w:sz w:val="22"/>
          <w:szCs w:val="22"/>
        </w:rPr>
        <w:t xml:space="preserve"> and </w:t>
      </w:r>
      <w:proofErr w:type="spellStart"/>
      <w:r w:rsidRPr="00BF4AA8">
        <w:rPr>
          <w:rFonts w:ascii="Arial" w:hAnsi="Arial" w:cs="Arial"/>
          <w:i/>
          <w:iCs/>
          <w:sz w:val="22"/>
          <w:szCs w:val="22"/>
        </w:rPr>
        <w:t>Diploastrea</w:t>
      </w:r>
      <w:proofErr w:type="spellEnd"/>
      <w:r w:rsidRPr="00BF4AA8">
        <w:rPr>
          <w:rFonts w:ascii="Arial" w:hAnsi="Arial" w:cs="Arial"/>
          <w:sz w:val="22"/>
          <w:szCs w:val="22"/>
        </w:rPr>
        <w:t>, while fish biomass remains low—consistent with continuing fishing pressure.</w:t>
      </w:r>
    </w:p>
    <w:p w:rsidR="00F04907" w:rsidRPr="00BF4AA8" w:rsidRDefault="00F04907" w:rsidP="00F04907">
      <w:pPr>
        <w:spacing w:before="100" w:beforeAutospacing="1" w:after="100" w:afterAutospacing="1"/>
        <w:jc w:val="both"/>
        <w:rPr>
          <w:rFonts w:ascii="Arial" w:hAnsi="Arial" w:cs="Arial"/>
          <w:i/>
          <w:iCs/>
          <w:sz w:val="22"/>
          <w:szCs w:val="22"/>
        </w:rPr>
      </w:pPr>
      <w:r w:rsidRPr="00BF4AA8">
        <w:rPr>
          <w:rFonts w:ascii="Arial" w:hAnsi="Arial" w:cs="Arial"/>
          <w:b/>
          <w:bCs/>
          <w:i/>
          <w:iCs/>
          <w:sz w:val="22"/>
          <w:szCs w:val="22"/>
        </w:rPr>
        <w:t>Main pressures</w:t>
      </w:r>
    </w:p>
    <w:p w:rsidR="00F04907" w:rsidRPr="00BF4AA8" w:rsidRDefault="00F04907" w:rsidP="00F04907">
      <w:pPr>
        <w:numPr>
          <w:ilvl w:val="0"/>
          <w:numId w:val="246"/>
        </w:numPr>
        <w:spacing w:before="100" w:beforeAutospacing="1" w:after="100" w:afterAutospacing="1"/>
        <w:jc w:val="both"/>
        <w:rPr>
          <w:rFonts w:ascii="Arial" w:hAnsi="Arial" w:cs="Arial"/>
          <w:sz w:val="22"/>
          <w:szCs w:val="22"/>
        </w:rPr>
      </w:pPr>
      <w:r w:rsidRPr="00BF4AA8">
        <w:rPr>
          <w:rFonts w:ascii="Arial" w:hAnsi="Arial" w:cs="Arial"/>
          <w:b/>
          <w:bCs/>
          <w:sz w:val="22"/>
          <w:szCs w:val="22"/>
        </w:rPr>
        <w:t>Tourism growth</w:t>
      </w:r>
      <w:r w:rsidRPr="00BF4AA8">
        <w:rPr>
          <w:rFonts w:ascii="Arial" w:hAnsi="Arial" w:cs="Arial"/>
          <w:sz w:val="22"/>
          <w:szCs w:val="22"/>
        </w:rPr>
        <w:t xml:space="preserve"> (anchoring, coastal infrastructure, beach development, trampling)</w:t>
      </w:r>
    </w:p>
    <w:p w:rsidR="00F04907" w:rsidRPr="00BF4AA8" w:rsidRDefault="00F04907" w:rsidP="00F04907">
      <w:pPr>
        <w:numPr>
          <w:ilvl w:val="0"/>
          <w:numId w:val="246"/>
        </w:numPr>
        <w:spacing w:before="100" w:beforeAutospacing="1" w:after="100" w:afterAutospacing="1"/>
        <w:jc w:val="both"/>
        <w:rPr>
          <w:rFonts w:ascii="Arial" w:hAnsi="Arial" w:cs="Arial"/>
          <w:sz w:val="22"/>
          <w:szCs w:val="22"/>
        </w:rPr>
      </w:pPr>
      <w:r w:rsidRPr="00BF4AA8">
        <w:rPr>
          <w:rFonts w:ascii="Arial" w:hAnsi="Arial" w:cs="Arial"/>
          <w:b/>
          <w:bCs/>
          <w:sz w:val="22"/>
          <w:szCs w:val="22"/>
        </w:rPr>
        <w:t>Dredging/shoreline works</w:t>
      </w:r>
      <w:r w:rsidRPr="00BF4AA8">
        <w:rPr>
          <w:rFonts w:ascii="Arial" w:hAnsi="Arial" w:cs="Arial"/>
          <w:sz w:val="22"/>
          <w:szCs w:val="22"/>
        </w:rPr>
        <w:t xml:space="preserve"> and sediment plumes that reduce water clarity and stress seagrass</w:t>
      </w:r>
    </w:p>
    <w:p w:rsidR="00F04907" w:rsidRPr="00BF4AA8" w:rsidRDefault="00F04907" w:rsidP="00F04907">
      <w:pPr>
        <w:numPr>
          <w:ilvl w:val="0"/>
          <w:numId w:val="246"/>
        </w:numPr>
        <w:spacing w:before="100" w:beforeAutospacing="1" w:after="100" w:afterAutospacing="1"/>
        <w:jc w:val="both"/>
        <w:rPr>
          <w:rFonts w:ascii="Arial" w:hAnsi="Arial" w:cs="Arial"/>
          <w:sz w:val="22"/>
          <w:szCs w:val="22"/>
        </w:rPr>
      </w:pPr>
      <w:r w:rsidRPr="00BF4AA8">
        <w:rPr>
          <w:rFonts w:ascii="Arial" w:hAnsi="Arial" w:cs="Arial"/>
          <w:b/>
          <w:bCs/>
          <w:sz w:val="22"/>
          <w:szCs w:val="22"/>
        </w:rPr>
        <w:t>Fishing pressure</w:t>
      </w:r>
      <w:r w:rsidRPr="00BF4AA8">
        <w:rPr>
          <w:rFonts w:ascii="Arial" w:hAnsi="Arial" w:cs="Arial"/>
          <w:sz w:val="22"/>
          <w:szCs w:val="22"/>
        </w:rPr>
        <w:t xml:space="preserve"> and gear impacts that suppress fish biomass and alter reef trophic structure</w:t>
      </w:r>
    </w:p>
    <w:p w:rsidR="00F04907" w:rsidRPr="00BF4AA8" w:rsidRDefault="00F04907" w:rsidP="00F04907">
      <w:pPr>
        <w:spacing w:before="100" w:beforeAutospacing="1" w:after="100" w:afterAutospacing="1"/>
        <w:jc w:val="both"/>
        <w:rPr>
          <w:rFonts w:ascii="Arial" w:hAnsi="Arial" w:cs="Arial"/>
          <w:i/>
          <w:iCs/>
          <w:sz w:val="22"/>
          <w:szCs w:val="22"/>
        </w:rPr>
      </w:pPr>
      <w:r w:rsidRPr="00BF4AA8">
        <w:rPr>
          <w:rFonts w:ascii="Arial" w:hAnsi="Arial" w:cs="Arial"/>
          <w:b/>
          <w:bCs/>
          <w:i/>
          <w:iCs/>
          <w:sz w:val="22"/>
          <w:szCs w:val="22"/>
        </w:rPr>
        <w:t>Management implications (priority actions)</w:t>
      </w:r>
    </w:p>
    <w:p w:rsidR="00F04907" w:rsidRPr="00BF4AA8" w:rsidRDefault="00F04907" w:rsidP="00F04907">
      <w:pPr>
        <w:numPr>
          <w:ilvl w:val="0"/>
          <w:numId w:val="247"/>
        </w:numPr>
        <w:spacing w:before="100" w:beforeAutospacing="1" w:after="100" w:afterAutospacing="1"/>
        <w:jc w:val="both"/>
        <w:rPr>
          <w:rFonts w:ascii="Arial" w:hAnsi="Arial" w:cs="Arial"/>
          <w:sz w:val="22"/>
          <w:szCs w:val="22"/>
        </w:rPr>
      </w:pPr>
      <w:r w:rsidRPr="00BF4AA8">
        <w:rPr>
          <w:rFonts w:ascii="Arial" w:hAnsi="Arial" w:cs="Arial"/>
          <w:sz w:val="22"/>
          <w:szCs w:val="22"/>
        </w:rPr>
        <w:t xml:space="preserve">Establish and enforce </w:t>
      </w:r>
      <w:r w:rsidRPr="00BF4AA8">
        <w:rPr>
          <w:rFonts w:ascii="Arial" w:hAnsi="Arial" w:cs="Arial"/>
          <w:b/>
          <w:bCs/>
          <w:sz w:val="22"/>
          <w:szCs w:val="22"/>
        </w:rPr>
        <w:t>no-anchor zones</w:t>
      </w:r>
      <w:r w:rsidRPr="00BF4AA8">
        <w:rPr>
          <w:rFonts w:ascii="Arial" w:hAnsi="Arial" w:cs="Arial"/>
          <w:sz w:val="22"/>
          <w:szCs w:val="22"/>
        </w:rPr>
        <w:t xml:space="preserve"> + install </w:t>
      </w:r>
      <w:r w:rsidRPr="00BF4AA8">
        <w:rPr>
          <w:rFonts w:ascii="Arial" w:hAnsi="Arial" w:cs="Arial"/>
          <w:b/>
          <w:bCs/>
          <w:sz w:val="22"/>
          <w:szCs w:val="22"/>
        </w:rPr>
        <w:t>moorings</w:t>
      </w:r>
      <w:r w:rsidRPr="00BF4AA8">
        <w:rPr>
          <w:rFonts w:ascii="Arial" w:hAnsi="Arial" w:cs="Arial"/>
          <w:sz w:val="22"/>
          <w:szCs w:val="22"/>
        </w:rPr>
        <w:t xml:space="preserve"> in high-use bays</w:t>
      </w:r>
    </w:p>
    <w:p w:rsidR="00F04907" w:rsidRPr="00BF4AA8" w:rsidRDefault="00F04907" w:rsidP="00F04907">
      <w:pPr>
        <w:numPr>
          <w:ilvl w:val="0"/>
          <w:numId w:val="247"/>
        </w:numPr>
        <w:spacing w:before="100" w:beforeAutospacing="1" w:after="100" w:afterAutospacing="1"/>
        <w:jc w:val="both"/>
        <w:rPr>
          <w:rFonts w:ascii="Arial" w:hAnsi="Arial" w:cs="Arial"/>
          <w:sz w:val="22"/>
          <w:szCs w:val="22"/>
        </w:rPr>
      </w:pPr>
      <w:r w:rsidRPr="00BF4AA8">
        <w:rPr>
          <w:rFonts w:ascii="Arial" w:hAnsi="Arial" w:cs="Arial"/>
          <w:sz w:val="22"/>
          <w:szCs w:val="22"/>
        </w:rPr>
        <w:t xml:space="preserve">Strengthen enforcement of </w:t>
      </w:r>
      <w:r w:rsidRPr="00BF4AA8">
        <w:rPr>
          <w:rFonts w:ascii="Arial" w:hAnsi="Arial" w:cs="Arial"/>
          <w:b/>
          <w:bCs/>
          <w:sz w:val="22"/>
          <w:szCs w:val="22"/>
        </w:rPr>
        <w:t>gear restrictions</w:t>
      </w:r>
      <w:r w:rsidRPr="00BF4AA8">
        <w:rPr>
          <w:rFonts w:ascii="Arial" w:hAnsi="Arial" w:cs="Arial"/>
          <w:sz w:val="22"/>
          <w:szCs w:val="22"/>
        </w:rPr>
        <w:t xml:space="preserve"> and spatial closures</w:t>
      </w:r>
    </w:p>
    <w:p w:rsidR="00F04907" w:rsidRPr="00BF4AA8" w:rsidRDefault="00F04907" w:rsidP="00F04907">
      <w:pPr>
        <w:numPr>
          <w:ilvl w:val="0"/>
          <w:numId w:val="247"/>
        </w:numPr>
        <w:spacing w:before="100" w:beforeAutospacing="1" w:after="100" w:afterAutospacing="1"/>
        <w:jc w:val="both"/>
        <w:rPr>
          <w:rFonts w:ascii="Arial" w:hAnsi="Arial" w:cs="Arial"/>
          <w:sz w:val="22"/>
          <w:szCs w:val="22"/>
        </w:rPr>
      </w:pPr>
      <w:r w:rsidRPr="00BF4AA8">
        <w:rPr>
          <w:rFonts w:ascii="Arial" w:hAnsi="Arial" w:cs="Arial"/>
          <w:sz w:val="22"/>
          <w:szCs w:val="22"/>
        </w:rPr>
        <w:t xml:space="preserve">Apply strict controls on </w:t>
      </w:r>
      <w:r w:rsidRPr="00BF4AA8">
        <w:rPr>
          <w:rFonts w:ascii="Arial" w:hAnsi="Arial" w:cs="Arial"/>
          <w:b/>
          <w:bCs/>
          <w:sz w:val="22"/>
          <w:szCs w:val="22"/>
        </w:rPr>
        <w:t>dredging/shoreline works</w:t>
      </w:r>
      <w:r w:rsidRPr="00BF4AA8">
        <w:rPr>
          <w:rFonts w:ascii="Arial" w:hAnsi="Arial" w:cs="Arial"/>
          <w:sz w:val="22"/>
          <w:szCs w:val="22"/>
        </w:rPr>
        <w:t xml:space="preserve"> near sensitive seagrass and reef edges</w:t>
      </w:r>
    </w:p>
    <w:p w:rsidR="00F04907" w:rsidRPr="00BF4AA8" w:rsidRDefault="00F04907" w:rsidP="00F04907">
      <w:pPr>
        <w:numPr>
          <w:ilvl w:val="0"/>
          <w:numId w:val="247"/>
        </w:numPr>
        <w:spacing w:before="100" w:beforeAutospacing="1" w:after="100" w:afterAutospacing="1"/>
        <w:jc w:val="both"/>
        <w:rPr>
          <w:rFonts w:ascii="Arial" w:hAnsi="Arial" w:cs="Arial"/>
          <w:sz w:val="22"/>
          <w:szCs w:val="22"/>
        </w:rPr>
      </w:pPr>
      <w:r w:rsidRPr="00BF4AA8">
        <w:rPr>
          <w:rFonts w:ascii="Arial" w:hAnsi="Arial" w:cs="Arial"/>
          <w:sz w:val="22"/>
          <w:szCs w:val="22"/>
        </w:rPr>
        <w:t>Use the CCRMN/partner monitoring to track outcomes (fish biomass, benthos, complexity)</w:t>
      </w:r>
    </w:p>
    <w:p w:rsidR="00F04907" w:rsidRPr="00BF4AA8" w:rsidRDefault="00F04907" w:rsidP="00F04907">
      <w:pPr>
        <w:keepNext/>
        <w:adjustRightInd w:val="0"/>
        <w:snapToGrid w:val="0"/>
        <w:spacing w:before="240" w:after="120"/>
        <w:jc w:val="both"/>
        <w:rPr>
          <w:rFonts w:ascii="Arial" w:hAnsi="Arial" w:cs="Arial"/>
          <w:color w:val="0070C0"/>
          <w:sz w:val="22"/>
          <w:szCs w:val="22"/>
        </w:rPr>
      </w:pPr>
      <w:r w:rsidRPr="00BF4AA8">
        <w:rPr>
          <w:rFonts w:ascii="Arial" w:hAnsi="Arial" w:cs="Arial"/>
          <w:color w:val="0070C0"/>
          <w:sz w:val="22"/>
          <w:szCs w:val="22"/>
        </w:rPr>
        <w:t xml:space="preserve">C2. Site 2. </w:t>
      </w:r>
      <w:proofErr w:type="spellStart"/>
      <w:r w:rsidRPr="00BF4AA8">
        <w:rPr>
          <w:rFonts w:ascii="Arial" w:hAnsi="Arial" w:cs="Arial"/>
          <w:color w:val="0070C0"/>
          <w:sz w:val="22"/>
          <w:szCs w:val="22"/>
        </w:rPr>
        <w:t>Kep</w:t>
      </w:r>
      <w:proofErr w:type="spellEnd"/>
      <w:r w:rsidRPr="00BF4AA8">
        <w:rPr>
          <w:rFonts w:ascii="Arial" w:hAnsi="Arial" w:cs="Arial"/>
          <w:color w:val="0070C0"/>
          <w:sz w:val="22"/>
          <w:szCs w:val="22"/>
        </w:rPr>
        <w:t xml:space="preserve"> Archipelago (Koh </w:t>
      </w:r>
      <w:proofErr w:type="spellStart"/>
      <w:r w:rsidRPr="00BF4AA8">
        <w:rPr>
          <w:rFonts w:ascii="Arial" w:hAnsi="Arial" w:cs="Arial"/>
          <w:color w:val="0070C0"/>
          <w:sz w:val="22"/>
          <w:szCs w:val="22"/>
        </w:rPr>
        <w:t>Tonsay</w:t>
      </w:r>
      <w:proofErr w:type="spellEnd"/>
      <w:r w:rsidRPr="00BF4AA8">
        <w:rPr>
          <w:rFonts w:ascii="Arial" w:hAnsi="Arial" w:cs="Arial"/>
          <w:color w:val="0070C0"/>
          <w:sz w:val="22"/>
          <w:szCs w:val="22"/>
        </w:rPr>
        <w:t xml:space="preserve"> &amp; Koh </w:t>
      </w:r>
      <w:proofErr w:type="spellStart"/>
      <w:r w:rsidRPr="00BF4AA8">
        <w:rPr>
          <w:rFonts w:ascii="Arial" w:hAnsi="Arial" w:cs="Arial"/>
          <w:color w:val="0070C0"/>
          <w:sz w:val="22"/>
          <w:szCs w:val="22"/>
        </w:rPr>
        <w:t>Pou</w:t>
      </w:r>
      <w:proofErr w:type="spellEnd"/>
      <w:r w:rsidRPr="00BF4AA8">
        <w:rPr>
          <w:rFonts w:ascii="Arial" w:hAnsi="Arial" w:cs="Arial"/>
          <w:color w:val="0070C0"/>
          <w:sz w:val="22"/>
          <w:szCs w:val="22"/>
        </w:rPr>
        <w:t xml:space="preserve">) within the </w:t>
      </w:r>
      <w:proofErr w:type="spellStart"/>
      <w:r w:rsidRPr="00BF4AA8">
        <w:rPr>
          <w:rFonts w:ascii="Arial" w:hAnsi="Arial" w:cs="Arial"/>
          <w:color w:val="0070C0"/>
          <w:sz w:val="22"/>
          <w:szCs w:val="22"/>
        </w:rPr>
        <w:t>Kep</w:t>
      </w:r>
      <w:proofErr w:type="spellEnd"/>
      <w:r w:rsidRPr="00BF4AA8">
        <w:rPr>
          <w:rFonts w:ascii="Arial" w:hAnsi="Arial" w:cs="Arial"/>
          <w:color w:val="0070C0"/>
          <w:sz w:val="22"/>
          <w:szCs w:val="22"/>
        </w:rPr>
        <w:t xml:space="preserve"> MFMA</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b/>
          <w:bCs/>
          <w:sz w:val="22"/>
          <w:szCs w:val="22"/>
        </w:rPr>
        <w:t>Status and ecological significance.</w:t>
      </w:r>
      <w:r w:rsidRPr="00BF4AA8">
        <w:rPr>
          <w:rFonts w:ascii="Arial" w:hAnsi="Arial" w:cs="Arial"/>
          <w:sz w:val="22"/>
          <w:szCs w:val="22"/>
        </w:rPr>
        <w:t xml:space="preserve"> The </w:t>
      </w:r>
      <w:proofErr w:type="spellStart"/>
      <w:r w:rsidRPr="00BF4AA8">
        <w:rPr>
          <w:rFonts w:ascii="Arial" w:hAnsi="Arial" w:cs="Arial"/>
          <w:sz w:val="22"/>
          <w:szCs w:val="22"/>
        </w:rPr>
        <w:t>Kep</w:t>
      </w:r>
      <w:proofErr w:type="spellEnd"/>
      <w:r w:rsidRPr="00BF4AA8">
        <w:rPr>
          <w:rFonts w:ascii="Arial" w:hAnsi="Arial" w:cs="Arial"/>
          <w:sz w:val="22"/>
          <w:szCs w:val="22"/>
        </w:rPr>
        <w:t xml:space="preserve"> MFMA (~11.3 thousand ha) encompasses reefs and some of Cambodia’s largest seagrass meadows (</w:t>
      </w:r>
      <w:r w:rsidRPr="00BF4AA8">
        <w:rPr>
          <w:rFonts w:ascii="Arial" w:hAnsi="Arial" w:cs="Arial"/>
          <w:b/>
          <w:bCs/>
          <w:sz w:val="22"/>
          <w:szCs w:val="22"/>
        </w:rPr>
        <w:t>~6,399 ha</w:t>
      </w:r>
      <w:r w:rsidRPr="00BF4AA8">
        <w:rPr>
          <w:rFonts w:ascii="Arial" w:hAnsi="Arial" w:cs="Arial"/>
          <w:sz w:val="22"/>
          <w:szCs w:val="22"/>
        </w:rPr>
        <w:t>), making it nationally important for fisheries nursery services and blue-carbon potential.</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b/>
          <w:bCs/>
          <w:sz w:val="22"/>
          <w:szCs w:val="22"/>
        </w:rPr>
        <w:t>Condition signals.</w:t>
      </w:r>
      <w:r w:rsidRPr="00BF4AA8">
        <w:rPr>
          <w:rFonts w:ascii="Arial" w:hAnsi="Arial" w:cs="Arial"/>
          <w:sz w:val="22"/>
          <w:szCs w:val="22"/>
        </w:rPr>
        <w:t xml:space="preserve"> While some reef pockets retain high coral cover (e.g., Koh </w:t>
      </w:r>
      <w:proofErr w:type="spellStart"/>
      <w:r w:rsidRPr="00BF4AA8">
        <w:rPr>
          <w:rFonts w:ascii="Arial" w:hAnsi="Arial" w:cs="Arial"/>
          <w:sz w:val="22"/>
          <w:szCs w:val="22"/>
        </w:rPr>
        <w:t>Seh</w:t>
      </w:r>
      <w:proofErr w:type="spellEnd"/>
      <w:r w:rsidRPr="00BF4AA8">
        <w:rPr>
          <w:rFonts w:ascii="Arial" w:hAnsi="Arial" w:cs="Arial"/>
          <w:sz w:val="22"/>
          <w:szCs w:val="22"/>
        </w:rPr>
        <w:t xml:space="preserve"> reported at ~64% live cover in 2019), many nearshore reefs are small and vulnerable to turbidity and physical disturbance. Seagrass condition is particularly sensitive to bottom-contact fishing and resuspension of sediments.</w:t>
      </w:r>
    </w:p>
    <w:p w:rsidR="00F04907" w:rsidRPr="00BF4AA8" w:rsidRDefault="00F04907" w:rsidP="00F04907">
      <w:pPr>
        <w:spacing w:before="100" w:beforeAutospacing="1" w:after="100" w:afterAutospacing="1"/>
        <w:jc w:val="both"/>
        <w:rPr>
          <w:rFonts w:ascii="Arial" w:hAnsi="Arial" w:cs="Arial"/>
          <w:i/>
          <w:iCs/>
          <w:sz w:val="22"/>
          <w:szCs w:val="22"/>
        </w:rPr>
      </w:pPr>
      <w:r w:rsidRPr="00BF4AA8">
        <w:rPr>
          <w:rFonts w:ascii="Arial" w:hAnsi="Arial" w:cs="Arial"/>
          <w:b/>
          <w:bCs/>
          <w:i/>
          <w:iCs/>
          <w:sz w:val="22"/>
          <w:szCs w:val="22"/>
        </w:rPr>
        <w:t>Main pressures</w:t>
      </w:r>
    </w:p>
    <w:p w:rsidR="00F04907" w:rsidRPr="00BF4AA8" w:rsidRDefault="00F04907" w:rsidP="00F04907">
      <w:pPr>
        <w:numPr>
          <w:ilvl w:val="0"/>
          <w:numId w:val="248"/>
        </w:numPr>
        <w:spacing w:before="100" w:beforeAutospacing="1" w:after="100" w:afterAutospacing="1"/>
        <w:jc w:val="both"/>
        <w:rPr>
          <w:rFonts w:ascii="Arial" w:hAnsi="Arial" w:cs="Arial"/>
          <w:sz w:val="22"/>
          <w:szCs w:val="22"/>
        </w:rPr>
      </w:pPr>
      <w:r w:rsidRPr="00BF4AA8">
        <w:rPr>
          <w:rFonts w:ascii="Arial" w:hAnsi="Arial" w:cs="Arial"/>
          <w:b/>
          <w:bCs/>
          <w:sz w:val="22"/>
          <w:szCs w:val="22"/>
        </w:rPr>
        <w:t>Illegal trawling and bottom-contact gears</w:t>
      </w:r>
      <w:r w:rsidRPr="00BF4AA8">
        <w:rPr>
          <w:rFonts w:ascii="Arial" w:hAnsi="Arial" w:cs="Arial"/>
          <w:sz w:val="22"/>
          <w:szCs w:val="22"/>
        </w:rPr>
        <w:t xml:space="preserve"> (direct seagrass damage, sediment resuspension)</w:t>
      </w:r>
    </w:p>
    <w:p w:rsidR="00F04907" w:rsidRPr="00BF4AA8" w:rsidRDefault="00F04907" w:rsidP="00F04907">
      <w:pPr>
        <w:numPr>
          <w:ilvl w:val="0"/>
          <w:numId w:val="248"/>
        </w:numPr>
        <w:spacing w:before="100" w:beforeAutospacing="1" w:after="100" w:afterAutospacing="1"/>
        <w:jc w:val="both"/>
        <w:rPr>
          <w:rFonts w:ascii="Arial" w:hAnsi="Arial" w:cs="Arial"/>
          <w:sz w:val="22"/>
          <w:szCs w:val="22"/>
        </w:rPr>
      </w:pPr>
      <w:r w:rsidRPr="00BF4AA8">
        <w:rPr>
          <w:rFonts w:ascii="Arial" w:hAnsi="Arial" w:cs="Arial"/>
          <w:b/>
          <w:bCs/>
          <w:sz w:val="22"/>
          <w:szCs w:val="22"/>
        </w:rPr>
        <w:t>Electric fishing and destructive gears</w:t>
      </w:r>
      <w:r w:rsidRPr="00BF4AA8">
        <w:rPr>
          <w:rFonts w:ascii="Arial" w:hAnsi="Arial" w:cs="Arial"/>
          <w:sz w:val="22"/>
          <w:szCs w:val="22"/>
        </w:rPr>
        <w:t xml:space="preserve"> (fish community impacts)</w:t>
      </w:r>
    </w:p>
    <w:p w:rsidR="00F04907" w:rsidRPr="00BF4AA8" w:rsidRDefault="00F04907" w:rsidP="00F04907">
      <w:pPr>
        <w:numPr>
          <w:ilvl w:val="0"/>
          <w:numId w:val="248"/>
        </w:numPr>
        <w:spacing w:before="100" w:beforeAutospacing="1" w:after="100" w:afterAutospacing="1"/>
        <w:jc w:val="both"/>
        <w:rPr>
          <w:rFonts w:ascii="Arial" w:hAnsi="Arial" w:cs="Arial"/>
          <w:sz w:val="22"/>
          <w:szCs w:val="22"/>
        </w:rPr>
      </w:pPr>
      <w:r w:rsidRPr="00BF4AA8">
        <w:rPr>
          <w:rFonts w:ascii="Arial" w:hAnsi="Arial" w:cs="Arial"/>
          <w:b/>
          <w:bCs/>
          <w:sz w:val="22"/>
          <w:szCs w:val="22"/>
        </w:rPr>
        <w:t>Sedimentation/turbidity</w:t>
      </w:r>
      <w:r w:rsidRPr="00BF4AA8">
        <w:rPr>
          <w:rFonts w:ascii="Arial" w:hAnsi="Arial" w:cs="Arial"/>
          <w:sz w:val="22"/>
          <w:szCs w:val="22"/>
        </w:rPr>
        <w:t xml:space="preserve"> from coastal activities and nearshore disturbance</w:t>
      </w:r>
    </w:p>
    <w:p w:rsidR="00F04907" w:rsidRPr="00BF4AA8" w:rsidRDefault="00F04907" w:rsidP="00F04907">
      <w:pPr>
        <w:spacing w:before="100" w:beforeAutospacing="1" w:after="100" w:afterAutospacing="1"/>
        <w:jc w:val="both"/>
        <w:rPr>
          <w:rFonts w:ascii="Arial" w:hAnsi="Arial" w:cs="Arial"/>
          <w:i/>
          <w:iCs/>
          <w:sz w:val="22"/>
          <w:szCs w:val="22"/>
        </w:rPr>
      </w:pPr>
      <w:r w:rsidRPr="00BF4AA8">
        <w:rPr>
          <w:rFonts w:ascii="Arial" w:hAnsi="Arial" w:cs="Arial"/>
          <w:b/>
          <w:bCs/>
          <w:i/>
          <w:iCs/>
          <w:sz w:val="22"/>
          <w:szCs w:val="22"/>
        </w:rPr>
        <w:t>Management implications</w:t>
      </w:r>
    </w:p>
    <w:p w:rsidR="00F04907" w:rsidRPr="00BF4AA8" w:rsidRDefault="00F04907" w:rsidP="00F04907">
      <w:pPr>
        <w:numPr>
          <w:ilvl w:val="0"/>
          <w:numId w:val="249"/>
        </w:numPr>
        <w:spacing w:before="100" w:beforeAutospacing="1" w:after="100" w:afterAutospacing="1"/>
        <w:jc w:val="both"/>
        <w:rPr>
          <w:rFonts w:ascii="Arial" w:hAnsi="Arial" w:cs="Arial"/>
          <w:sz w:val="22"/>
          <w:szCs w:val="22"/>
        </w:rPr>
      </w:pPr>
      <w:r w:rsidRPr="00BF4AA8">
        <w:rPr>
          <w:rFonts w:ascii="Arial" w:hAnsi="Arial" w:cs="Arial"/>
          <w:sz w:val="22"/>
          <w:szCs w:val="22"/>
        </w:rPr>
        <w:t xml:space="preserve">Maintain/expand </w:t>
      </w:r>
      <w:r w:rsidRPr="00BF4AA8">
        <w:rPr>
          <w:rFonts w:ascii="Arial" w:hAnsi="Arial" w:cs="Arial"/>
          <w:b/>
          <w:bCs/>
          <w:sz w:val="22"/>
          <w:szCs w:val="22"/>
        </w:rPr>
        <w:t>anti-trawl networks</w:t>
      </w:r>
      <w:r w:rsidRPr="00BF4AA8">
        <w:rPr>
          <w:rFonts w:ascii="Arial" w:hAnsi="Arial" w:cs="Arial"/>
          <w:sz w:val="22"/>
          <w:szCs w:val="22"/>
        </w:rPr>
        <w:t xml:space="preserve"> and patrol effort focused on meadow margins</w:t>
      </w:r>
    </w:p>
    <w:p w:rsidR="00F04907" w:rsidRPr="00BF4AA8" w:rsidRDefault="00F04907" w:rsidP="00F04907">
      <w:pPr>
        <w:numPr>
          <w:ilvl w:val="0"/>
          <w:numId w:val="249"/>
        </w:numPr>
        <w:spacing w:before="100" w:beforeAutospacing="1" w:after="100" w:afterAutospacing="1"/>
        <w:jc w:val="both"/>
        <w:rPr>
          <w:rFonts w:ascii="Arial" w:hAnsi="Arial" w:cs="Arial"/>
          <w:sz w:val="22"/>
          <w:szCs w:val="22"/>
        </w:rPr>
      </w:pPr>
      <w:r w:rsidRPr="00BF4AA8">
        <w:rPr>
          <w:rFonts w:ascii="Arial" w:hAnsi="Arial" w:cs="Arial"/>
          <w:sz w:val="22"/>
          <w:szCs w:val="22"/>
        </w:rPr>
        <w:t>Clarify MFMA zoning and restrictions in user-friendly formats (maps/signage)</w:t>
      </w:r>
    </w:p>
    <w:p w:rsidR="00F04907" w:rsidRPr="00BF4AA8" w:rsidRDefault="00F04907" w:rsidP="00F04907">
      <w:pPr>
        <w:numPr>
          <w:ilvl w:val="0"/>
          <w:numId w:val="249"/>
        </w:numPr>
        <w:spacing w:before="100" w:beforeAutospacing="1" w:after="100" w:afterAutospacing="1"/>
        <w:jc w:val="both"/>
        <w:rPr>
          <w:rFonts w:ascii="Arial" w:hAnsi="Arial" w:cs="Arial"/>
          <w:sz w:val="22"/>
          <w:szCs w:val="22"/>
        </w:rPr>
      </w:pPr>
      <w:r w:rsidRPr="00BF4AA8">
        <w:rPr>
          <w:rFonts w:ascii="Arial" w:hAnsi="Arial" w:cs="Arial"/>
          <w:sz w:val="22"/>
          <w:szCs w:val="22"/>
        </w:rPr>
        <w:t>Prioritize seagrass condition monitoring (extent + scars) as the key performance indicator</w:t>
      </w:r>
    </w:p>
    <w:p w:rsidR="00F04907" w:rsidRPr="00BF4AA8" w:rsidRDefault="00F04907" w:rsidP="00F04907">
      <w:pPr>
        <w:keepNext/>
        <w:adjustRightInd w:val="0"/>
        <w:snapToGrid w:val="0"/>
        <w:spacing w:before="240" w:after="120"/>
        <w:jc w:val="both"/>
        <w:rPr>
          <w:rFonts w:ascii="Arial" w:hAnsi="Arial" w:cs="Arial"/>
          <w:color w:val="0070C0"/>
          <w:sz w:val="22"/>
          <w:szCs w:val="22"/>
        </w:rPr>
      </w:pPr>
      <w:r w:rsidRPr="00BF4AA8">
        <w:rPr>
          <w:rFonts w:ascii="Arial" w:hAnsi="Arial" w:cs="Arial"/>
          <w:color w:val="0070C0"/>
          <w:sz w:val="22"/>
          <w:szCs w:val="22"/>
        </w:rPr>
        <w:t xml:space="preserve">C3. Site 3. </w:t>
      </w:r>
      <w:proofErr w:type="spellStart"/>
      <w:r w:rsidRPr="00BF4AA8">
        <w:rPr>
          <w:rFonts w:ascii="Arial" w:hAnsi="Arial" w:cs="Arial"/>
          <w:color w:val="0070C0"/>
          <w:sz w:val="22"/>
          <w:szCs w:val="22"/>
        </w:rPr>
        <w:t>Kampot</w:t>
      </w:r>
      <w:proofErr w:type="spellEnd"/>
      <w:r w:rsidRPr="00BF4AA8">
        <w:rPr>
          <w:rFonts w:ascii="Arial" w:hAnsi="Arial" w:cs="Arial"/>
          <w:color w:val="0070C0"/>
          <w:sz w:val="22"/>
          <w:szCs w:val="22"/>
        </w:rPr>
        <w:t xml:space="preserve"> Beach / nearshore </w:t>
      </w:r>
      <w:proofErr w:type="spellStart"/>
      <w:r w:rsidRPr="00BF4AA8">
        <w:rPr>
          <w:rFonts w:ascii="Arial" w:hAnsi="Arial" w:cs="Arial"/>
          <w:color w:val="0070C0"/>
          <w:sz w:val="22"/>
          <w:szCs w:val="22"/>
        </w:rPr>
        <w:t>Kampot</w:t>
      </w:r>
      <w:proofErr w:type="spellEnd"/>
      <w:r w:rsidRPr="00BF4AA8">
        <w:rPr>
          <w:rFonts w:ascii="Arial" w:hAnsi="Arial" w:cs="Arial"/>
          <w:color w:val="0070C0"/>
          <w:sz w:val="22"/>
          <w:szCs w:val="22"/>
        </w:rPr>
        <w:t xml:space="preserve"> (proposed MFMA)</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b/>
          <w:bCs/>
          <w:sz w:val="22"/>
          <w:szCs w:val="22"/>
        </w:rPr>
        <w:t>Status.</w:t>
      </w:r>
      <w:r w:rsidRPr="00BF4AA8">
        <w:rPr>
          <w:rFonts w:ascii="Arial" w:hAnsi="Arial" w:cs="Arial"/>
          <w:sz w:val="22"/>
          <w:szCs w:val="22"/>
        </w:rPr>
        <w:t xml:space="preserve"> The most recent compilation reports a nearshore belt with </w:t>
      </w:r>
      <w:r w:rsidRPr="00BF4AA8">
        <w:rPr>
          <w:rFonts w:ascii="Arial" w:hAnsi="Arial" w:cs="Arial"/>
          <w:b/>
          <w:bCs/>
          <w:sz w:val="22"/>
          <w:szCs w:val="22"/>
        </w:rPr>
        <w:t>~5,158 ha seagrass (10 spp.)</w:t>
      </w:r>
      <w:r w:rsidRPr="00BF4AA8">
        <w:rPr>
          <w:rFonts w:ascii="Arial" w:hAnsi="Arial" w:cs="Arial"/>
          <w:sz w:val="22"/>
          <w:szCs w:val="22"/>
        </w:rPr>
        <w:t xml:space="preserve"> and </w:t>
      </w:r>
      <w:r w:rsidRPr="00BF4AA8">
        <w:rPr>
          <w:rFonts w:ascii="Arial" w:hAnsi="Arial" w:cs="Arial"/>
          <w:b/>
          <w:bCs/>
          <w:sz w:val="22"/>
          <w:szCs w:val="22"/>
        </w:rPr>
        <w:t>~467 ha coral reef</w:t>
      </w:r>
      <w:r w:rsidRPr="00BF4AA8">
        <w:rPr>
          <w:rFonts w:ascii="Arial" w:hAnsi="Arial" w:cs="Arial"/>
          <w:sz w:val="22"/>
          <w:szCs w:val="22"/>
        </w:rPr>
        <w:t xml:space="preserve">, including a large single reef feature at </w:t>
      </w:r>
      <w:proofErr w:type="spellStart"/>
      <w:r w:rsidRPr="00BF4AA8">
        <w:rPr>
          <w:rFonts w:ascii="Arial" w:hAnsi="Arial" w:cs="Arial"/>
          <w:b/>
          <w:bCs/>
          <w:sz w:val="22"/>
          <w:szCs w:val="22"/>
        </w:rPr>
        <w:t>Nataya</w:t>
      </w:r>
      <w:proofErr w:type="spellEnd"/>
      <w:r w:rsidRPr="00BF4AA8">
        <w:rPr>
          <w:rFonts w:ascii="Arial" w:hAnsi="Arial" w:cs="Arial"/>
          <w:b/>
          <w:bCs/>
          <w:sz w:val="22"/>
          <w:szCs w:val="22"/>
        </w:rPr>
        <w:t xml:space="preserve"> (~305 ha)</w:t>
      </w:r>
      <w:r w:rsidRPr="00BF4AA8">
        <w:rPr>
          <w:rFonts w:ascii="Arial" w:hAnsi="Arial" w:cs="Arial"/>
          <w:sz w:val="22"/>
          <w:szCs w:val="22"/>
        </w:rPr>
        <w:t xml:space="preserve">. A proposed </w:t>
      </w:r>
      <w:r w:rsidRPr="00BF4AA8">
        <w:rPr>
          <w:rFonts w:ascii="Arial" w:hAnsi="Arial" w:cs="Arial"/>
          <w:b/>
          <w:bCs/>
          <w:sz w:val="22"/>
          <w:szCs w:val="22"/>
        </w:rPr>
        <w:t>~8,486-ha MFMA</w:t>
      </w:r>
      <w:r w:rsidRPr="00BF4AA8">
        <w:rPr>
          <w:rFonts w:ascii="Arial" w:hAnsi="Arial" w:cs="Arial"/>
          <w:sz w:val="22"/>
          <w:szCs w:val="22"/>
        </w:rPr>
        <w:t xml:space="preserve"> </w:t>
      </w:r>
      <w:proofErr w:type="gramStart"/>
      <w:r w:rsidRPr="00BF4AA8">
        <w:rPr>
          <w:rFonts w:ascii="Arial" w:hAnsi="Arial" w:cs="Arial"/>
          <w:sz w:val="22"/>
          <w:szCs w:val="22"/>
        </w:rPr>
        <w:t>is intended</w:t>
      </w:r>
      <w:proofErr w:type="gramEnd"/>
      <w:r w:rsidRPr="00BF4AA8">
        <w:rPr>
          <w:rFonts w:ascii="Arial" w:hAnsi="Arial" w:cs="Arial"/>
          <w:sz w:val="22"/>
          <w:szCs w:val="22"/>
        </w:rPr>
        <w:t xml:space="preserve"> to formalize zoning and enforcement in collaboration with three active </w:t>
      </w:r>
      <w:proofErr w:type="spellStart"/>
      <w:r w:rsidRPr="00BF4AA8">
        <w:rPr>
          <w:rFonts w:ascii="Arial" w:hAnsi="Arial" w:cs="Arial"/>
          <w:sz w:val="22"/>
          <w:szCs w:val="22"/>
        </w:rPr>
        <w:t>CFis</w:t>
      </w:r>
      <w:proofErr w:type="spellEnd"/>
      <w:r w:rsidRPr="00BF4AA8">
        <w:rPr>
          <w:rFonts w:ascii="Arial" w:hAnsi="Arial" w:cs="Arial"/>
          <w:sz w:val="22"/>
          <w:szCs w:val="22"/>
        </w:rPr>
        <w:t>.</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b/>
          <w:bCs/>
          <w:sz w:val="22"/>
          <w:szCs w:val="22"/>
        </w:rPr>
        <w:t>Main pressures.</w:t>
      </w:r>
    </w:p>
    <w:p w:rsidR="00F04907" w:rsidRPr="00BF4AA8" w:rsidRDefault="00F04907" w:rsidP="00F04907">
      <w:pPr>
        <w:numPr>
          <w:ilvl w:val="0"/>
          <w:numId w:val="250"/>
        </w:numPr>
        <w:spacing w:before="100" w:beforeAutospacing="1" w:after="100" w:afterAutospacing="1"/>
        <w:jc w:val="both"/>
        <w:rPr>
          <w:rFonts w:ascii="Arial" w:hAnsi="Arial" w:cs="Arial"/>
          <w:sz w:val="22"/>
          <w:szCs w:val="22"/>
        </w:rPr>
      </w:pPr>
      <w:r w:rsidRPr="00BF4AA8">
        <w:rPr>
          <w:rFonts w:ascii="Arial" w:hAnsi="Arial" w:cs="Arial"/>
          <w:b/>
          <w:bCs/>
          <w:sz w:val="22"/>
          <w:szCs w:val="22"/>
        </w:rPr>
        <w:t>Sedimentation and turbidity</w:t>
      </w:r>
      <w:r w:rsidRPr="00BF4AA8">
        <w:rPr>
          <w:rFonts w:ascii="Arial" w:hAnsi="Arial" w:cs="Arial"/>
          <w:sz w:val="22"/>
          <w:szCs w:val="22"/>
        </w:rPr>
        <w:t xml:space="preserve"> (river plumes, shoreline works) reducing light availability</w:t>
      </w:r>
    </w:p>
    <w:p w:rsidR="00F04907" w:rsidRPr="00BF4AA8" w:rsidRDefault="00F04907" w:rsidP="00F04907">
      <w:pPr>
        <w:numPr>
          <w:ilvl w:val="0"/>
          <w:numId w:val="250"/>
        </w:numPr>
        <w:spacing w:before="100" w:beforeAutospacing="1" w:after="100" w:afterAutospacing="1"/>
        <w:jc w:val="both"/>
        <w:rPr>
          <w:rFonts w:ascii="Arial" w:hAnsi="Arial" w:cs="Arial"/>
          <w:sz w:val="22"/>
          <w:szCs w:val="22"/>
        </w:rPr>
      </w:pPr>
      <w:r w:rsidRPr="00BF4AA8">
        <w:rPr>
          <w:rFonts w:ascii="Arial" w:hAnsi="Arial" w:cs="Arial"/>
          <w:b/>
          <w:bCs/>
          <w:sz w:val="22"/>
          <w:szCs w:val="22"/>
        </w:rPr>
        <w:t>Gear impacts</w:t>
      </w:r>
      <w:r w:rsidRPr="00BF4AA8">
        <w:rPr>
          <w:rFonts w:ascii="Arial" w:hAnsi="Arial" w:cs="Arial"/>
          <w:sz w:val="22"/>
          <w:szCs w:val="22"/>
        </w:rPr>
        <w:t xml:space="preserve"> (bottom-contact fishing) affecting meadow integrity</w:t>
      </w:r>
    </w:p>
    <w:p w:rsidR="00F04907" w:rsidRPr="00BF4AA8" w:rsidRDefault="00F04907" w:rsidP="00F04907">
      <w:pPr>
        <w:numPr>
          <w:ilvl w:val="0"/>
          <w:numId w:val="250"/>
        </w:numPr>
        <w:spacing w:before="100" w:beforeAutospacing="1" w:after="100" w:afterAutospacing="1"/>
        <w:jc w:val="both"/>
        <w:rPr>
          <w:rFonts w:ascii="Arial" w:hAnsi="Arial" w:cs="Arial"/>
          <w:sz w:val="22"/>
          <w:szCs w:val="22"/>
        </w:rPr>
      </w:pPr>
      <w:r w:rsidRPr="00BF4AA8">
        <w:rPr>
          <w:rFonts w:ascii="Arial" w:hAnsi="Arial" w:cs="Arial"/>
          <w:b/>
          <w:bCs/>
          <w:sz w:val="22"/>
          <w:szCs w:val="22"/>
        </w:rPr>
        <w:t>Incremental coastal development</w:t>
      </w:r>
      <w:r w:rsidRPr="00BF4AA8">
        <w:rPr>
          <w:rFonts w:ascii="Arial" w:hAnsi="Arial" w:cs="Arial"/>
          <w:sz w:val="22"/>
          <w:szCs w:val="22"/>
        </w:rPr>
        <w:t xml:space="preserve"> increasing nutrient loads and physical disturbance</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b/>
          <w:bCs/>
          <w:sz w:val="22"/>
          <w:szCs w:val="22"/>
        </w:rPr>
        <w:t>Management implications.</w:t>
      </w:r>
    </w:p>
    <w:p w:rsidR="00F04907" w:rsidRPr="00BF4AA8" w:rsidRDefault="00F04907" w:rsidP="00F04907">
      <w:pPr>
        <w:numPr>
          <w:ilvl w:val="0"/>
          <w:numId w:val="251"/>
        </w:numPr>
        <w:spacing w:before="100" w:beforeAutospacing="1" w:after="100" w:afterAutospacing="1"/>
        <w:jc w:val="both"/>
        <w:rPr>
          <w:rFonts w:ascii="Arial" w:hAnsi="Arial" w:cs="Arial"/>
          <w:sz w:val="22"/>
          <w:szCs w:val="22"/>
        </w:rPr>
      </w:pPr>
      <w:r w:rsidRPr="00BF4AA8">
        <w:rPr>
          <w:rFonts w:ascii="Arial" w:hAnsi="Arial" w:cs="Arial"/>
          <w:sz w:val="22"/>
          <w:szCs w:val="22"/>
        </w:rPr>
        <w:t>The proposed MFMA offers the key mechanism to implement enforceable rules: trawl exclusion, gear restrictions, zoning for sensitive habitats, and community-supported patrols</w:t>
      </w:r>
    </w:p>
    <w:p w:rsidR="00F04907" w:rsidRPr="00BF4AA8" w:rsidRDefault="00F04907" w:rsidP="00F04907">
      <w:pPr>
        <w:numPr>
          <w:ilvl w:val="0"/>
          <w:numId w:val="251"/>
        </w:numPr>
        <w:spacing w:before="100" w:beforeAutospacing="1" w:after="100" w:afterAutospacing="1"/>
        <w:jc w:val="both"/>
        <w:rPr>
          <w:rFonts w:ascii="Arial" w:hAnsi="Arial" w:cs="Arial"/>
          <w:sz w:val="22"/>
          <w:szCs w:val="22"/>
        </w:rPr>
      </w:pPr>
      <w:r w:rsidRPr="00BF4AA8">
        <w:rPr>
          <w:rFonts w:ascii="Arial" w:hAnsi="Arial" w:cs="Arial"/>
          <w:sz w:val="22"/>
          <w:szCs w:val="22"/>
        </w:rPr>
        <w:t>Pair zoning with basic water-quality controls (runoff/wastewater) to protect the light environment necessary for meadow persistence</w:t>
      </w:r>
    </w:p>
    <w:p w:rsidR="00F04907" w:rsidRPr="00BF4AA8" w:rsidRDefault="00F04907" w:rsidP="00F04907">
      <w:pPr>
        <w:keepNext/>
        <w:adjustRightInd w:val="0"/>
        <w:snapToGrid w:val="0"/>
        <w:spacing w:before="240" w:after="120"/>
        <w:jc w:val="both"/>
        <w:rPr>
          <w:rFonts w:ascii="Arial" w:hAnsi="Arial" w:cs="Arial"/>
          <w:color w:val="0070C0"/>
          <w:sz w:val="22"/>
          <w:szCs w:val="22"/>
        </w:rPr>
      </w:pPr>
      <w:r w:rsidRPr="00BF4AA8">
        <w:rPr>
          <w:rFonts w:ascii="Arial" w:hAnsi="Arial" w:cs="Arial"/>
          <w:color w:val="0070C0"/>
          <w:sz w:val="22"/>
          <w:szCs w:val="22"/>
        </w:rPr>
        <w:t xml:space="preserve">C4. Site 4. Koh </w:t>
      </w:r>
      <w:proofErr w:type="spellStart"/>
      <w:r w:rsidRPr="00BF4AA8">
        <w:rPr>
          <w:rFonts w:ascii="Arial" w:hAnsi="Arial" w:cs="Arial"/>
          <w:color w:val="0070C0"/>
          <w:sz w:val="22"/>
          <w:szCs w:val="22"/>
        </w:rPr>
        <w:t>Sdach</w:t>
      </w:r>
      <w:proofErr w:type="spellEnd"/>
      <w:r w:rsidRPr="00BF4AA8">
        <w:rPr>
          <w:rFonts w:ascii="Arial" w:hAnsi="Arial" w:cs="Arial"/>
          <w:color w:val="0070C0"/>
          <w:sz w:val="22"/>
          <w:szCs w:val="22"/>
        </w:rPr>
        <w:t>–Koh Kong Archipelago</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b/>
          <w:bCs/>
          <w:sz w:val="22"/>
          <w:szCs w:val="22"/>
        </w:rPr>
        <w:t>Status and trend signal.</w:t>
      </w:r>
      <w:r w:rsidRPr="00BF4AA8">
        <w:rPr>
          <w:rFonts w:ascii="Arial" w:hAnsi="Arial" w:cs="Arial"/>
          <w:sz w:val="22"/>
          <w:szCs w:val="22"/>
        </w:rPr>
        <w:t xml:space="preserve"> Earlier surveys described good condition at some sites, but later assessments suggest increasing degradation signals over time. Current accounting indicates large contiguous reef areas embedded in </w:t>
      </w:r>
      <w:proofErr w:type="spellStart"/>
      <w:r w:rsidRPr="00BF4AA8">
        <w:rPr>
          <w:rFonts w:ascii="Arial" w:hAnsi="Arial" w:cs="Arial"/>
          <w:b/>
          <w:bCs/>
          <w:sz w:val="22"/>
          <w:szCs w:val="22"/>
        </w:rPr>
        <w:t>Samros</w:t>
      </w:r>
      <w:proofErr w:type="spellEnd"/>
      <w:r w:rsidRPr="00BF4AA8">
        <w:rPr>
          <w:rFonts w:ascii="Arial" w:hAnsi="Arial" w:cs="Arial"/>
          <w:b/>
          <w:bCs/>
          <w:sz w:val="22"/>
          <w:szCs w:val="22"/>
        </w:rPr>
        <w:t xml:space="preserve"> Koh </w:t>
      </w:r>
      <w:proofErr w:type="spellStart"/>
      <w:r w:rsidRPr="00BF4AA8">
        <w:rPr>
          <w:rFonts w:ascii="Arial" w:hAnsi="Arial" w:cs="Arial"/>
          <w:b/>
          <w:bCs/>
          <w:sz w:val="22"/>
          <w:szCs w:val="22"/>
        </w:rPr>
        <w:t>Sdach</w:t>
      </w:r>
      <w:proofErr w:type="spellEnd"/>
      <w:r w:rsidRPr="00BF4AA8">
        <w:rPr>
          <w:rFonts w:ascii="Arial" w:hAnsi="Arial" w:cs="Arial"/>
          <w:sz w:val="22"/>
          <w:szCs w:val="22"/>
        </w:rPr>
        <w:t xml:space="preserve"> and </w:t>
      </w:r>
      <w:proofErr w:type="spellStart"/>
      <w:r w:rsidRPr="00BF4AA8">
        <w:rPr>
          <w:rFonts w:ascii="Arial" w:hAnsi="Arial" w:cs="Arial"/>
          <w:b/>
          <w:bCs/>
          <w:sz w:val="22"/>
          <w:szCs w:val="22"/>
        </w:rPr>
        <w:t>Phnhy</w:t>
      </w:r>
      <w:proofErr w:type="spellEnd"/>
      <w:r w:rsidRPr="00BF4AA8">
        <w:rPr>
          <w:rFonts w:ascii="Arial" w:hAnsi="Arial" w:cs="Arial"/>
          <w:b/>
          <w:bCs/>
          <w:sz w:val="22"/>
          <w:szCs w:val="22"/>
        </w:rPr>
        <w:t xml:space="preserve"> </w:t>
      </w:r>
      <w:proofErr w:type="spellStart"/>
      <w:r w:rsidRPr="00BF4AA8">
        <w:rPr>
          <w:rFonts w:ascii="Arial" w:hAnsi="Arial" w:cs="Arial"/>
          <w:b/>
          <w:bCs/>
          <w:sz w:val="22"/>
          <w:szCs w:val="22"/>
        </w:rPr>
        <w:t>Meas</w:t>
      </w:r>
      <w:proofErr w:type="spellEnd"/>
      <w:r w:rsidRPr="00BF4AA8">
        <w:rPr>
          <w:rFonts w:ascii="Arial" w:hAnsi="Arial" w:cs="Arial"/>
          <w:sz w:val="22"/>
          <w:szCs w:val="22"/>
        </w:rPr>
        <w:t>, which are practical focal zones due to their scale and connectivity.</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b/>
          <w:bCs/>
          <w:sz w:val="22"/>
          <w:szCs w:val="22"/>
        </w:rPr>
        <w:t>Main pressures.</w:t>
      </w:r>
    </w:p>
    <w:p w:rsidR="00F04907" w:rsidRPr="00BF4AA8" w:rsidRDefault="00F04907" w:rsidP="00F04907">
      <w:pPr>
        <w:numPr>
          <w:ilvl w:val="0"/>
          <w:numId w:val="252"/>
        </w:numPr>
        <w:spacing w:before="100" w:beforeAutospacing="1" w:after="100" w:afterAutospacing="1"/>
        <w:jc w:val="both"/>
        <w:rPr>
          <w:rFonts w:ascii="Arial" w:hAnsi="Arial" w:cs="Arial"/>
          <w:sz w:val="22"/>
          <w:szCs w:val="22"/>
        </w:rPr>
      </w:pPr>
      <w:r w:rsidRPr="00BF4AA8">
        <w:rPr>
          <w:rFonts w:ascii="Arial" w:hAnsi="Arial" w:cs="Arial"/>
          <w:b/>
          <w:bCs/>
          <w:sz w:val="22"/>
          <w:szCs w:val="22"/>
        </w:rPr>
        <w:t>Fishing pressure and destructive/illegal gears</w:t>
      </w:r>
    </w:p>
    <w:p w:rsidR="00F04907" w:rsidRPr="00BF4AA8" w:rsidRDefault="00F04907" w:rsidP="00F04907">
      <w:pPr>
        <w:numPr>
          <w:ilvl w:val="0"/>
          <w:numId w:val="252"/>
        </w:numPr>
        <w:spacing w:before="100" w:beforeAutospacing="1" w:after="100" w:afterAutospacing="1"/>
        <w:jc w:val="both"/>
        <w:rPr>
          <w:rFonts w:ascii="Arial" w:hAnsi="Arial" w:cs="Arial"/>
          <w:sz w:val="22"/>
          <w:szCs w:val="22"/>
        </w:rPr>
      </w:pPr>
      <w:r w:rsidRPr="00BF4AA8">
        <w:rPr>
          <w:rFonts w:ascii="Arial" w:hAnsi="Arial" w:cs="Arial"/>
          <w:b/>
          <w:bCs/>
          <w:sz w:val="22"/>
          <w:szCs w:val="22"/>
        </w:rPr>
        <w:t>Sedimentation/turbidity</w:t>
      </w:r>
      <w:r w:rsidRPr="00BF4AA8">
        <w:rPr>
          <w:rFonts w:ascii="Arial" w:hAnsi="Arial" w:cs="Arial"/>
          <w:sz w:val="22"/>
          <w:szCs w:val="22"/>
        </w:rPr>
        <w:t xml:space="preserve"> in more mainland-influenced waters</w:t>
      </w:r>
    </w:p>
    <w:p w:rsidR="00F04907" w:rsidRPr="00BF4AA8" w:rsidRDefault="00F04907" w:rsidP="00F04907">
      <w:pPr>
        <w:numPr>
          <w:ilvl w:val="0"/>
          <w:numId w:val="252"/>
        </w:numPr>
        <w:spacing w:before="100" w:beforeAutospacing="1" w:after="100" w:afterAutospacing="1"/>
        <w:jc w:val="both"/>
        <w:rPr>
          <w:rFonts w:ascii="Arial" w:hAnsi="Arial" w:cs="Arial"/>
          <w:sz w:val="22"/>
          <w:szCs w:val="22"/>
        </w:rPr>
      </w:pPr>
      <w:r w:rsidRPr="00BF4AA8">
        <w:rPr>
          <w:rFonts w:ascii="Arial" w:hAnsi="Arial" w:cs="Arial"/>
          <w:b/>
          <w:bCs/>
          <w:sz w:val="22"/>
          <w:szCs w:val="22"/>
        </w:rPr>
        <w:t>Limited enforcement coverage</w:t>
      </w:r>
      <w:r w:rsidRPr="00BF4AA8">
        <w:rPr>
          <w:rFonts w:ascii="Arial" w:hAnsi="Arial" w:cs="Arial"/>
          <w:sz w:val="22"/>
          <w:szCs w:val="22"/>
        </w:rPr>
        <w:t xml:space="preserve"> across dispersed island complexes</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b/>
          <w:bCs/>
          <w:sz w:val="22"/>
          <w:szCs w:val="22"/>
        </w:rPr>
        <w:t>Management implications.</w:t>
      </w:r>
    </w:p>
    <w:p w:rsidR="00F04907" w:rsidRPr="00BF4AA8" w:rsidRDefault="00F04907" w:rsidP="00F04907">
      <w:pPr>
        <w:numPr>
          <w:ilvl w:val="0"/>
          <w:numId w:val="253"/>
        </w:numPr>
        <w:spacing w:before="100" w:beforeAutospacing="1" w:after="100" w:afterAutospacing="1"/>
        <w:jc w:val="both"/>
        <w:rPr>
          <w:rFonts w:ascii="Arial" w:hAnsi="Arial" w:cs="Arial"/>
          <w:sz w:val="22"/>
          <w:szCs w:val="22"/>
        </w:rPr>
      </w:pPr>
      <w:r w:rsidRPr="00BF4AA8">
        <w:rPr>
          <w:rFonts w:ascii="Arial" w:hAnsi="Arial" w:cs="Arial"/>
          <w:sz w:val="22"/>
          <w:szCs w:val="22"/>
        </w:rPr>
        <w:t xml:space="preserve">Focus conservation investment on “high-leverage” reef blocks (largest contiguous areas) where enforcement and restoration pilots (transplantation/artificial structures) can </w:t>
      </w:r>
      <w:proofErr w:type="gramStart"/>
      <w:r w:rsidRPr="00BF4AA8">
        <w:rPr>
          <w:rFonts w:ascii="Arial" w:hAnsi="Arial" w:cs="Arial"/>
          <w:sz w:val="22"/>
          <w:szCs w:val="22"/>
        </w:rPr>
        <w:t>be monitored</w:t>
      </w:r>
      <w:proofErr w:type="gramEnd"/>
      <w:r w:rsidRPr="00BF4AA8">
        <w:rPr>
          <w:rFonts w:ascii="Arial" w:hAnsi="Arial" w:cs="Arial"/>
          <w:sz w:val="22"/>
          <w:szCs w:val="22"/>
        </w:rPr>
        <w:t xml:space="preserve"> and maintained</w:t>
      </w:r>
    </w:p>
    <w:p w:rsidR="00F04907" w:rsidRPr="00BF4AA8" w:rsidRDefault="00F04907" w:rsidP="00F04907">
      <w:pPr>
        <w:numPr>
          <w:ilvl w:val="0"/>
          <w:numId w:val="253"/>
        </w:numPr>
        <w:spacing w:before="100" w:beforeAutospacing="1" w:after="100" w:afterAutospacing="1"/>
        <w:jc w:val="both"/>
        <w:rPr>
          <w:rFonts w:ascii="Arial" w:hAnsi="Arial" w:cs="Arial"/>
          <w:sz w:val="22"/>
          <w:szCs w:val="22"/>
        </w:rPr>
      </w:pPr>
      <w:r w:rsidRPr="00BF4AA8">
        <w:rPr>
          <w:rFonts w:ascii="Arial" w:hAnsi="Arial" w:cs="Arial"/>
          <w:sz w:val="22"/>
          <w:szCs w:val="22"/>
        </w:rPr>
        <w:t>Integrate reef protection with local fisheries management to improve compliance incentives</w:t>
      </w:r>
    </w:p>
    <w:p w:rsidR="00F04907" w:rsidRPr="00BF4AA8" w:rsidRDefault="00F04907" w:rsidP="00F04907">
      <w:pPr>
        <w:spacing w:before="240" w:after="120"/>
        <w:rPr>
          <w:rFonts w:ascii="Arial" w:hAnsi="Arial" w:cs="Arial"/>
          <w:b/>
          <w:bCs/>
          <w:sz w:val="22"/>
          <w:szCs w:val="22"/>
        </w:rPr>
      </w:pPr>
      <w:r w:rsidRPr="00BF4AA8">
        <w:rPr>
          <w:rFonts w:ascii="Arial" w:hAnsi="Arial" w:cs="Arial"/>
          <w:b/>
          <w:bCs/>
          <w:sz w:val="22"/>
          <w:szCs w:val="22"/>
        </w:rPr>
        <w:t>D. Data note</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sz w:val="22"/>
          <w:szCs w:val="22"/>
        </w:rPr>
        <w:t xml:space="preserve">Mapping-based reef and seagrass extent figures are sensitive to methods (imagery, season, water clarity, classification thresholds). For management, pair extent maps with </w:t>
      </w:r>
      <w:r w:rsidRPr="00BF4AA8">
        <w:rPr>
          <w:rFonts w:ascii="Arial" w:hAnsi="Arial" w:cs="Arial"/>
          <w:b/>
          <w:bCs/>
          <w:sz w:val="22"/>
          <w:szCs w:val="22"/>
        </w:rPr>
        <w:t>condition indicators</w:t>
      </w:r>
      <w:r w:rsidRPr="00BF4AA8">
        <w:rPr>
          <w:rFonts w:ascii="Arial" w:hAnsi="Arial" w:cs="Arial"/>
          <w:sz w:val="22"/>
          <w:szCs w:val="22"/>
        </w:rPr>
        <w:t xml:space="preserve"> (live coral cover, structural complexity, fish biomass; seagrass scars and light/turbidity proxies) and </w:t>
      </w:r>
      <w:r w:rsidRPr="00BF4AA8">
        <w:rPr>
          <w:rFonts w:ascii="Arial" w:hAnsi="Arial" w:cs="Arial"/>
          <w:b/>
          <w:bCs/>
          <w:sz w:val="22"/>
          <w:szCs w:val="22"/>
        </w:rPr>
        <w:t>pressure indicators</w:t>
      </w:r>
      <w:r w:rsidRPr="00BF4AA8">
        <w:rPr>
          <w:rFonts w:ascii="Arial" w:hAnsi="Arial" w:cs="Arial"/>
          <w:sz w:val="22"/>
          <w:szCs w:val="22"/>
        </w:rPr>
        <w:t xml:space="preserve"> (trawl activity, dredging footprint, tourism intensity).</w:t>
      </w:r>
    </w:p>
    <w:p w:rsidR="00F04907" w:rsidRPr="00BF4AA8" w:rsidRDefault="00F04907" w:rsidP="00BF4AA8">
      <w:pPr>
        <w:pStyle w:val="Heading2"/>
        <w:keepNext/>
        <w:adjustRightInd w:val="0"/>
        <w:snapToGrid w:val="0"/>
        <w:spacing w:before="240" w:beforeAutospacing="0" w:after="120" w:afterAutospacing="0"/>
        <w:rPr>
          <w:rFonts w:ascii="Arial" w:hAnsi="Arial" w:cs="Arial"/>
          <w:color w:val="0070C0"/>
          <w:sz w:val="22"/>
          <w:szCs w:val="22"/>
        </w:rPr>
      </w:pPr>
      <w:bookmarkStart w:id="29" w:name="_Ref216612555"/>
      <w:bookmarkStart w:id="30" w:name="_Toc216681460"/>
      <w:r w:rsidRPr="00BF4AA8">
        <w:rPr>
          <w:rFonts w:ascii="Arial" w:hAnsi="Arial" w:cs="Arial"/>
          <w:color w:val="0070C0"/>
          <w:sz w:val="22"/>
          <w:szCs w:val="22"/>
        </w:rPr>
        <w:t>Annex 4-</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Annex_4-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7</w:t>
      </w:r>
      <w:r w:rsidRPr="00BF4AA8">
        <w:rPr>
          <w:rFonts w:ascii="Arial" w:hAnsi="Arial" w:cs="Arial"/>
          <w:color w:val="0070C0"/>
          <w:sz w:val="22"/>
          <w:szCs w:val="22"/>
        </w:rPr>
        <w:fldChar w:fldCharType="end"/>
      </w:r>
      <w:bookmarkEnd w:id="29"/>
      <w:r w:rsidRPr="00BF4AA8">
        <w:rPr>
          <w:rFonts w:ascii="Arial" w:hAnsi="Arial" w:cs="Arial"/>
          <w:color w:val="0070C0"/>
          <w:sz w:val="22"/>
          <w:szCs w:val="22"/>
        </w:rPr>
        <w:t xml:space="preserve"> Explanatory note for Coastal area-based management: MPAs, Ramsar systems, MFMAs/EAFM, and community co-management</w:t>
      </w:r>
      <w:bookmarkEnd w:id="30"/>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b/>
          <w:bCs/>
          <w:sz w:val="22"/>
          <w:szCs w:val="22"/>
        </w:rPr>
        <w:t>Protected areas, MFMAs and community management:</w:t>
      </w:r>
      <w:r w:rsidRPr="00BF4AA8">
        <w:rPr>
          <w:rFonts w:ascii="Arial" w:hAnsi="Arial" w:cs="Arial"/>
          <w:sz w:val="22"/>
          <w:szCs w:val="22"/>
        </w:rPr>
        <w:t xml:space="preserve"> Cambodia’s coastal governance </w:t>
      </w:r>
      <w:proofErr w:type="gramStart"/>
      <w:r w:rsidRPr="00BF4AA8">
        <w:rPr>
          <w:rFonts w:ascii="Arial" w:hAnsi="Arial" w:cs="Arial"/>
          <w:sz w:val="22"/>
          <w:szCs w:val="22"/>
        </w:rPr>
        <w:t>is implemented</w:t>
      </w:r>
      <w:proofErr w:type="gramEnd"/>
      <w:r w:rsidRPr="00BF4AA8">
        <w:rPr>
          <w:rFonts w:ascii="Arial" w:hAnsi="Arial" w:cs="Arial"/>
          <w:sz w:val="22"/>
          <w:szCs w:val="22"/>
        </w:rPr>
        <w:t xml:space="preserve"> through a layered set of area-based instruments that combine </w:t>
      </w:r>
      <w:proofErr w:type="spellStart"/>
      <w:r w:rsidRPr="00BF4AA8">
        <w:rPr>
          <w:rFonts w:ascii="Arial" w:hAnsi="Arial" w:cs="Arial"/>
          <w:sz w:val="22"/>
          <w:szCs w:val="22"/>
        </w:rPr>
        <w:t>MoE</w:t>
      </w:r>
      <w:proofErr w:type="spellEnd"/>
      <w:r w:rsidRPr="00BF4AA8">
        <w:rPr>
          <w:rFonts w:ascii="Arial" w:hAnsi="Arial" w:cs="Arial"/>
          <w:sz w:val="22"/>
          <w:szCs w:val="22"/>
        </w:rPr>
        <w:t xml:space="preserve">-managed protected areas and marine parks with MAFF/Fisheries Administration fisheries zoning (MFMAs) and community co-management. Table 4.xx summarizes the main MPAs and OECM-related measures discussed in this chapter and highlights where </w:t>
      </w:r>
      <w:r w:rsidRPr="00BF4AA8">
        <w:rPr>
          <w:rFonts w:ascii="Arial" w:hAnsi="Arial" w:cs="Arial"/>
          <w:b/>
          <w:bCs/>
          <w:sz w:val="22"/>
          <w:szCs w:val="22"/>
        </w:rPr>
        <w:t xml:space="preserve">habitat priorities (mangroves, wetlands, coral </w:t>
      </w:r>
      <w:proofErr w:type="gramStart"/>
      <w:r w:rsidRPr="00BF4AA8">
        <w:rPr>
          <w:rFonts w:ascii="Arial" w:hAnsi="Arial" w:cs="Arial"/>
          <w:b/>
          <w:bCs/>
          <w:sz w:val="22"/>
          <w:szCs w:val="22"/>
        </w:rPr>
        <w:t>reefs</w:t>
      </w:r>
      <w:proofErr w:type="gramEnd"/>
      <w:r w:rsidRPr="00BF4AA8">
        <w:rPr>
          <w:rFonts w:ascii="Arial" w:hAnsi="Arial" w:cs="Arial"/>
          <w:b/>
          <w:bCs/>
          <w:sz w:val="22"/>
          <w:szCs w:val="22"/>
        </w:rPr>
        <w:t xml:space="preserve"> and seagrass)</w:t>
      </w:r>
      <w:r w:rsidRPr="00BF4AA8">
        <w:rPr>
          <w:rFonts w:ascii="Arial" w:hAnsi="Arial" w:cs="Arial"/>
          <w:sz w:val="22"/>
          <w:szCs w:val="22"/>
        </w:rPr>
        <w:t xml:space="preserve"> align—or potentially conflict—across different management instruments.</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sz w:val="22"/>
          <w:szCs w:val="22"/>
        </w:rPr>
        <w:t xml:space="preserve">The table shows three major governance “clusters” where zoning coherence is essential. </w:t>
      </w:r>
      <w:r w:rsidRPr="00BF4AA8">
        <w:rPr>
          <w:rFonts w:ascii="Arial" w:hAnsi="Arial" w:cs="Arial"/>
          <w:b/>
          <w:bCs/>
          <w:sz w:val="22"/>
          <w:szCs w:val="22"/>
        </w:rPr>
        <w:t>First, Koh Kong’s mangrove–wetland complex</w:t>
      </w:r>
      <w:r w:rsidRPr="00BF4AA8">
        <w:rPr>
          <w:rFonts w:ascii="Arial" w:hAnsi="Arial" w:cs="Arial"/>
          <w:sz w:val="22"/>
          <w:szCs w:val="22"/>
        </w:rPr>
        <w:t xml:space="preserve"> </w:t>
      </w:r>
      <w:proofErr w:type="gramStart"/>
      <w:r w:rsidRPr="00BF4AA8">
        <w:rPr>
          <w:rFonts w:ascii="Arial" w:hAnsi="Arial" w:cs="Arial"/>
          <w:sz w:val="22"/>
          <w:szCs w:val="22"/>
        </w:rPr>
        <w:t>is anchored</w:t>
      </w:r>
      <w:proofErr w:type="gramEnd"/>
      <w:r w:rsidRPr="00BF4AA8">
        <w:rPr>
          <w:rFonts w:ascii="Arial" w:hAnsi="Arial" w:cs="Arial"/>
          <w:sz w:val="22"/>
          <w:szCs w:val="22"/>
        </w:rPr>
        <w:t xml:space="preserve"> by </w:t>
      </w:r>
      <w:proofErr w:type="spellStart"/>
      <w:r w:rsidRPr="00BF4AA8">
        <w:rPr>
          <w:rFonts w:ascii="Arial" w:hAnsi="Arial" w:cs="Arial"/>
          <w:b/>
          <w:bCs/>
          <w:sz w:val="22"/>
          <w:szCs w:val="22"/>
        </w:rPr>
        <w:t>Botum</w:t>
      </w:r>
      <w:proofErr w:type="spellEnd"/>
      <w:r w:rsidRPr="00BF4AA8">
        <w:rPr>
          <w:rFonts w:ascii="Arial" w:hAnsi="Arial" w:cs="Arial"/>
          <w:b/>
          <w:bCs/>
          <w:sz w:val="22"/>
          <w:szCs w:val="22"/>
        </w:rPr>
        <w:t xml:space="preserve"> </w:t>
      </w:r>
      <w:proofErr w:type="spellStart"/>
      <w:r w:rsidRPr="00BF4AA8">
        <w:rPr>
          <w:rFonts w:ascii="Arial" w:hAnsi="Arial" w:cs="Arial"/>
          <w:b/>
          <w:bCs/>
          <w:sz w:val="22"/>
          <w:szCs w:val="22"/>
        </w:rPr>
        <w:t>Sakor</w:t>
      </w:r>
      <w:proofErr w:type="spellEnd"/>
      <w:r w:rsidRPr="00BF4AA8">
        <w:rPr>
          <w:rFonts w:ascii="Arial" w:hAnsi="Arial" w:cs="Arial"/>
          <w:b/>
          <w:bCs/>
          <w:sz w:val="22"/>
          <w:szCs w:val="22"/>
        </w:rPr>
        <w:t xml:space="preserve"> National Park (143,895 ha)</w:t>
      </w:r>
      <w:r w:rsidRPr="00BF4AA8">
        <w:rPr>
          <w:rFonts w:ascii="Arial" w:hAnsi="Arial" w:cs="Arial"/>
          <w:sz w:val="22"/>
          <w:szCs w:val="22"/>
        </w:rPr>
        <w:t xml:space="preserve"> and </w:t>
      </w:r>
      <w:proofErr w:type="spellStart"/>
      <w:r w:rsidRPr="00BF4AA8">
        <w:rPr>
          <w:rFonts w:ascii="Arial" w:hAnsi="Arial" w:cs="Arial"/>
          <w:b/>
          <w:bCs/>
          <w:sz w:val="22"/>
          <w:szCs w:val="22"/>
        </w:rPr>
        <w:t>Peam</w:t>
      </w:r>
      <w:proofErr w:type="spellEnd"/>
      <w:r w:rsidRPr="00BF4AA8">
        <w:rPr>
          <w:rFonts w:ascii="Arial" w:hAnsi="Arial" w:cs="Arial"/>
          <w:b/>
          <w:bCs/>
          <w:sz w:val="22"/>
          <w:szCs w:val="22"/>
        </w:rPr>
        <w:t xml:space="preserve"> </w:t>
      </w:r>
      <w:proofErr w:type="spellStart"/>
      <w:r w:rsidRPr="00BF4AA8">
        <w:rPr>
          <w:rFonts w:ascii="Arial" w:hAnsi="Arial" w:cs="Arial"/>
          <w:b/>
          <w:bCs/>
          <w:sz w:val="22"/>
          <w:szCs w:val="22"/>
        </w:rPr>
        <w:t>Krasaop</w:t>
      </w:r>
      <w:proofErr w:type="spellEnd"/>
      <w:r w:rsidRPr="00BF4AA8">
        <w:rPr>
          <w:rFonts w:ascii="Arial" w:hAnsi="Arial" w:cs="Arial"/>
          <w:b/>
          <w:bCs/>
          <w:sz w:val="22"/>
          <w:szCs w:val="22"/>
        </w:rPr>
        <w:t xml:space="preserve"> Wildlife Sanctuary (16,982 ha)</w:t>
      </w:r>
      <w:r w:rsidRPr="00BF4AA8">
        <w:rPr>
          <w:rFonts w:ascii="Arial" w:hAnsi="Arial" w:cs="Arial"/>
          <w:sz w:val="22"/>
          <w:szCs w:val="22"/>
        </w:rPr>
        <w:t xml:space="preserve">, with significant mangrove blocks (including </w:t>
      </w:r>
      <w:r w:rsidRPr="00BF4AA8">
        <w:rPr>
          <w:rFonts w:ascii="Arial" w:hAnsi="Arial" w:cs="Arial"/>
          <w:b/>
          <w:bCs/>
          <w:sz w:val="22"/>
          <w:szCs w:val="22"/>
        </w:rPr>
        <w:t>peat-forming mangroves</w:t>
      </w:r>
      <w:r w:rsidRPr="00BF4AA8">
        <w:rPr>
          <w:rFonts w:ascii="Arial" w:hAnsi="Arial" w:cs="Arial"/>
          <w:sz w:val="22"/>
          <w:szCs w:val="22"/>
        </w:rPr>
        <w:t xml:space="preserve">) and functional connectivity to the </w:t>
      </w:r>
      <w:r w:rsidRPr="00BF4AA8">
        <w:rPr>
          <w:rFonts w:ascii="Arial" w:hAnsi="Arial" w:cs="Arial"/>
          <w:b/>
          <w:bCs/>
          <w:sz w:val="22"/>
          <w:szCs w:val="22"/>
        </w:rPr>
        <w:t xml:space="preserve">Koh </w:t>
      </w:r>
      <w:proofErr w:type="spellStart"/>
      <w:r w:rsidRPr="00BF4AA8">
        <w:rPr>
          <w:rFonts w:ascii="Arial" w:hAnsi="Arial" w:cs="Arial"/>
          <w:b/>
          <w:bCs/>
          <w:sz w:val="22"/>
          <w:szCs w:val="22"/>
        </w:rPr>
        <w:t>Kapik</w:t>
      </w:r>
      <w:proofErr w:type="spellEnd"/>
      <w:r w:rsidRPr="00BF4AA8">
        <w:rPr>
          <w:rFonts w:ascii="Arial" w:hAnsi="Arial" w:cs="Arial"/>
          <w:b/>
          <w:bCs/>
          <w:sz w:val="22"/>
          <w:szCs w:val="22"/>
        </w:rPr>
        <w:t xml:space="preserve"> Ramsar system (~12,000 ha)</w:t>
      </w:r>
      <w:r w:rsidRPr="00BF4AA8">
        <w:rPr>
          <w:rFonts w:ascii="Arial" w:hAnsi="Arial" w:cs="Arial"/>
          <w:sz w:val="22"/>
          <w:szCs w:val="22"/>
        </w:rPr>
        <w:t xml:space="preserve"> and the </w:t>
      </w:r>
      <w:proofErr w:type="spellStart"/>
      <w:r w:rsidRPr="00BF4AA8">
        <w:rPr>
          <w:rFonts w:ascii="Arial" w:hAnsi="Arial" w:cs="Arial"/>
          <w:b/>
          <w:bCs/>
          <w:sz w:val="22"/>
          <w:szCs w:val="22"/>
        </w:rPr>
        <w:t>Chrouy</w:t>
      </w:r>
      <w:proofErr w:type="spellEnd"/>
      <w:r w:rsidRPr="00BF4AA8">
        <w:rPr>
          <w:rFonts w:ascii="Arial" w:hAnsi="Arial" w:cs="Arial"/>
          <w:b/>
          <w:bCs/>
          <w:sz w:val="22"/>
          <w:szCs w:val="22"/>
        </w:rPr>
        <w:t xml:space="preserve"> Pros seagrass area (~1,485 ha)</w:t>
      </w:r>
      <w:r w:rsidRPr="00BF4AA8">
        <w:rPr>
          <w:rFonts w:ascii="Arial" w:hAnsi="Arial" w:cs="Arial"/>
          <w:sz w:val="22"/>
          <w:szCs w:val="22"/>
        </w:rPr>
        <w:t xml:space="preserve">. In this landscape, coherent zoning </w:t>
      </w:r>
      <w:proofErr w:type="gramStart"/>
      <w:r w:rsidRPr="00BF4AA8">
        <w:rPr>
          <w:rFonts w:ascii="Arial" w:hAnsi="Arial" w:cs="Arial"/>
          <w:sz w:val="22"/>
          <w:szCs w:val="22"/>
        </w:rPr>
        <w:t>is needed</w:t>
      </w:r>
      <w:proofErr w:type="gramEnd"/>
      <w:r w:rsidRPr="00BF4AA8">
        <w:rPr>
          <w:rFonts w:ascii="Arial" w:hAnsi="Arial" w:cs="Arial"/>
          <w:sz w:val="22"/>
          <w:szCs w:val="22"/>
        </w:rPr>
        <w:t xml:space="preserve"> to safeguard hydrology, mangrove integrity, and nearshore fisheries habitat while balancing access and enforcement across adjacent designations.</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sz w:val="22"/>
          <w:szCs w:val="22"/>
        </w:rPr>
        <w:t xml:space="preserve">Second, the </w:t>
      </w:r>
      <w:r w:rsidRPr="00BF4AA8">
        <w:rPr>
          <w:rFonts w:ascii="Arial" w:hAnsi="Arial" w:cs="Arial"/>
          <w:b/>
          <w:bCs/>
          <w:sz w:val="22"/>
          <w:szCs w:val="22"/>
        </w:rPr>
        <w:t>Preah Sihanouk coastal system</w:t>
      </w:r>
      <w:r w:rsidRPr="00BF4AA8">
        <w:rPr>
          <w:rFonts w:ascii="Arial" w:hAnsi="Arial" w:cs="Arial"/>
          <w:sz w:val="22"/>
          <w:szCs w:val="22"/>
        </w:rPr>
        <w:t xml:space="preserve"> includes </w:t>
      </w:r>
      <w:r w:rsidRPr="00BF4AA8">
        <w:rPr>
          <w:rFonts w:ascii="Arial" w:hAnsi="Arial" w:cs="Arial"/>
          <w:b/>
          <w:bCs/>
          <w:sz w:val="22"/>
          <w:szCs w:val="22"/>
        </w:rPr>
        <w:t>Ream National Park (~21,000 ha)</w:t>
      </w:r>
      <w:r w:rsidRPr="00BF4AA8">
        <w:rPr>
          <w:rFonts w:ascii="Arial" w:hAnsi="Arial" w:cs="Arial"/>
          <w:sz w:val="22"/>
          <w:szCs w:val="22"/>
        </w:rPr>
        <w:t xml:space="preserve"> with substantial mangrove/wetland values (mangrove </w:t>
      </w:r>
      <w:r w:rsidRPr="00BF4AA8">
        <w:rPr>
          <w:rFonts w:ascii="Arial" w:hAnsi="Arial" w:cs="Arial"/>
          <w:b/>
          <w:bCs/>
          <w:sz w:val="22"/>
          <w:szCs w:val="22"/>
        </w:rPr>
        <w:t>~6,500 ha</w:t>
      </w:r>
      <w:r w:rsidRPr="00BF4AA8">
        <w:rPr>
          <w:rFonts w:ascii="Arial" w:hAnsi="Arial" w:cs="Arial"/>
          <w:sz w:val="22"/>
          <w:szCs w:val="22"/>
        </w:rPr>
        <w:t xml:space="preserve">; wetland </w:t>
      </w:r>
      <w:r w:rsidRPr="00BF4AA8">
        <w:rPr>
          <w:rFonts w:ascii="Arial" w:hAnsi="Arial" w:cs="Arial"/>
          <w:b/>
          <w:bCs/>
          <w:sz w:val="22"/>
          <w:szCs w:val="22"/>
        </w:rPr>
        <w:t>~1,800 ha</w:t>
      </w:r>
      <w:r w:rsidRPr="00BF4AA8">
        <w:rPr>
          <w:rFonts w:ascii="Arial" w:hAnsi="Arial" w:cs="Arial"/>
          <w:sz w:val="22"/>
          <w:szCs w:val="22"/>
        </w:rPr>
        <w:t xml:space="preserve">) and adjacent nearshore use areas. Here, coherence depends on maintaining consistent rules between protected-area management and coastal development controls so that habitat protection </w:t>
      </w:r>
      <w:proofErr w:type="gramStart"/>
      <w:r w:rsidRPr="00BF4AA8">
        <w:rPr>
          <w:rFonts w:ascii="Arial" w:hAnsi="Arial" w:cs="Arial"/>
          <w:sz w:val="22"/>
          <w:szCs w:val="22"/>
        </w:rPr>
        <w:t>is not undermined</w:t>
      </w:r>
      <w:proofErr w:type="gramEnd"/>
      <w:r w:rsidRPr="00BF4AA8">
        <w:rPr>
          <w:rFonts w:ascii="Arial" w:hAnsi="Arial" w:cs="Arial"/>
          <w:sz w:val="22"/>
          <w:szCs w:val="22"/>
        </w:rPr>
        <w:t xml:space="preserve"> by land-based pressures.</w:t>
      </w:r>
    </w:p>
    <w:p w:rsidR="00F04907"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sz w:val="22"/>
          <w:szCs w:val="22"/>
        </w:rPr>
        <w:t xml:space="preserve">Third, the </w:t>
      </w:r>
      <w:proofErr w:type="spellStart"/>
      <w:r w:rsidRPr="00BF4AA8">
        <w:rPr>
          <w:rFonts w:ascii="Arial" w:hAnsi="Arial" w:cs="Arial"/>
          <w:b/>
          <w:bCs/>
          <w:sz w:val="22"/>
          <w:szCs w:val="22"/>
        </w:rPr>
        <w:t>Kep</w:t>
      </w:r>
      <w:proofErr w:type="spellEnd"/>
      <w:r w:rsidRPr="00BF4AA8">
        <w:rPr>
          <w:rFonts w:ascii="Arial" w:hAnsi="Arial" w:cs="Arial"/>
          <w:b/>
          <w:bCs/>
          <w:sz w:val="22"/>
          <w:szCs w:val="22"/>
        </w:rPr>
        <w:t>–</w:t>
      </w:r>
      <w:proofErr w:type="spellStart"/>
      <w:r w:rsidRPr="00BF4AA8">
        <w:rPr>
          <w:rFonts w:ascii="Arial" w:hAnsi="Arial" w:cs="Arial"/>
          <w:b/>
          <w:bCs/>
          <w:sz w:val="22"/>
          <w:szCs w:val="22"/>
        </w:rPr>
        <w:t>Kampot</w:t>
      </w:r>
      <w:proofErr w:type="spellEnd"/>
      <w:r w:rsidRPr="00BF4AA8">
        <w:rPr>
          <w:rFonts w:ascii="Arial" w:hAnsi="Arial" w:cs="Arial"/>
          <w:b/>
          <w:bCs/>
          <w:sz w:val="22"/>
          <w:szCs w:val="22"/>
        </w:rPr>
        <w:t xml:space="preserve"> and offshore archipelago systems</w:t>
      </w:r>
      <w:r w:rsidRPr="00BF4AA8">
        <w:rPr>
          <w:rFonts w:ascii="Arial" w:hAnsi="Arial" w:cs="Arial"/>
          <w:sz w:val="22"/>
          <w:szCs w:val="22"/>
        </w:rPr>
        <w:t xml:space="preserve"> </w:t>
      </w:r>
      <w:proofErr w:type="gramStart"/>
      <w:r w:rsidRPr="00BF4AA8">
        <w:rPr>
          <w:rFonts w:ascii="Arial" w:hAnsi="Arial" w:cs="Arial"/>
          <w:sz w:val="22"/>
          <w:szCs w:val="22"/>
        </w:rPr>
        <w:t>are characterized</w:t>
      </w:r>
      <w:proofErr w:type="gramEnd"/>
      <w:r w:rsidRPr="00BF4AA8">
        <w:rPr>
          <w:rFonts w:ascii="Arial" w:hAnsi="Arial" w:cs="Arial"/>
          <w:sz w:val="22"/>
          <w:szCs w:val="22"/>
        </w:rPr>
        <w:t xml:space="preserve"> by coral-reef and seagrass mosaics managed through both protected-area and fisheries instruments. </w:t>
      </w:r>
      <w:r w:rsidRPr="00BF4AA8">
        <w:rPr>
          <w:rFonts w:ascii="Arial" w:hAnsi="Arial" w:cs="Arial"/>
          <w:b/>
          <w:bCs/>
          <w:sz w:val="22"/>
          <w:szCs w:val="22"/>
        </w:rPr>
        <w:t xml:space="preserve">Koh Po and Koh </w:t>
      </w:r>
      <w:proofErr w:type="spellStart"/>
      <w:r w:rsidRPr="00BF4AA8">
        <w:rPr>
          <w:rFonts w:ascii="Arial" w:hAnsi="Arial" w:cs="Arial"/>
          <w:b/>
          <w:bCs/>
          <w:sz w:val="22"/>
          <w:szCs w:val="22"/>
        </w:rPr>
        <w:t>Tonsay</w:t>
      </w:r>
      <w:proofErr w:type="spellEnd"/>
      <w:r w:rsidRPr="00BF4AA8">
        <w:rPr>
          <w:rFonts w:ascii="Arial" w:hAnsi="Arial" w:cs="Arial"/>
          <w:b/>
          <w:bCs/>
          <w:sz w:val="22"/>
          <w:szCs w:val="22"/>
        </w:rPr>
        <w:t xml:space="preserve"> Archipelago (11,307 ha)</w:t>
      </w:r>
      <w:r w:rsidRPr="00BF4AA8">
        <w:rPr>
          <w:rFonts w:ascii="Arial" w:hAnsi="Arial" w:cs="Arial"/>
          <w:sz w:val="22"/>
          <w:szCs w:val="22"/>
        </w:rPr>
        <w:t xml:space="preserve"> contains mapped reef and seagrass features (</w:t>
      </w:r>
      <w:r w:rsidRPr="00BF4AA8">
        <w:rPr>
          <w:rFonts w:ascii="Arial" w:hAnsi="Arial" w:cs="Arial"/>
          <w:b/>
          <w:bCs/>
          <w:sz w:val="22"/>
          <w:szCs w:val="22"/>
        </w:rPr>
        <w:t>67.83 ha reef; 3,900 ha seagrass</w:t>
      </w:r>
      <w:r w:rsidRPr="00BF4AA8">
        <w:rPr>
          <w:rFonts w:ascii="Arial" w:hAnsi="Arial" w:cs="Arial"/>
          <w:sz w:val="22"/>
          <w:szCs w:val="22"/>
        </w:rPr>
        <w:t xml:space="preserve">). The </w:t>
      </w:r>
      <w:r w:rsidRPr="00BF4AA8">
        <w:rPr>
          <w:rFonts w:ascii="Arial" w:hAnsi="Arial" w:cs="Arial"/>
          <w:b/>
          <w:bCs/>
          <w:sz w:val="22"/>
          <w:szCs w:val="22"/>
        </w:rPr>
        <w:t>Koh Rong seascape</w:t>
      </w:r>
      <w:r w:rsidRPr="00BF4AA8">
        <w:rPr>
          <w:rFonts w:ascii="Arial" w:hAnsi="Arial" w:cs="Arial"/>
          <w:sz w:val="22"/>
          <w:szCs w:val="22"/>
        </w:rPr>
        <w:t xml:space="preserve"> illustrates the most important overlap issue: </w:t>
      </w:r>
      <w:r w:rsidRPr="00BF4AA8">
        <w:rPr>
          <w:rFonts w:ascii="Arial" w:hAnsi="Arial" w:cs="Arial"/>
          <w:b/>
          <w:bCs/>
          <w:sz w:val="22"/>
          <w:szCs w:val="22"/>
        </w:rPr>
        <w:t>Koh Rong MFMA (2016; 40,535 ha)</w:t>
      </w:r>
      <w:r w:rsidRPr="00BF4AA8">
        <w:rPr>
          <w:rFonts w:ascii="Arial" w:hAnsi="Arial" w:cs="Arial"/>
          <w:sz w:val="22"/>
          <w:szCs w:val="22"/>
        </w:rPr>
        <w:t xml:space="preserve"> predates </w:t>
      </w:r>
      <w:r w:rsidRPr="00BF4AA8">
        <w:rPr>
          <w:rFonts w:ascii="Arial" w:hAnsi="Arial" w:cs="Arial"/>
          <w:b/>
          <w:bCs/>
          <w:sz w:val="22"/>
          <w:szCs w:val="22"/>
        </w:rPr>
        <w:t>Koh Rong Marine National Park (2018; 52,498 ha)</w:t>
      </w:r>
      <w:r w:rsidRPr="00BF4AA8">
        <w:rPr>
          <w:rFonts w:ascii="Arial" w:hAnsi="Arial" w:cs="Arial"/>
          <w:sz w:val="22"/>
          <w:szCs w:val="22"/>
        </w:rPr>
        <w:t xml:space="preserve">, and both aim to protect key habitats (reef </w:t>
      </w:r>
      <w:r w:rsidRPr="00BF4AA8">
        <w:rPr>
          <w:rFonts w:ascii="Arial" w:hAnsi="Arial" w:cs="Arial"/>
          <w:b/>
          <w:bCs/>
          <w:sz w:val="22"/>
          <w:szCs w:val="22"/>
        </w:rPr>
        <w:t>~1,198 ha</w:t>
      </w:r>
      <w:r w:rsidRPr="00BF4AA8">
        <w:rPr>
          <w:rFonts w:ascii="Arial" w:hAnsi="Arial" w:cs="Arial"/>
          <w:sz w:val="22"/>
          <w:szCs w:val="22"/>
        </w:rPr>
        <w:t xml:space="preserve">; seagrass </w:t>
      </w:r>
      <w:r w:rsidRPr="00BF4AA8">
        <w:rPr>
          <w:rFonts w:ascii="Arial" w:hAnsi="Arial" w:cs="Arial"/>
          <w:b/>
          <w:bCs/>
          <w:sz w:val="22"/>
          <w:szCs w:val="22"/>
        </w:rPr>
        <w:t>~1,360 ha</w:t>
      </w:r>
      <w:r w:rsidRPr="00BF4AA8">
        <w:rPr>
          <w:rFonts w:ascii="Arial" w:hAnsi="Arial" w:cs="Arial"/>
          <w:sz w:val="22"/>
          <w:szCs w:val="22"/>
        </w:rPr>
        <w:t xml:space="preserve">; </w:t>
      </w:r>
      <w:proofErr w:type="gramStart"/>
      <w:r w:rsidRPr="00BF4AA8">
        <w:rPr>
          <w:rFonts w:ascii="Arial" w:hAnsi="Arial" w:cs="Arial"/>
          <w:sz w:val="22"/>
          <w:szCs w:val="22"/>
        </w:rPr>
        <w:t>plus</w:t>
      </w:r>
      <w:proofErr w:type="gramEnd"/>
      <w:r w:rsidRPr="00BF4AA8">
        <w:rPr>
          <w:rFonts w:ascii="Arial" w:hAnsi="Arial" w:cs="Arial"/>
          <w:sz w:val="22"/>
          <w:szCs w:val="22"/>
        </w:rPr>
        <w:t xml:space="preserve"> additional reef values reported in the MFMA row). To avoid confusion and compliance gaps, </w:t>
      </w:r>
      <w:proofErr w:type="spellStart"/>
      <w:r w:rsidRPr="00BF4AA8">
        <w:rPr>
          <w:rFonts w:ascii="Arial" w:hAnsi="Arial" w:cs="Arial"/>
          <w:sz w:val="22"/>
          <w:szCs w:val="22"/>
        </w:rPr>
        <w:t>MoE</w:t>
      </w:r>
      <w:proofErr w:type="spellEnd"/>
      <w:r w:rsidRPr="00BF4AA8">
        <w:rPr>
          <w:rFonts w:ascii="Arial" w:hAnsi="Arial" w:cs="Arial"/>
          <w:sz w:val="22"/>
          <w:szCs w:val="22"/>
        </w:rPr>
        <w:t>–</w:t>
      </w:r>
      <w:proofErr w:type="spellStart"/>
      <w:r w:rsidRPr="00BF4AA8">
        <w:rPr>
          <w:rFonts w:ascii="Arial" w:hAnsi="Arial" w:cs="Arial"/>
          <w:sz w:val="22"/>
          <w:szCs w:val="22"/>
        </w:rPr>
        <w:t>FiA</w:t>
      </w:r>
      <w:proofErr w:type="spellEnd"/>
      <w:r w:rsidRPr="00BF4AA8">
        <w:rPr>
          <w:rFonts w:ascii="Arial" w:hAnsi="Arial" w:cs="Arial"/>
          <w:sz w:val="22"/>
          <w:szCs w:val="22"/>
        </w:rPr>
        <w:t xml:space="preserve"> coordination </w:t>
      </w:r>
      <w:proofErr w:type="gramStart"/>
      <w:r w:rsidRPr="00BF4AA8">
        <w:rPr>
          <w:rFonts w:ascii="Arial" w:hAnsi="Arial" w:cs="Arial"/>
          <w:sz w:val="22"/>
          <w:szCs w:val="22"/>
        </w:rPr>
        <w:t>is required</w:t>
      </w:r>
      <w:proofErr w:type="gramEnd"/>
      <w:r w:rsidRPr="00BF4AA8">
        <w:rPr>
          <w:rFonts w:ascii="Arial" w:hAnsi="Arial" w:cs="Arial"/>
          <w:sz w:val="22"/>
          <w:szCs w:val="22"/>
        </w:rPr>
        <w:t xml:space="preserve"> to align </w:t>
      </w:r>
      <w:r w:rsidRPr="00BF4AA8">
        <w:rPr>
          <w:rFonts w:ascii="Arial" w:hAnsi="Arial" w:cs="Arial"/>
          <w:b/>
          <w:bCs/>
          <w:sz w:val="22"/>
          <w:szCs w:val="22"/>
        </w:rPr>
        <w:t>boundaries, zoning rules, permitted gears/activities, and enforcement responsibilities</w:t>
      </w:r>
      <w:r w:rsidRPr="00BF4AA8">
        <w:rPr>
          <w:rFonts w:ascii="Arial" w:hAnsi="Arial" w:cs="Arial"/>
          <w:sz w:val="22"/>
          <w:szCs w:val="22"/>
        </w:rPr>
        <w:t xml:space="preserve"> within the shared seascape.</w:t>
      </w:r>
    </w:p>
    <w:p w:rsidR="00B10668" w:rsidRPr="00BF4AA8" w:rsidRDefault="00F04907" w:rsidP="00F04907">
      <w:pPr>
        <w:spacing w:before="100" w:beforeAutospacing="1" w:after="100" w:afterAutospacing="1"/>
        <w:jc w:val="both"/>
        <w:rPr>
          <w:rFonts w:ascii="Arial" w:hAnsi="Arial" w:cs="Arial"/>
          <w:sz w:val="22"/>
          <w:szCs w:val="22"/>
        </w:rPr>
      </w:pPr>
      <w:r w:rsidRPr="00BF4AA8">
        <w:rPr>
          <w:rFonts w:ascii="Arial" w:hAnsi="Arial" w:cs="Arial"/>
          <w:b/>
          <w:bCs/>
          <w:sz w:val="22"/>
          <w:szCs w:val="22"/>
        </w:rPr>
        <w:t>Community co-management</w:t>
      </w:r>
      <w:r w:rsidRPr="00BF4AA8">
        <w:rPr>
          <w:rFonts w:ascii="Arial" w:hAnsi="Arial" w:cs="Arial"/>
          <w:sz w:val="22"/>
          <w:szCs w:val="22"/>
        </w:rPr>
        <w:t xml:space="preserve"> underpins these systems by strengthening local compliance and stewardship, especially in inshore fisheries and mangrove blocks. Where community rules intersect with protected-area zoning or MFMA regulations, harmonized </w:t>
      </w:r>
      <w:proofErr w:type="gramStart"/>
      <w:r w:rsidRPr="00BF4AA8">
        <w:rPr>
          <w:rFonts w:ascii="Arial" w:hAnsi="Arial" w:cs="Arial"/>
          <w:sz w:val="22"/>
          <w:szCs w:val="22"/>
        </w:rPr>
        <w:t>boundaries</w:t>
      </w:r>
      <w:proofErr w:type="gramEnd"/>
      <w:r w:rsidRPr="00BF4AA8">
        <w:rPr>
          <w:rFonts w:ascii="Arial" w:hAnsi="Arial" w:cs="Arial"/>
          <w:sz w:val="22"/>
          <w:szCs w:val="22"/>
        </w:rPr>
        <w:t xml:space="preserve"> and clear user guidance (maps, signage, and agreed enforcement protocols) are essential to ensure that communities, tourism operators and fishers face a single, coherent spatial management framework.</w:t>
      </w:r>
    </w:p>
    <w:p w:rsidR="002675E0" w:rsidRPr="00BF4AA8" w:rsidRDefault="002675E0" w:rsidP="00BF4AA8">
      <w:pPr>
        <w:pStyle w:val="Heading1"/>
      </w:pPr>
      <w:bookmarkStart w:id="31" w:name="_Toc216681461"/>
      <w:r w:rsidRPr="00BF4AA8">
        <w:t>Annex 5</w:t>
      </w:r>
      <w:bookmarkEnd w:id="31"/>
    </w:p>
    <w:p w:rsidR="00B10668" w:rsidRPr="00BF4AA8" w:rsidRDefault="00B10668" w:rsidP="00BF4AA8">
      <w:pPr>
        <w:pStyle w:val="Heading2"/>
        <w:keepNext/>
        <w:adjustRightInd w:val="0"/>
        <w:snapToGrid w:val="0"/>
        <w:spacing w:before="240" w:beforeAutospacing="0" w:after="120" w:afterAutospacing="0"/>
        <w:rPr>
          <w:rFonts w:ascii="Arial" w:hAnsi="Arial" w:cs="Arial"/>
          <w:color w:val="0070C0"/>
          <w:sz w:val="22"/>
          <w:szCs w:val="22"/>
        </w:rPr>
      </w:pPr>
      <w:bookmarkStart w:id="32" w:name="_Toc216681462"/>
      <w:r w:rsidRPr="00BF4AA8">
        <w:rPr>
          <w:rFonts w:ascii="Arial" w:hAnsi="Arial" w:cs="Arial"/>
          <w:color w:val="0070C0"/>
          <w:sz w:val="22"/>
          <w:szCs w:val="22"/>
        </w:rPr>
        <w:t>Annex 5-</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Annex_5-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1</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Data Sources</w:t>
      </w:r>
      <w:bookmarkEnd w:id="32"/>
    </w:p>
    <w:p w:rsidR="00B10668" w:rsidRPr="00BF4AA8" w:rsidRDefault="00B10668" w:rsidP="00B10668">
      <w:pPr>
        <w:keepNext/>
        <w:spacing w:before="240" w:after="120"/>
        <w:rPr>
          <w:rFonts w:ascii="Arial" w:hAnsi="Arial" w:cs="Arial"/>
          <w:color w:val="002060"/>
          <w:sz w:val="22"/>
          <w:szCs w:val="22"/>
        </w:rPr>
      </w:pPr>
      <w:r w:rsidRPr="00BF4AA8">
        <w:rPr>
          <w:rFonts w:ascii="Arial" w:hAnsi="Arial" w:cs="Arial"/>
          <w:color w:val="002060"/>
          <w:sz w:val="22"/>
          <w:szCs w:val="22"/>
        </w:rPr>
        <w:t>Annex Table 5-</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Annex_Table_5-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1</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National Data</w:t>
      </w:r>
    </w:p>
    <w:tbl>
      <w:tblPr>
        <w:tblStyle w:val="GridTable4-Accent5"/>
        <w:tblW w:w="0" w:type="auto"/>
        <w:tblLook w:val="04A0" w:firstRow="1" w:lastRow="0" w:firstColumn="1" w:lastColumn="0" w:noHBand="0" w:noVBand="1"/>
      </w:tblPr>
      <w:tblGrid>
        <w:gridCol w:w="2003"/>
        <w:gridCol w:w="1417"/>
        <w:gridCol w:w="2726"/>
        <w:gridCol w:w="2342"/>
      </w:tblGrid>
      <w:tr w:rsidR="00B10668"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jc w:val="center"/>
              <w:rPr>
                <w:rFonts w:ascii="Arial" w:hAnsi="Arial" w:cs="Arial"/>
                <w:sz w:val="22"/>
                <w:szCs w:val="22"/>
              </w:rPr>
            </w:pPr>
            <w:r w:rsidRPr="00BF4AA8">
              <w:rPr>
                <w:rFonts w:ascii="Arial" w:hAnsi="Arial" w:cs="Arial"/>
                <w:sz w:val="22"/>
                <w:szCs w:val="22"/>
              </w:rPr>
              <w:t>Source</w:t>
            </w:r>
          </w:p>
        </w:tc>
        <w:tc>
          <w:tcPr>
            <w:tcW w:w="0" w:type="auto"/>
            <w:hideMark/>
          </w:tcPr>
          <w:p w:rsidR="00B10668" w:rsidRPr="00BF4AA8" w:rsidRDefault="00B1066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Coverage</w:t>
            </w:r>
          </w:p>
        </w:tc>
        <w:tc>
          <w:tcPr>
            <w:tcW w:w="0" w:type="auto"/>
            <w:hideMark/>
          </w:tcPr>
          <w:p w:rsidR="00B10668" w:rsidRPr="00BF4AA8" w:rsidRDefault="00B1066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Variables</w:t>
            </w:r>
          </w:p>
        </w:tc>
        <w:tc>
          <w:tcPr>
            <w:tcW w:w="0" w:type="auto"/>
            <w:hideMark/>
          </w:tcPr>
          <w:p w:rsidR="00B10668" w:rsidRPr="00BF4AA8" w:rsidRDefault="00B1066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Notes</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sz w:val="22"/>
                <w:szCs w:val="22"/>
              </w:rPr>
            </w:pPr>
            <w:r w:rsidRPr="00BF4AA8">
              <w:rPr>
                <w:rStyle w:val="Strong"/>
                <w:rFonts w:ascii="Arial" w:hAnsi="Arial" w:cs="Arial"/>
                <w:sz w:val="22"/>
                <w:szCs w:val="22"/>
              </w:rPr>
              <w:t>Fisheries Administration (</w:t>
            </w:r>
            <w:proofErr w:type="spellStart"/>
            <w:r w:rsidRPr="00BF4AA8">
              <w:rPr>
                <w:rStyle w:val="Strong"/>
                <w:rFonts w:ascii="Arial" w:hAnsi="Arial" w:cs="Arial"/>
                <w:sz w:val="22"/>
                <w:szCs w:val="22"/>
              </w:rPr>
              <w:t>FiA</w:t>
            </w:r>
            <w:proofErr w:type="spellEnd"/>
            <w:r w:rsidRPr="00BF4AA8">
              <w:rPr>
                <w:rStyle w:val="Strong"/>
                <w:rFonts w:ascii="Arial" w:hAnsi="Arial" w:cs="Arial"/>
                <w:sz w:val="22"/>
                <w:szCs w:val="22"/>
              </w:rPr>
              <w:t>), MAFF</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2012–2024</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Marine capture production (by province, gear); aquaculture output; vessel registration; licensing; MCS operations</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Core national dataset; annual time-series used for production and spatial analysis</w:t>
            </w:r>
          </w:p>
        </w:tc>
      </w:tr>
      <w:tr w:rsidR="00B1066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sz w:val="22"/>
                <w:szCs w:val="22"/>
              </w:rPr>
            </w:pPr>
            <w:proofErr w:type="spellStart"/>
            <w:r w:rsidRPr="00BF4AA8">
              <w:rPr>
                <w:rStyle w:val="Strong"/>
                <w:rFonts w:ascii="Arial" w:hAnsi="Arial" w:cs="Arial"/>
                <w:sz w:val="22"/>
                <w:szCs w:val="22"/>
              </w:rPr>
              <w:t>FiA</w:t>
            </w:r>
            <w:proofErr w:type="spellEnd"/>
            <w:r w:rsidRPr="00BF4AA8">
              <w:rPr>
                <w:rStyle w:val="Strong"/>
                <w:rFonts w:ascii="Arial" w:hAnsi="Arial" w:cs="Arial"/>
                <w:sz w:val="22"/>
                <w:szCs w:val="22"/>
              </w:rPr>
              <w:t xml:space="preserve"> Marine Fishing Vessel Census (2018)</w:t>
            </w:r>
          </w:p>
        </w:tc>
        <w:tc>
          <w:tcPr>
            <w:tcW w:w="0" w:type="auto"/>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coastal provinces</w:t>
            </w:r>
          </w:p>
        </w:tc>
        <w:tc>
          <w:tcPr>
            <w:tcW w:w="0" w:type="auto"/>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Vessel numbers, size class, engine power, registration status</w:t>
            </w:r>
          </w:p>
        </w:tc>
        <w:tc>
          <w:tcPr>
            <w:tcW w:w="0" w:type="auto"/>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Main fleet-structure baseline</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sz w:val="22"/>
                <w:szCs w:val="22"/>
              </w:rPr>
            </w:pPr>
            <w:proofErr w:type="spellStart"/>
            <w:r w:rsidRPr="00BF4AA8">
              <w:rPr>
                <w:rStyle w:val="Strong"/>
                <w:rFonts w:ascii="Arial" w:hAnsi="Arial" w:cs="Arial"/>
                <w:sz w:val="22"/>
                <w:szCs w:val="22"/>
              </w:rPr>
              <w:t>FiA</w:t>
            </w:r>
            <w:proofErr w:type="spellEnd"/>
            <w:r w:rsidRPr="00BF4AA8">
              <w:rPr>
                <w:rStyle w:val="Strong"/>
                <w:rFonts w:ascii="Arial" w:hAnsi="Arial" w:cs="Arial"/>
                <w:sz w:val="22"/>
                <w:szCs w:val="22"/>
              </w:rPr>
              <w:t xml:space="preserve"> Strategic Planning Framework 2025–2034</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Policy</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Governance, management priorities</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Used for institutional interpretation</w:t>
            </w:r>
          </w:p>
        </w:tc>
      </w:tr>
      <w:tr w:rsidR="00B1066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sz w:val="22"/>
                <w:szCs w:val="22"/>
              </w:rPr>
            </w:pPr>
            <w:r w:rsidRPr="00BF4AA8">
              <w:rPr>
                <w:rStyle w:val="Strong"/>
                <w:rFonts w:ascii="Arial" w:hAnsi="Arial" w:cs="Arial"/>
                <w:sz w:val="22"/>
                <w:szCs w:val="22"/>
              </w:rPr>
              <w:t>National Fisheries Law (2006)</w:t>
            </w:r>
          </w:p>
        </w:tc>
        <w:tc>
          <w:tcPr>
            <w:tcW w:w="0" w:type="auto"/>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Policy</w:t>
            </w:r>
          </w:p>
        </w:tc>
        <w:tc>
          <w:tcPr>
            <w:tcW w:w="0" w:type="auto"/>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Legal framework</w:t>
            </w:r>
          </w:p>
        </w:tc>
        <w:tc>
          <w:tcPr>
            <w:tcW w:w="0" w:type="auto"/>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Used for governance context</w:t>
            </w:r>
          </w:p>
        </w:tc>
      </w:tr>
    </w:tbl>
    <w:p w:rsidR="00B10668" w:rsidRPr="00BF4AA8" w:rsidRDefault="00B10668" w:rsidP="00B10668">
      <w:pPr>
        <w:rPr>
          <w:rFonts w:ascii="Arial" w:hAnsi="Arial" w:cs="Arial"/>
          <w:sz w:val="22"/>
          <w:szCs w:val="22"/>
        </w:rPr>
      </w:pPr>
    </w:p>
    <w:p w:rsidR="00B10668" w:rsidRPr="00BF4AA8" w:rsidRDefault="00B10668" w:rsidP="00B10668">
      <w:pPr>
        <w:keepNext/>
        <w:spacing w:before="240" w:after="120"/>
        <w:rPr>
          <w:rFonts w:ascii="Arial" w:hAnsi="Arial" w:cs="Arial"/>
          <w:color w:val="002060"/>
          <w:sz w:val="22"/>
          <w:szCs w:val="22"/>
        </w:rPr>
      </w:pPr>
      <w:r w:rsidRPr="00BF4AA8">
        <w:rPr>
          <w:rFonts w:ascii="Arial" w:hAnsi="Arial" w:cs="Arial"/>
          <w:color w:val="002060"/>
          <w:sz w:val="22"/>
          <w:szCs w:val="22"/>
        </w:rPr>
        <w:t>Annex Table 5-</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Annex_Table_5-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2</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Regional &amp; International Data</w:t>
      </w:r>
    </w:p>
    <w:tbl>
      <w:tblPr>
        <w:tblStyle w:val="GridTable4-Accent5"/>
        <w:tblW w:w="0" w:type="auto"/>
        <w:tblLook w:val="04A0" w:firstRow="1" w:lastRow="0" w:firstColumn="1" w:lastColumn="0" w:noHBand="0" w:noVBand="1"/>
      </w:tblPr>
      <w:tblGrid>
        <w:gridCol w:w="2442"/>
        <w:gridCol w:w="3592"/>
        <w:gridCol w:w="2454"/>
      </w:tblGrid>
      <w:tr w:rsidR="00B10668"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jc w:val="center"/>
              <w:rPr>
                <w:rFonts w:ascii="Arial" w:hAnsi="Arial" w:cs="Arial"/>
                <w:sz w:val="22"/>
                <w:szCs w:val="22"/>
              </w:rPr>
            </w:pPr>
            <w:r w:rsidRPr="00BF4AA8">
              <w:rPr>
                <w:rFonts w:ascii="Arial" w:hAnsi="Arial" w:cs="Arial"/>
                <w:sz w:val="22"/>
                <w:szCs w:val="22"/>
              </w:rPr>
              <w:t>Source</w:t>
            </w:r>
          </w:p>
        </w:tc>
        <w:tc>
          <w:tcPr>
            <w:tcW w:w="0" w:type="auto"/>
            <w:hideMark/>
          </w:tcPr>
          <w:p w:rsidR="00B10668" w:rsidRPr="00BF4AA8" w:rsidRDefault="00B1066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Variables</w:t>
            </w:r>
          </w:p>
        </w:tc>
        <w:tc>
          <w:tcPr>
            <w:tcW w:w="0" w:type="auto"/>
            <w:hideMark/>
          </w:tcPr>
          <w:p w:rsidR="00B10668" w:rsidRPr="00BF4AA8" w:rsidRDefault="00B1066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Notes</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b w:val="0"/>
                <w:bCs w:val="0"/>
                <w:sz w:val="22"/>
                <w:szCs w:val="22"/>
              </w:rPr>
            </w:pPr>
            <w:r w:rsidRPr="00BF4AA8">
              <w:rPr>
                <w:rStyle w:val="Strong"/>
                <w:rFonts w:ascii="Arial" w:hAnsi="Arial" w:cs="Arial"/>
                <w:sz w:val="22"/>
                <w:szCs w:val="22"/>
              </w:rPr>
              <w:t xml:space="preserve">FAO </w:t>
            </w:r>
            <w:proofErr w:type="spellStart"/>
            <w:r w:rsidRPr="00BF4AA8">
              <w:rPr>
                <w:rStyle w:val="Strong"/>
                <w:rFonts w:ascii="Arial" w:hAnsi="Arial" w:cs="Arial"/>
                <w:sz w:val="22"/>
                <w:szCs w:val="22"/>
              </w:rPr>
              <w:t>FishStatJ</w:t>
            </w:r>
            <w:proofErr w:type="spellEnd"/>
            <w:r w:rsidRPr="00BF4AA8">
              <w:rPr>
                <w:rStyle w:val="Strong"/>
                <w:rFonts w:ascii="Arial" w:hAnsi="Arial" w:cs="Arial"/>
                <w:sz w:val="22"/>
                <w:szCs w:val="22"/>
              </w:rPr>
              <w:t xml:space="preserve"> (1950–2022)</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Capture production, aquaculture production, landed value</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Basis for long-term national trend analysis</w:t>
            </w:r>
          </w:p>
        </w:tc>
      </w:tr>
      <w:tr w:rsidR="00B1066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sz w:val="22"/>
                <w:szCs w:val="22"/>
              </w:rPr>
            </w:pPr>
            <w:r w:rsidRPr="00BF4AA8">
              <w:rPr>
                <w:rStyle w:val="Strong"/>
                <w:rFonts w:ascii="Arial" w:hAnsi="Arial" w:cs="Arial"/>
                <w:sz w:val="22"/>
                <w:szCs w:val="22"/>
              </w:rPr>
              <w:t>Sea Around Us (SAUP) (1950–2019)</w:t>
            </w:r>
          </w:p>
        </w:tc>
        <w:tc>
          <w:tcPr>
            <w:tcW w:w="0" w:type="auto"/>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Reconstructed catch; stock-status plots; MTI, </w:t>
            </w:r>
            <w:proofErr w:type="spellStart"/>
            <w:r w:rsidRPr="00BF4AA8">
              <w:rPr>
                <w:rFonts w:ascii="Arial" w:hAnsi="Arial" w:cs="Arial"/>
                <w:sz w:val="22"/>
                <w:szCs w:val="22"/>
              </w:rPr>
              <w:t>FiB</w:t>
            </w:r>
            <w:proofErr w:type="spellEnd"/>
            <w:r w:rsidRPr="00BF4AA8">
              <w:rPr>
                <w:rFonts w:ascii="Arial" w:hAnsi="Arial" w:cs="Arial"/>
                <w:sz w:val="22"/>
                <w:szCs w:val="22"/>
              </w:rPr>
              <w:t>, PPR indices; subsidy estimates</w:t>
            </w:r>
          </w:p>
        </w:tc>
        <w:tc>
          <w:tcPr>
            <w:tcW w:w="0" w:type="auto"/>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Used for ecological and economic indicators</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sz w:val="22"/>
                <w:szCs w:val="22"/>
              </w:rPr>
            </w:pPr>
            <w:r w:rsidRPr="00BF4AA8">
              <w:rPr>
                <w:rStyle w:val="Strong"/>
                <w:rFonts w:ascii="Arial" w:hAnsi="Arial" w:cs="Arial"/>
                <w:sz w:val="22"/>
                <w:szCs w:val="22"/>
              </w:rPr>
              <w:t>SEAFDEC Trawl &amp; Resource Surveys (1966–2019)</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Demersal CPUE, biomass proxies, species assemblages</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Key baseline for biomass depletion</w:t>
            </w:r>
          </w:p>
        </w:tc>
      </w:tr>
      <w:tr w:rsidR="00B1066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sz w:val="22"/>
                <w:szCs w:val="22"/>
              </w:rPr>
            </w:pPr>
            <w:proofErr w:type="spellStart"/>
            <w:r w:rsidRPr="00BF4AA8">
              <w:rPr>
                <w:rStyle w:val="Strong"/>
                <w:rFonts w:ascii="Arial" w:hAnsi="Arial" w:cs="Arial"/>
                <w:sz w:val="22"/>
                <w:szCs w:val="22"/>
              </w:rPr>
              <w:t>MaFReDI</w:t>
            </w:r>
            <w:proofErr w:type="spellEnd"/>
            <w:r w:rsidRPr="00BF4AA8">
              <w:rPr>
                <w:rStyle w:val="Strong"/>
                <w:rFonts w:ascii="Arial" w:hAnsi="Arial" w:cs="Arial"/>
                <w:sz w:val="22"/>
                <w:szCs w:val="22"/>
              </w:rPr>
              <w:t xml:space="preserve"> (2023)</w:t>
            </w:r>
          </w:p>
        </w:tc>
        <w:tc>
          <w:tcPr>
            <w:tcW w:w="0" w:type="auto"/>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Coastal CPUE monitoring</w:t>
            </w:r>
          </w:p>
        </w:tc>
        <w:tc>
          <w:tcPr>
            <w:tcW w:w="0" w:type="auto"/>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Complements SEAFDEC trend</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sz w:val="22"/>
                <w:szCs w:val="22"/>
              </w:rPr>
            </w:pPr>
            <w:r w:rsidRPr="00BF4AA8">
              <w:rPr>
                <w:rStyle w:val="Strong"/>
                <w:rFonts w:ascii="Arial" w:hAnsi="Arial" w:cs="Arial"/>
                <w:sz w:val="22"/>
                <w:szCs w:val="22"/>
              </w:rPr>
              <w:t>Peer-reviewed literature</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Ecosystem condition (reefs, seagrass, biodiversity)</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Used for contextual validation</w:t>
            </w:r>
          </w:p>
        </w:tc>
      </w:tr>
    </w:tbl>
    <w:p w:rsidR="00B10668" w:rsidRPr="00BF4AA8" w:rsidRDefault="00B10668" w:rsidP="00B10668">
      <w:pPr>
        <w:rPr>
          <w:rFonts w:ascii="Arial" w:hAnsi="Arial" w:cs="Arial"/>
          <w:sz w:val="22"/>
          <w:szCs w:val="22"/>
        </w:rPr>
      </w:pPr>
    </w:p>
    <w:p w:rsidR="00B10668" w:rsidRPr="00BF4AA8" w:rsidRDefault="00B10668" w:rsidP="00BF4AA8">
      <w:pPr>
        <w:pStyle w:val="Heading2"/>
        <w:keepNext/>
        <w:adjustRightInd w:val="0"/>
        <w:snapToGrid w:val="0"/>
        <w:spacing w:before="240" w:beforeAutospacing="0" w:after="120" w:afterAutospacing="0"/>
        <w:rPr>
          <w:rFonts w:ascii="Arial" w:hAnsi="Arial" w:cs="Arial"/>
          <w:color w:val="0070C0"/>
          <w:sz w:val="22"/>
          <w:szCs w:val="22"/>
        </w:rPr>
      </w:pPr>
      <w:bookmarkStart w:id="33" w:name="_Toc216681463"/>
      <w:r w:rsidRPr="00BF4AA8">
        <w:rPr>
          <w:rFonts w:ascii="Arial" w:hAnsi="Arial" w:cs="Arial"/>
          <w:color w:val="0070C0"/>
          <w:sz w:val="22"/>
          <w:szCs w:val="22"/>
        </w:rPr>
        <w:t>Annex 5-</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Annex_5-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2</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Indicator Metadata Tables</w:t>
      </w:r>
      <w:bookmarkEnd w:id="33"/>
    </w:p>
    <w:p w:rsidR="00B10668" w:rsidRPr="00BF4AA8" w:rsidRDefault="00B10668" w:rsidP="00B10668">
      <w:pPr>
        <w:rPr>
          <w:rStyle w:val="Strong"/>
          <w:rFonts w:ascii="Arial" w:hAnsi="Arial" w:cs="Arial"/>
          <w:b w:val="0"/>
          <w:bCs w:val="0"/>
          <w:i/>
          <w:iCs/>
          <w:color w:val="0070C0"/>
          <w:sz w:val="22"/>
          <w:szCs w:val="22"/>
        </w:rPr>
      </w:pPr>
      <w:r w:rsidRPr="00BF4AA8">
        <w:rPr>
          <w:rStyle w:val="Strong"/>
          <w:rFonts w:ascii="Arial" w:hAnsi="Arial" w:cs="Arial"/>
          <w:color w:val="0070C0"/>
          <w:sz w:val="22"/>
          <w:szCs w:val="22"/>
        </w:rPr>
        <w:t>Production Indicators</w:t>
      </w:r>
    </w:p>
    <w:p w:rsidR="00B10668" w:rsidRPr="00BF4AA8" w:rsidRDefault="00B10668" w:rsidP="00B10668">
      <w:pPr>
        <w:pStyle w:val="NormalWeb"/>
        <w:jc w:val="both"/>
        <w:rPr>
          <w:rFonts w:ascii="Arial" w:hAnsi="Arial" w:cs="Arial"/>
          <w:sz w:val="22"/>
          <w:szCs w:val="22"/>
        </w:rPr>
      </w:pPr>
      <w:r w:rsidRPr="00BF4AA8">
        <w:rPr>
          <w:rFonts w:ascii="Arial" w:hAnsi="Arial" w:cs="Arial"/>
          <w:sz w:val="22"/>
          <w:szCs w:val="22"/>
        </w:rPr>
        <w:t>Cambodia’s fisheries comprise inland, marine and aquaculture components, together contributing significantly to food security and rural livelihoods. Inland systems dominate national catch due to the Tonle Sap–Mekong flood-pulse system, while marine production—though smaller—remains central to coastal economies. Long-term expansion of motorized fleets, increased fishing effort and gear modernization have contributed to higher landings but also heightened ecological pressures. Aquaculture has emerged as a major contributor to national production, although marine and brackish components remain modest and concentrated geographically.</w:t>
      </w:r>
    </w:p>
    <w:p w:rsidR="00B10668" w:rsidRPr="00BF4AA8" w:rsidRDefault="00B10668" w:rsidP="00B10668">
      <w:pPr>
        <w:pStyle w:val="NormalWeb"/>
        <w:jc w:val="both"/>
        <w:rPr>
          <w:rFonts w:ascii="Arial" w:hAnsi="Arial" w:cs="Arial"/>
          <w:sz w:val="22"/>
          <w:szCs w:val="22"/>
        </w:rPr>
      </w:pPr>
      <w:r w:rsidRPr="00BF4AA8">
        <w:rPr>
          <w:rFonts w:ascii="Arial" w:hAnsi="Arial" w:cs="Arial"/>
          <w:sz w:val="22"/>
          <w:szCs w:val="22"/>
        </w:rPr>
        <w:t xml:space="preserve">Aquaculture has grown rapidly since the early 2000s, dominated by freshwater pond and cage culture (≈95% of output). Marine and brackish aquaculture remain limited but strategic, focusing on groupers, </w:t>
      </w:r>
      <w:proofErr w:type="gramStart"/>
      <w:r w:rsidRPr="00BF4AA8">
        <w:rPr>
          <w:rFonts w:ascii="Arial" w:hAnsi="Arial" w:cs="Arial"/>
          <w:sz w:val="22"/>
          <w:szCs w:val="22"/>
        </w:rPr>
        <w:t>seabass</w:t>
      </w:r>
      <w:proofErr w:type="gramEnd"/>
      <w:r w:rsidRPr="00BF4AA8">
        <w:rPr>
          <w:rFonts w:ascii="Arial" w:hAnsi="Arial" w:cs="Arial"/>
          <w:sz w:val="22"/>
          <w:szCs w:val="22"/>
        </w:rPr>
        <w:t xml:space="preserve"> and shellfish in Koh Kong, Preah Sihanouk and </w:t>
      </w:r>
      <w:proofErr w:type="spellStart"/>
      <w:r w:rsidRPr="00BF4AA8">
        <w:rPr>
          <w:rFonts w:ascii="Arial" w:hAnsi="Arial" w:cs="Arial"/>
          <w:sz w:val="22"/>
          <w:szCs w:val="22"/>
        </w:rPr>
        <w:t>Kampot</w:t>
      </w:r>
      <w:proofErr w:type="spellEnd"/>
      <w:r w:rsidRPr="00BF4AA8">
        <w:rPr>
          <w:rFonts w:ascii="Arial" w:hAnsi="Arial" w:cs="Arial"/>
          <w:sz w:val="22"/>
          <w:szCs w:val="22"/>
        </w:rPr>
        <w:t>. Coastal aquaculture has recently contracted due to land constraints, disease outbreaks, salinity change and rising operational costs. Climate stress (salinity intrusion, higher water temperature) and weak biosecurity further affect productivity. Expansion potential exists but requires improved planning, hatchery capacity and environmental safeguards.</w:t>
      </w:r>
    </w:p>
    <w:p w:rsidR="00B10668" w:rsidRPr="00BF4AA8" w:rsidRDefault="00B10668" w:rsidP="00B10668">
      <w:pPr>
        <w:pStyle w:val="NormalWeb"/>
        <w:jc w:val="both"/>
        <w:rPr>
          <w:rFonts w:ascii="Arial" w:hAnsi="Arial" w:cs="Arial"/>
          <w:sz w:val="22"/>
          <w:szCs w:val="22"/>
        </w:rPr>
      </w:pPr>
      <w:r w:rsidRPr="00BF4AA8">
        <w:rPr>
          <w:rFonts w:ascii="Arial" w:hAnsi="Arial" w:cs="Arial"/>
          <w:color w:val="0070C0"/>
          <w:sz w:val="22"/>
          <w:szCs w:val="22"/>
        </w:rPr>
        <w:t>Annex Table 5-</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Annex_Table_5-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3</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Production Indicators</w:t>
      </w:r>
    </w:p>
    <w:tbl>
      <w:tblPr>
        <w:tblStyle w:val="GridTable4-Accent5"/>
        <w:tblW w:w="0" w:type="auto"/>
        <w:tblLook w:val="04A0" w:firstRow="1" w:lastRow="0" w:firstColumn="1" w:lastColumn="0" w:noHBand="0" w:noVBand="1"/>
      </w:tblPr>
      <w:tblGrid>
        <w:gridCol w:w="2055"/>
        <w:gridCol w:w="2374"/>
        <w:gridCol w:w="1366"/>
        <w:gridCol w:w="1135"/>
        <w:gridCol w:w="1558"/>
      </w:tblGrid>
      <w:tr w:rsidR="00B10668"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jc w:val="center"/>
              <w:rPr>
                <w:rFonts w:ascii="Arial" w:hAnsi="Arial" w:cs="Arial"/>
                <w:sz w:val="22"/>
                <w:szCs w:val="22"/>
              </w:rPr>
            </w:pPr>
            <w:r w:rsidRPr="00BF4AA8">
              <w:rPr>
                <w:rFonts w:ascii="Arial" w:hAnsi="Arial" w:cs="Arial"/>
                <w:sz w:val="22"/>
                <w:szCs w:val="22"/>
              </w:rPr>
              <w:t>Indicator</w:t>
            </w:r>
          </w:p>
        </w:tc>
        <w:tc>
          <w:tcPr>
            <w:tcW w:w="0" w:type="auto"/>
            <w:hideMark/>
          </w:tcPr>
          <w:p w:rsidR="00B10668" w:rsidRPr="00BF4AA8" w:rsidRDefault="00B1066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Definition</w:t>
            </w:r>
          </w:p>
        </w:tc>
        <w:tc>
          <w:tcPr>
            <w:tcW w:w="0" w:type="auto"/>
            <w:hideMark/>
          </w:tcPr>
          <w:p w:rsidR="00B10668" w:rsidRPr="00BF4AA8" w:rsidRDefault="00B1066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Units</w:t>
            </w:r>
          </w:p>
        </w:tc>
        <w:tc>
          <w:tcPr>
            <w:tcW w:w="0" w:type="auto"/>
            <w:hideMark/>
          </w:tcPr>
          <w:p w:rsidR="00B10668" w:rsidRPr="00BF4AA8" w:rsidRDefault="00B1066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Data Source</w:t>
            </w:r>
          </w:p>
        </w:tc>
        <w:tc>
          <w:tcPr>
            <w:tcW w:w="0" w:type="auto"/>
            <w:hideMark/>
          </w:tcPr>
          <w:p w:rsidR="00B10668" w:rsidRPr="00BF4AA8" w:rsidRDefault="00B1066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Temporal Coverage</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sz w:val="22"/>
                <w:szCs w:val="22"/>
              </w:rPr>
            </w:pPr>
            <w:r w:rsidRPr="00BF4AA8">
              <w:rPr>
                <w:rFonts w:ascii="Arial" w:hAnsi="Arial" w:cs="Arial"/>
                <w:sz w:val="22"/>
                <w:szCs w:val="22"/>
              </w:rPr>
              <w:t>Total capture production</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Combined inland + marine capture</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tonnes</w:t>
            </w:r>
            <w:proofErr w:type="spellEnd"/>
            <w:r w:rsidRPr="00BF4AA8">
              <w:rPr>
                <w:rFonts w:ascii="Arial" w:hAnsi="Arial" w:cs="Arial"/>
                <w:sz w:val="22"/>
                <w:szCs w:val="22"/>
              </w:rPr>
              <w:t>/year</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FAO; </w:t>
            </w:r>
            <w:proofErr w:type="spellStart"/>
            <w:r w:rsidRPr="00BF4AA8">
              <w:rPr>
                <w:rFonts w:ascii="Arial" w:hAnsi="Arial" w:cs="Arial"/>
                <w:sz w:val="22"/>
                <w:szCs w:val="22"/>
              </w:rPr>
              <w:t>FiA</w:t>
            </w:r>
            <w:proofErr w:type="spellEnd"/>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1950–2024</w:t>
            </w:r>
          </w:p>
        </w:tc>
      </w:tr>
      <w:tr w:rsidR="00B1066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sz w:val="22"/>
                <w:szCs w:val="22"/>
              </w:rPr>
            </w:pPr>
            <w:r w:rsidRPr="00BF4AA8">
              <w:rPr>
                <w:rFonts w:ascii="Arial" w:hAnsi="Arial" w:cs="Arial"/>
                <w:sz w:val="22"/>
                <w:szCs w:val="22"/>
              </w:rPr>
              <w:t>Marine capture (by province)</w:t>
            </w:r>
          </w:p>
        </w:tc>
        <w:tc>
          <w:tcPr>
            <w:tcW w:w="0" w:type="auto"/>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Marine landings by coastal province</w:t>
            </w:r>
          </w:p>
        </w:tc>
        <w:tc>
          <w:tcPr>
            <w:tcW w:w="0" w:type="auto"/>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tonnes</w:t>
            </w:r>
            <w:proofErr w:type="spellEnd"/>
            <w:r w:rsidRPr="00BF4AA8">
              <w:rPr>
                <w:rFonts w:ascii="Arial" w:hAnsi="Arial" w:cs="Arial"/>
                <w:sz w:val="22"/>
                <w:szCs w:val="22"/>
              </w:rPr>
              <w:t>/year</w:t>
            </w:r>
          </w:p>
        </w:tc>
        <w:tc>
          <w:tcPr>
            <w:tcW w:w="0" w:type="auto"/>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FiA</w:t>
            </w:r>
            <w:proofErr w:type="spellEnd"/>
          </w:p>
        </w:tc>
        <w:tc>
          <w:tcPr>
            <w:tcW w:w="0" w:type="auto"/>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2012–2024</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sz w:val="22"/>
                <w:szCs w:val="22"/>
              </w:rPr>
            </w:pPr>
            <w:r w:rsidRPr="00BF4AA8">
              <w:rPr>
                <w:rFonts w:ascii="Arial" w:hAnsi="Arial" w:cs="Arial"/>
                <w:sz w:val="22"/>
                <w:szCs w:val="22"/>
              </w:rPr>
              <w:t>Aquaculture production</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Freshwater, brackish, marine farmed output</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tonnes</w:t>
            </w:r>
            <w:proofErr w:type="spellEnd"/>
            <w:r w:rsidRPr="00BF4AA8">
              <w:rPr>
                <w:rFonts w:ascii="Arial" w:hAnsi="Arial" w:cs="Arial"/>
                <w:sz w:val="22"/>
                <w:szCs w:val="22"/>
              </w:rPr>
              <w:t>/year</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FAO; </w:t>
            </w:r>
            <w:proofErr w:type="spellStart"/>
            <w:r w:rsidRPr="00BF4AA8">
              <w:rPr>
                <w:rFonts w:ascii="Arial" w:hAnsi="Arial" w:cs="Arial"/>
                <w:sz w:val="22"/>
                <w:szCs w:val="22"/>
              </w:rPr>
              <w:t>FiA</w:t>
            </w:r>
            <w:proofErr w:type="spellEnd"/>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1976–2024</w:t>
            </w:r>
          </w:p>
        </w:tc>
      </w:tr>
    </w:tbl>
    <w:p w:rsidR="00B10668" w:rsidRPr="00BF4AA8" w:rsidRDefault="00B10668" w:rsidP="00B10668">
      <w:pPr>
        <w:rPr>
          <w:rFonts w:ascii="Arial" w:hAnsi="Arial" w:cs="Arial"/>
          <w:sz w:val="22"/>
          <w:szCs w:val="22"/>
        </w:rPr>
      </w:pPr>
    </w:p>
    <w:p w:rsidR="00B10668" w:rsidRPr="00BF4AA8" w:rsidRDefault="00B10668" w:rsidP="00BF4AA8">
      <w:pPr>
        <w:pStyle w:val="Heading2"/>
        <w:keepNext/>
        <w:adjustRightInd w:val="0"/>
        <w:snapToGrid w:val="0"/>
        <w:spacing w:before="240" w:beforeAutospacing="0" w:after="120" w:afterAutospacing="0"/>
        <w:rPr>
          <w:rFonts w:ascii="Arial" w:hAnsi="Arial" w:cs="Arial"/>
          <w:color w:val="0070C0"/>
          <w:sz w:val="22"/>
          <w:szCs w:val="22"/>
        </w:rPr>
      </w:pPr>
      <w:bookmarkStart w:id="34" w:name="_Toc216681464"/>
      <w:bookmarkStart w:id="35" w:name="_Ref215232534"/>
      <w:r w:rsidRPr="00BF4AA8">
        <w:rPr>
          <w:rFonts w:ascii="Arial" w:hAnsi="Arial" w:cs="Arial"/>
          <w:color w:val="0070C0"/>
          <w:sz w:val="22"/>
          <w:szCs w:val="22"/>
        </w:rPr>
        <w:t>Annex 5-</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Annex_5-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3</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Explanatory note for marine catches by gear type</w:t>
      </w:r>
      <w:bookmarkEnd w:id="34"/>
      <w:r w:rsidRPr="00BF4AA8">
        <w:rPr>
          <w:rFonts w:ascii="Arial" w:hAnsi="Arial" w:cs="Arial"/>
          <w:color w:val="0070C0"/>
          <w:sz w:val="22"/>
          <w:szCs w:val="22"/>
        </w:rPr>
        <w:t xml:space="preserve"> </w:t>
      </w:r>
    </w:p>
    <w:p w:rsidR="00B10668" w:rsidRPr="00BF4AA8" w:rsidRDefault="00B10668" w:rsidP="00B10668">
      <w:pPr>
        <w:spacing w:before="100" w:beforeAutospacing="1" w:after="100" w:afterAutospacing="1"/>
        <w:jc w:val="both"/>
        <w:rPr>
          <w:rFonts w:ascii="Arial" w:hAnsi="Arial" w:cs="Arial"/>
          <w:sz w:val="22"/>
          <w:szCs w:val="22"/>
        </w:rPr>
      </w:pPr>
      <w:r w:rsidRPr="00BF4AA8">
        <w:rPr>
          <w:rFonts w:ascii="Arial" w:hAnsi="Arial" w:cs="Arial"/>
          <w:sz w:val="22"/>
          <w:szCs w:val="22"/>
        </w:rPr>
        <w:t>Cambodia’s marine fisheries show a long-term industrialization trajectory. Gear composition indicates a transition from primarily small-scale and artisanal operations to a more mechanized, trawl-dominated sector after the mid-1980s, followed by moderate diversification with small-scale gears regaining share after 2005. The trawl share averaged 55–60% of marine catch, while purse seines averaged 30–35%. This gear composition aligns with broader regional trends in the Gulf of Thailand, where bottom-trawl and purse-seine fleets expanded rapidly and later plateaued due to overexploitation, fuel costs, and habitat degradation.</w:t>
      </w:r>
    </w:p>
    <w:p w:rsidR="00B10668" w:rsidRPr="00BF4AA8" w:rsidRDefault="00B10668" w:rsidP="00B10668">
      <w:pPr>
        <w:spacing w:before="100" w:beforeAutospacing="1" w:after="100" w:afterAutospacing="1"/>
        <w:jc w:val="both"/>
        <w:rPr>
          <w:rFonts w:ascii="Arial" w:hAnsi="Arial" w:cs="Arial"/>
          <w:sz w:val="22"/>
          <w:szCs w:val="22"/>
        </w:rPr>
      </w:pPr>
      <w:r w:rsidRPr="00BF4AA8">
        <w:rPr>
          <w:rFonts w:ascii="Arial" w:hAnsi="Arial" w:cs="Arial"/>
          <w:b/>
          <w:bCs/>
          <w:sz w:val="22"/>
          <w:szCs w:val="22"/>
        </w:rPr>
        <w:t>Trawl fisheries (bottom trawl &amp; shrimp trawl):</w:t>
      </w:r>
      <w:r w:rsidRPr="00BF4AA8">
        <w:rPr>
          <w:rFonts w:ascii="Arial" w:hAnsi="Arial" w:cs="Arial"/>
          <w:sz w:val="22"/>
          <w:szCs w:val="22"/>
        </w:rPr>
        <w:t xml:space="preserve"> Trawling is the dominant gear in Cambodia’s marine sector. From small beginnings in the 1960s (&lt;1,000 </w:t>
      </w:r>
      <w:proofErr w:type="spellStart"/>
      <w:r w:rsidRPr="00BF4AA8">
        <w:rPr>
          <w:rFonts w:ascii="Arial" w:hAnsi="Arial" w:cs="Arial"/>
          <w:sz w:val="22"/>
          <w:szCs w:val="22"/>
        </w:rPr>
        <w:t>tonnes</w:t>
      </w:r>
      <w:proofErr w:type="spellEnd"/>
      <w:r w:rsidRPr="00BF4AA8">
        <w:rPr>
          <w:rFonts w:ascii="Arial" w:hAnsi="Arial" w:cs="Arial"/>
          <w:sz w:val="22"/>
          <w:szCs w:val="22"/>
        </w:rPr>
        <w:t xml:space="preserve">), trawl catch expanded with mechanization to ~71,900 </w:t>
      </w:r>
      <w:proofErr w:type="spellStart"/>
      <w:r w:rsidRPr="00BF4AA8">
        <w:rPr>
          <w:rFonts w:ascii="Arial" w:hAnsi="Arial" w:cs="Arial"/>
          <w:sz w:val="22"/>
          <w:szCs w:val="22"/>
        </w:rPr>
        <w:t>tonnes</w:t>
      </w:r>
      <w:proofErr w:type="spellEnd"/>
      <w:r w:rsidRPr="00BF4AA8">
        <w:rPr>
          <w:rFonts w:ascii="Arial" w:hAnsi="Arial" w:cs="Arial"/>
          <w:sz w:val="22"/>
          <w:szCs w:val="22"/>
        </w:rPr>
        <w:t xml:space="preserve"> (1970), surged through the 1980s–1990s to 153,700 t (1990), and peaked at ~181,000 </w:t>
      </w:r>
      <w:proofErr w:type="spellStart"/>
      <w:r w:rsidRPr="00BF4AA8">
        <w:rPr>
          <w:rFonts w:ascii="Arial" w:hAnsi="Arial" w:cs="Arial"/>
          <w:sz w:val="22"/>
          <w:szCs w:val="22"/>
        </w:rPr>
        <w:t>tonnes</w:t>
      </w:r>
      <w:proofErr w:type="spellEnd"/>
      <w:r w:rsidRPr="00BF4AA8">
        <w:rPr>
          <w:rFonts w:ascii="Arial" w:hAnsi="Arial" w:cs="Arial"/>
          <w:sz w:val="22"/>
          <w:szCs w:val="22"/>
        </w:rPr>
        <w:t xml:space="preserve"> (2002). Since the mid-2000s it has plateaued around 118,000–138,000 </w:t>
      </w:r>
      <w:proofErr w:type="spellStart"/>
      <w:r w:rsidRPr="00BF4AA8">
        <w:rPr>
          <w:rFonts w:ascii="Arial" w:hAnsi="Arial" w:cs="Arial"/>
          <w:sz w:val="22"/>
          <w:szCs w:val="22"/>
        </w:rPr>
        <w:t>tonnes</w:t>
      </w:r>
      <w:proofErr w:type="spellEnd"/>
      <w:r w:rsidRPr="00BF4AA8">
        <w:rPr>
          <w:rFonts w:ascii="Arial" w:hAnsi="Arial" w:cs="Arial"/>
          <w:sz w:val="22"/>
          <w:szCs w:val="22"/>
        </w:rPr>
        <w:t xml:space="preserve">, consistent with capacity saturation and tighter licensing/zoning. Trawl dominance coincided with rapid sediment resuspension and benthic degradation in coastal waters, particularly in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and Koh Kong, with ecological implications for demersal stock recovery.</w:t>
      </w:r>
    </w:p>
    <w:p w:rsidR="00B10668" w:rsidRPr="00BF4AA8" w:rsidRDefault="00B10668" w:rsidP="00B10668">
      <w:pPr>
        <w:spacing w:before="100" w:beforeAutospacing="1" w:after="100" w:afterAutospacing="1"/>
        <w:jc w:val="both"/>
        <w:rPr>
          <w:rFonts w:ascii="Arial" w:hAnsi="Arial" w:cs="Arial"/>
          <w:sz w:val="22"/>
          <w:szCs w:val="22"/>
        </w:rPr>
      </w:pPr>
      <w:r w:rsidRPr="00BF4AA8">
        <w:rPr>
          <w:rFonts w:ascii="Arial" w:hAnsi="Arial" w:cs="Arial"/>
          <w:b/>
          <w:bCs/>
          <w:sz w:val="22"/>
          <w:szCs w:val="22"/>
        </w:rPr>
        <w:t xml:space="preserve">Purse-seine fisheries: </w:t>
      </w:r>
      <w:r w:rsidRPr="00BF4AA8">
        <w:rPr>
          <w:rFonts w:ascii="Arial" w:hAnsi="Arial" w:cs="Arial"/>
          <w:sz w:val="22"/>
          <w:szCs w:val="22"/>
        </w:rPr>
        <w:t xml:space="preserve">Purse seining emerged in the mid-1960s (~10,400 t) and grew rapidly with synthetic nets and motors, climbing to ~37,100 t (early 1970s) and peaking near 191,500 t (2000) as small </w:t>
      </w:r>
      <w:proofErr w:type="spellStart"/>
      <w:r w:rsidRPr="00BF4AA8">
        <w:rPr>
          <w:rFonts w:ascii="Arial" w:hAnsi="Arial" w:cs="Arial"/>
          <w:sz w:val="22"/>
          <w:szCs w:val="22"/>
        </w:rPr>
        <w:t>pelagics</w:t>
      </w:r>
      <w:proofErr w:type="spellEnd"/>
      <w:r w:rsidRPr="00BF4AA8">
        <w:rPr>
          <w:rFonts w:ascii="Arial" w:hAnsi="Arial" w:cs="Arial"/>
          <w:sz w:val="22"/>
          <w:szCs w:val="22"/>
        </w:rPr>
        <w:t xml:space="preserve"> were heavily targeted. Since 2005, catches have moderated to ~53,000–67,000 t a year. This trend reflects both stock limitation of small </w:t>
      </w:r>
      <w:proofErr w:type="spellStart"/>
      <w:r w:rsidRPr="00BF4AA8">
        <w:rPr>
          <w:rFonts w:ascii="Arial" w:hAnsi="Arial" w:cs="Arial"/>
          <w:sz w:val="22"/>
          <w:szCs w:val="22"/>
        </w:rPr>
        <w:t>pelagics</w:t>
      </w:r>
      <w:proofErr w:type="spellEnd"/>
      <w:r w:rsidRPr="00BF4AA8">
        <w:rPr>
          <w:rFonts w:ascii="Arial" w:hAnsi="Arial" w:cs="Arial"/>
          <w:sz w:val="22"/>
          <w:szCs w:val="22"/>
        </w:rPr>
        <w:t xml:space="preserve"> and tighter </w:t>
      </w:r>
      <w:proofErr w:type="spellStart"/>
      <w:r w:rsidRPr="00BF4AA8">
        <w:rPr>
          <w:rFonts w:ascii="Arial" w:hAnsi="Arial" w:cs="Arial"/>
          <w:sz w:val="22"/>
          <w:szCs w:val="22"/>
        </w:rPr>
        <w:t>FiA</w:t>
      </w:r>
      <w:proofErr w:type="spellEnd"/>
      <w:r w:rsidRPr="00BF4AA8">
        <w:rPr>
          <w:rFonts w:ascii="Arial" w:hAnsi="Arial" w:cs="Arial"/>
          <w:sz w:val="22"/>
          <w:szCs w:val="22"/>
        </w:rPr>
        <w:t xml:space="preserve"> restrictions on encircling nets within 20 m depth zones.</w:t>
      </w:r>
    </w:p>
    <w:p w:rsidR="00B10668" w:rsidRPr="00BF4AA8" w:rsidRDefault="00B10668" w:rsidP="00B10668">
      <w:pPr>
        <w:spacing w:before="100" w:beforeAutospacing="1" w:after="100" w:afterAutospacing="1"/>
        <w:jc w:val="both"/>
        <w:rPr>
          <w:rFonts w:ascii="Arial" w:hAnsi="Arial" w:cs="Arial"/>
          <w:sz w:val="22"/>
          <w:szCs w:val="22"/>
        </w:rPr>
      </w:pPr>
      <w:r w:rsidRPr="00BF4AA8">
        <w:rPr>
          <w:rFonts w:ascii="Arial" w:hAnsi="Arial" w:cs="Arial"/>
          <w:b/>
          <w:bCs/>
          <w:sz w:val="22"/>
          <w:szCs w:val="22"/>
        </w:rPr>
        <w:t xml:space="preserve">Small-scale gears: </w:t>
      </w:r>
      <w:r w:rsidRPr="00BF4AA8">
        <w:rPr>
          <w:rFonts w:ascii="Arial" w:hAnsi="Arial" w:cs="Arial"/>
          <w:sz w:val="22"/>
          <w:szCs w:val="22"/>
        </w:rPr>
        <w:t xml:space="preserve">Subsistence and artisanal fishing gears (gillnets, traps, handlines) rose from ~11,000–14,000 </w:t>
      </w:r>
      <w:proofErr w:type="spellStart"/>
      <w:r w:rsidRPr="00BF4AA8">
        <w:rPr>
          <w:rFonts w:ascii="Arial" w:hAnsi="Arial" w:cs="Arial"/>
          <w:sz w:val="22"/>
          <w:szCs w:val="22"/>
        </w:rPr>
        <w:t>tonnes</w:t>
      </w:r>
      <w:proofErr w:type="spellEnd"/>
      <w:r w:rsidRPr="00BF4AA8">
        <w:rPr>
          <w:rFonts w:ascii="Arial" w:hAnsi="Arial" w:cs="Arial"/>
          <w:sz w:val="22"/>
          <w:szCs w:val="22"/>
        </w:rPr>
        <w:t xml:space="preserve"> in the 1960s–1970s to ~47,000 </w:t>
      </w:r>
      <w:proofErr w:type="spellStart"/>
      <w:r w:rsidRPr="00BF4AA8">
        <w:rPr>
          <w:rFonts w:ascii="Arial" w:hAnsi="Arial" w:cs="Arial"/>
          <w:sz w:val="22"/>
          <w:szCs w:val="22"/>
        </w:rPr>
        <w:t>tonnes</w:t>
      </w:r>
      <w:proofErr w:type="spellEnd"/>
      <w:r w:rsidRPr="00BF4AA8">
        <w:rPr>
          <w:rFonts w:ascii="Arial" w:hAnsi="Arial" w:cs="Arial"/>
          <w:sz w:val="22"/>
          <w:szCs w:val="22"/>
        </w:rPr>
        <w:t xml:space="preserve"> in the mid-1980s, then stabilized around 15,000–18,000 t after 2000—about 10% of marine landings—remaining crucial for food security in provinces such as </w:t>
      </w:r>
      <w:proofErr w:type="spellStart"/>
      <w:r w:rsidRPr="00BF4AA8">
        <w:rPr>
          <w:rFonts w:ascii="Arial" w:hAnsi="Arial" w:cs="Arial"/>
          <w:sz w:val="22"/>
          <w:szCs w:val="22"/>
        </w:rPr>
        <w:t>Kep</w:t>
      </w:r>
      <w:proofErr w:type="spellEnd"/>
      <w:r w:rsidRPr="00BF4AA8">
        <w:rPr>
          <w:rFonts w:ascii="Arial" w:hAnsi="Arial" w:cs="Arial"/>
          <w:sz w:val="22"/>
          <w:szCs w:val="22"/>
        </w:rPr>
        <w:t xml:space="preserve"> and </w:t>
      </w:r>
      <w:proofErr w:type="spellStart"/>
      <w:r w:rsidRPr="00BF4AA8">
        <w:rPr>
          <w:rFonts w:ascii="Arial" w:hAnsi="Arial" w:cs="Arial"/>
          <w:sz w:val="22"/>
          <w:szCs w:val="22"/>
        </w:rPr>
        <w:t>Kampot</w:t>
      </w:r>
      <w:proofErr w:type="spellEnd"/>
      <w:r w:rsidRPr="00BF4AA8">
        <w:rPr>
          <w:rFonts w:ascii="Arial" w:hAnsi="Arial" w:cs="Arial"/>
          <w:sz w:val="22"/>
          <w:szCs w:val="22"/>
        </w:rPr>
        <w:t>. Although quantitatively smaller, small-scale gears underpin food security and coastal livelihoods. Their persistence signals the resilience of artisanal sectors under industrial pressure.</w:t>
      </w:r>
    </w:p>
    <w:p w:rsidR="00B10668" w:rsidRPr="00BF4AA8" w:rsidRDefault="00B10668" w:rsidP="00B10668">
      <w:pPr>
        <w:jc w:val="both"/>
        <w:rPr>
          <w:rFonts w:ascii="Arial" w:hAnsi="Arial" w:cs="Arial"/>
          <w:sz w:val="22"/>
          <w:szCs w:val="22"/>
        </w:rPr>
      </w:pPr>
      <w:r w:rsidRPr="00BF4AA8">
        <w:rPr>
          <w:rFonts w:ascii="Arial" w:hAnsi="Arial" w:cs="Arial"/>
          <w:b/>
          <w:bCs/>
          <w:sz w:val="22"/>
          <w:szCs w:val="22"/>
        </w:rPr>
        <w:t>Other Gears (longlines, handlines, traps, and unknown):</w:t>
      </w:r>
      <w:r w:rsidRPr="00BF4AA8">
        <w:rPr>
          <w:rFonts w:ascii="Arial" w:hAnsi="Arial" w:cs="Arial"/>
          <w:sz w:val="22"/>
          <w:szCs w:val="22"/>
        </w:rPr>
        <w:t xml:space="preserve"> Minor and variable, these gears collectively contributed less than 1% of national marine landings (e.g., 1,986 </w:t>
      </w:r>
      <w:proofErr w:type="spellStart"/>
      <w:r w:rsidRPr="00BF4AA8">
        <w:rPr>
          <w:rFonts w:ascii="Arial" w:hAnsi="Arial" w:cs="Arial"/>
          <w:sz w:val="22"/>
          <w:szCs w:val="22"/>
        </w:rPr>
        <w:t>tonnes</w:t>
      </w:r>
      <w:proofErr w:type="spellEnd"/>
      <w:r w:rsidRPr="00BF4AA8">
        <w:rPr>
          <w:rFonts w:ascii="Arial" w:hAnsi="Arial" w:cs="Arial"/>
          <w:sz w:val="22"/>
          <w:szCs w:val="22"/>
        </w:rPr>
        <w:t xml:space="preserve"> in 2019). Their presence reflects residual multi-gear operations in estuarine and reef zones, often tied to seasonal or subsistence activity.</w:t>
      </w:r>
    </w:p>
    <w:p w:rsidR="00B10668" w:rsidRPr="00BF4AA8" w:rsidRDefault="00B10668" w:rsidP="00B10668">
      <w:pPr>
        <w:pStyle w:val="Caption"/>
        <w:rPr>
          <w:rFonts w:ascii="Arial" w:hAnsi="Arial" w:cs="Arial"/>
          <w:color w:val="0070C0"/>
          <w:sz w:val="22"/>
          <w:szCs w:val="22"/>
        </w:rPr>
      </w:pPr>
    </w:p>
    <w:p w:rsidR="00B10668" w:rsidRPr="00BF4AA8" w:rsidRDefault="00B10668" w:rsidP="00B10668">
      <w:pPr>
        <w:pStyle w:val="Caption"/>
        <w:rPr>
          <w:rFonts w:ascii="Arial" w:hAnsi="Arial" w:cs="Arial"/>
          <w:sz w:val="22"/>
          <w:szCs w:val="22"/>
        </w:rPr>
      </w:pPr>
      <w:bookmarkStart w:id="36" w:name="_Ref215335649"/>
      <w:r w:rsidRPr="00BF4AA8">
        <w:rPr>
          <w:rFonts w:ascii="Arial" w:hAnsi="Arial" w:cs="Arial"/>
          <w:color w:val="0070C0"/>
          <w:sz w:val="22"/>
          <w:szCs w:val="22"/>
        </w:rPr>
        <w:t>Annex Table 5-</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Annex_Table_5-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4</w:t>
      </w:r>
      <w:r w:rsidRPr="00BF4AA8">
        <w:rPr>
          <w:rFonts w:ascii="Arial" w:hAnsi="Arial" w:cs="Arial"/>
          <w:color w:val="0070C0"/>
          <w:sz w:val="22"/>
          <w:szCs w:val="22"/>
        </w:rPr>
        <w:fldChar w:fldCharType="end"/>
      </w:r>
      <w:bookmarkEnd w:id="35"/>
      <w:bookmarkEnd w:id="36"/>
      <w:r w:rsidRPr="00BF4AA8">
        <w:rPr>
          <w:rFonts w:ascii="Arial" w:hAnsi="Arial" w:cs="Arial"/>
          <w:color w:val="0070C0"/>
          <w:sz w:val="22"/>
          <w:szCs w:val="22"/>
        </w:rPr>
        <w:t xml:space="preserve"> Marine Catches by Gear Type in Cambodian Waters (</w:t>
      </w:r>
      <w:proofErr w:type="spellStart"/>
      <w:r w:rsidRPr="00BF4AA8">
        <w:rPr>
          <w:rFonts w:ascii="Arial" w:hAnsi="Arial" w:cs="Arial"/>
          <w:color w:val="0070C0"/>
          <w:sz w:val="22"/>
          <w:szCs w:val="22"/>
        </w:rPr>
        <w:t>tonne</w:t>
      </w:r>
      <w:proofErr w:type="spellEnd"/>
      <w:r w:rsidRPr="00BF4AA8">
        <w:rPr>
          <w:rFonts w:ascii="Arial" w:hAnsi="Arial" w:cs="Arial"/>
          <w:color w:val="0070C0"/>
          <w:sz w:val="22"/>
          <w:szCs w:val="22"/>
        </w:rPr>
        <w:t>)</w:t>
      </w:r>
    </w:p>
    <w:tbl>
      <w:tblPr>
        <w:tblStyle w:val="GridTable4-Accent5"/>
        <w:tblW w:w="8915" w:type="dxa"/>
        <w:tblLook w:val="04A0" w:firstRow="1" w:lastRow="0" w:firstColumn="1" w:lastColumn="0" w:noHBand="0" w:noVBand="1"/>
      </w:tblPr>
      <w:tblGrid>
        <w:gridCol w:w="1783"/>
        <w:gridCol w:w="1783"/>
        <w:gridCol w:w="1783"/>
        <w:gridCol w:w="1783"/>
        <w:gridCol w:w="1783"/>
      </w:tblGrid>
      <w:tr w:rsidR="00B10668" w:rsidRPr="00BF4AA8" w:rsidTr="005F1F5C">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rPr>
                <w:rFonts w:ascii="Arial" w:hAnsi="Arial" w:cs="Arial"/>
                <w:b w:val="0"/>
                <w:bCs w:val="0"/>
                <w:sz w:val="22"/>
                <w:szCs w:val="22"/>
              </w:rPr>
            </w:pPr>
            <w:r w:rsidRPr="00BF4AA8">
              <w:rPr>
                <w:rFonts w:ascii="Arial" w:hAnsi="Arial" w:cs="Arial"/>
                <w:sz w:val="22"/>
                <w:szCs w:val="22"/>
              </w:rPr>
              <w:t>Year</w:t>
            </w:r>
          </w:p>
        </w:tc>
        <w:tc>
          <w:tcPr>
            <w:tcW w:w="1783" w:type="dxa"/>
            <w:noWrap/>
            <w:hideMark/>
          </w:tcPr>
          <w:p w:rsidR="00B10668" w:rsidRPr="00BF4AA8" w:rsidRDefault="00B1066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Fonts w:ascii="Arial" w:hAnsi="Arial" w:cs="Arial"/>
                <w:sz w:val="22"/>
                <w:szCs w:val="22"/>
              </w:rPr>
              <w:t>Trawl</w:t>
            </w:r>
          </w:p>
        </w:tc>
        <w:tc>
          <w:tcPr>
            <w:tcW w:w="1783" w:type="dxa"/>
            <w:noWrap/>
            <w:hideMark/>
          </w:tcPr>
          <w:p w:rsidR="00B10668" w:rsidRPr="00BF4AA8" w:rsidRDefault="00B1066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Fonts w:ascii="Arial" w:hAnsi="Arial" w:cs="Arial"/>
                <w:sz w:val="22"/>
                <w:szCs w:val="22"/>
              </w:rPr>
              <w:t>Purse seine</w:t>
            </w:r>
          </w:p>
        </w:tc>
        <w:tc>
          <w:tcPr>
            <w:tcW w:w="1783" w:type="dxa"/>
            <w:noWrap/>
            <w:hideMark/>
          </w:tcPr>
          <w:p w:rsidR="00B10668" w:rsidRPr="00BF4AA8" w:rsidRDefault="00B1066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Fonts w:ascii="Arial" w:hAnsi="Arial" w:cs="Arial"/>
                <w:sz w:val="22"/>
                <w:szCs w:val="22"/>
              </w:rPr>
              <w:t xml:space="preserve">Small-scale gears </w:t>
            </w:r>
          </w:p>
        </w:tc>
        <w:tc>
          <w:tcPr>
            <w:tcW w:w="1783" w:type="dxa"/>
            <w:noWrap/>
            <w:hideMark/>
          </w:tcPr>
          <w:p w:rsidR="00B10668" w:rsidRPr="00BF4AA8" w:rsidRDefault="00B1066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Fonts w:ascii="Arial" w:hAnsi="Arial" w:cs="Arial"/>
                <w:sz w:val="22"/>
                <w:szCs w:val="22"/>
              </w:rPr>
              <w:t>Others</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1960</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15,900</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1961</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964</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26,237</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1962</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996</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24,180</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1963</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1,034</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17,786</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1964</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1,089</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18,096</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1965</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26,479</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10,448</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11,609</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1966</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35,321</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14,883</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11,926</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1967</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43,991</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18,814</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12,246</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1968</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51,291</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20,873</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12,570</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1969</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58,958</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23,206</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12,897</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1970</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71,875</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33,463</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13,227</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1971</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80,486</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33,790</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13,561</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1972</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87,707</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37,123</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13,898</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1973</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74,207</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35,186</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14,239</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1974</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71,379</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35,891</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14,582</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1975</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69,967</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37,889</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1,493</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1976</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57,369</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32,439</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1,479</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10</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1977</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67,315</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43,224</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1,465</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1978</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69,154</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44,822</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1,451</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1979</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64,043</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43,410</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1,435</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1980</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59,144</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38,878</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11,888</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1981</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74,097</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53,839</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16,622</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35</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1982</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82,655</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57,700</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23,062</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111</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1983</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88,293</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71,940</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30,317</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190</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1984</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87,215</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68,106</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38,579</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89</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1985</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95,021</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75,984</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47,519</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145</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1986</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107,724</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81,110</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47,775</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236</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1987</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131,685</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96,714</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47,498</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543</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1988</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126,418</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99,052</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47,390</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355</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1989</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133,176</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101,253</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46,655</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460</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1990</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153,674</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108,375</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45,622</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523</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1991</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149,627</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110,901</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44,231</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600</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1992</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156,208</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132,184</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42,205</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968</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1993</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156,035</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128,059</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41,608</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778</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1994</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153,105</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145,527</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40,190</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938</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1995</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158,694</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148,784</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38,439</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932</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1996</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158,521</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149,475</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36,372</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714</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1997</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156,602</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148,708</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33,800</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448</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1998</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156,924</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150,390</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42,609</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575</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1999</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172,586</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183,898</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30,423</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1,305</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2000</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174,434</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191,546</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30,148</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1,448</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2001</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177,634</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173,241</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28,500</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1,434</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2002</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181,024</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177,998</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27,119</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1,130</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2003</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180,536</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168,557</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24,992</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1,560</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2004</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175,633</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163,826</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27,258</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1,611</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2005</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176,611</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161,134</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24,637</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1,930</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2006</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158,331</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139,535</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22,450</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1,749</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2007</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152,662</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134,268</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19,854</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1,875</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2008</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96,655</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39,517</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26,085</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2,324</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2009</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104,295</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45,002</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15,442</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1,434</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2010</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92,606</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57,656</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15,677</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1,612</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2011</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114,197</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66,367</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15,876</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1,744</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2012</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119,516</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70,761</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16,526</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1,754</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2013</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111,572</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56,554</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16,747</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1,810</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2014</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125,749</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62,512</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17,111</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1,674</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2015</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119,318</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58,021</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17,397</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1,694</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2016</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118,096</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53,239</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17,334</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1,688</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2017</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118,362</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53,555</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17,607</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1,714</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2018</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138,010</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67,097</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17,630</w:t>
            </w:r>
          </w:p>
        </w:tc>
        <w:tc>
          <w:tcPr>
            <w:tcW w:w="1783"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1,972</w:t>
            </w:r>
          </w:p>
        </w:tc>
      </w:tr>
      <w:tr w:rsidR="00B10668" w:rsidRPr="00BF4AA8" w:rsidTr="005F1F5C">
        <w:trPr>
          <w:trHeight w:val="320"/>
        </w:trPr>
        <w:tc>
          <w:tcPr>
            <w:cnfStyle w:val="001000000000" w:firstRow="0" w:lastRow="0" w:firstColumn="1" w:lastColumn="0" w:oddVBand="0" w:evenVBand="0" w:oddHBand="0" w:evenHBand="0" w:firstRowFirstColumn="0" w:firstRowLastColumn="0" w:lastRowFirstColumn="0" w:lastRowLastColumn="0"/>
            <w:tcW w:w="1783" w:type="dxa"/>
            <w:noWrap/>
            <w:hideMark/>
          </w:tcPr>
          <w:p w:rsidR="00B10668" w:rsidRPr="00BF4AA8" w:rsidRDefault="00B10668" w:rsidP="005F1F5C">
            <w:pPr>
              <w:jc w:val="center"/>
              <w:rPr>
                <w:rFonts w:ascii="Arial" w:hAnsi="Arial" w:cs="Arial"/>
                <w:color w:val="000000"/>
                <w:sz w:val="22"/>
                <w:szCs w:val="22"/>
              </w:rPr>
            </w:pPr>
            <w:r w:rsidRPr="00BF4AA8">
              <w:rPr>
                <w:rFonts w:ascii="Arial" w:hAnsi="Arial" w:cs="Arial"/>
                <w:color w:val="000000"/>
                <w:sz w:val="22"/>
                <w:szCs w:val="22"/>
              </w:rPr>
              <w:t>2019</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128,483</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63,634</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17,644</w:t>
            </w:r>
          </w:p>
        </w:tc>
        <w:tc>
          <w:tcPr>
            <w:tcW w:w="1783"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1,986</w:t>
            </w:r>
          </w:p>
        </w:tc>
      </w:tr>
    </w:tbl>
    <w:p w:rsidR="00B10668" w:rsidRPr="00BF4AA8" w:rsidRDefault="00B10668" w:rsidP="00B10668">
      <w:pPr>
        <w:rPr>
          <w:rFonts w:ascii="Arial" w:hAnsi="Arial" w:cs="Arial"/>
          <w:sz w:val="22"/>
          <w:szCs w:val="22"/>
        </w:rPr>
      </w:pPr>
      <w:r w:rsidRPr="00BF4AA8">
        <w:rPr>
          <w:rFonts w:ascii="Arial" w:hAnsi="Arial" w:cs="Arial"/>
          <w:b/>
          <w:bCs/>
          <w:sz w:val="22"/>
          <w:szCs w:val="22"/>
        </w:rPr>
        <w:t xml:space="preserve">Source: </w:t>
      </w:r>
      <w:r w:rsidRPr="00BF4AA8">
        <w:rPr>
          <w:rFonts w:ascii="Arial" w:hAnsi="Arial" w:cs="Arial"/>
          <w:sz w:val="22"/>
          <w:szCs w:val="22"/>
        </w:rPr>
        <w:t xml:space="preserve">Sea Around Us (SAU), 2024. Catches by Gear in the waters of Cambodia </w:t>
      </w:r>
    </w:p>
    <w:p w:rsidR="00B10668" w:rsidRPr="00BF4AA8" w:rsidRDefault="00B10668" w:rsidP="00B10668">
      <w:pPr>
        <w:pStyle w:val="Caption"/>
        <w:rPr>
          <w:rFonts w:ascii="Arial" w:hAnsi="Arial" w:cs="Arial"/>
          <w:color w:val="0070C0"/>
          <w:sz w:val="22"/>
          <w:szCs w:val="22"/>
        </w:rPr>
      </w:pPr>
    </w:p>
    <w:p w:rsidR="00B10668" w:rsidRPr="00BF4AA8" w:rsidRDefault="00B10668" w:rsidP="00B10668">
      <w:pPr>
        <w:pStyle w:val="Caption"/>
        <w:rPr>
          <w:rFonts w:ascii="Arial" w:hAnsi="Arial" w:cs="Arial"/>
          <w:sz w:val="22"/>
          <w:szCs w:val="22"/>
        </w:rPr>
      </w:pPr>
      <w:bookmarkStart w:id="37" w:name="_Ref215335562"/>
      <w:r w:rsidRPr="00BF4AA8">
        <w:rPr>
          <w:rFonts w:ascii="Arial" w:hAnsi="Arial" w:cs="Arial"/>
          <w:color w:val="0070C0"/>
          <w:sz w:val="22"/>
          <w:szCs w:val="22"/>
        </w:rPr>
        <w:t>Annex Table 5-</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Annex_Table_5-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5</w:t>
      </w:r>
      <w:r w:rsidRPr="00BF4AA8">
        <w:rPr>
          <w:rFonts w:ascii="Arial" w:hAnsi="Arial" w:cs="Arial"/>
          <w:color w:val="0070C0"/>
          <w:sz w:val="22"/>
          <w:szCs w:val="22"/>
        </w:rPr>
        <w:fldChar w:fldCharType="end"/>
      </w:r>
      <w:bookmarkEnd w:id="37"/>
      <w:r w:rsidRPr="00BF4AA8">
        <w:rPr>
          <w:rFonts w:ascii="Arial" w:hAnsi="Arial" w:cs="Arial"/>
          <w:color w:val="0070C0"/>
          <w:sz w:val="22"/>
          <w:szCs w:val="22"/>
        </w:rPr>
        <w:t xml:space="preserve"> Aquaculture production &amp; value (FAO). </w:t>
      </w:r>
    </w:p>
    <w:tbl>
      <w:tblPr>
        <w:tblStyle w:val="GridTable4-Accent5"/>
        <w:tblW w:w="8423" w:type="dxa"/>
        <w:tblLook w:val="04A0" w:firstRow="1" w:lastRow="0" w:firstColumn="1" w:lastColumn="0" w:noHBand="0" w:noVBand="1"/>
      </w:tblPr>
      <w:tblGrid>
        <w:gridCol w:w="705"/>
        <w:gridCol w:w="986"/>
        <w:gridCol w:w="1164"/>
        <w:gridCol w:w="927"/>
        <w:gridCol w:w="867"/>
        <w:gridCol w:w="927"/>
        <w:gridCol w:w="761"/>
        <w:gridCol w:w="987"/>
        <w:gridCol w:w="1164"/>
      </w:tblGrid>
      <w:tr w:rsidR="00B10668" w:rsidRPr="00BF4AA8" w:rsidTr="005F1F5C">
        <w:trPr>
          <w:cnfStyle w:val="100000000000" w:firstRow="1" w:lastRow="0" w:firstColumn="0" w:lastColumn="0" w:oddVBand="0" w:evenVBand="0" w:oddHBand="0"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722" w:type="dxa"/>
            <w:vMerge w:val="restart"/>
            <w:hideMark/>
          </w:tcPr>
          <w:p w:rsidR="00B10668" w:rsidRPr="00BF4AA8" w:rsidRDefault="00B10668" w:rsidP="005F1F5C">
            <w:pPr>
              <w:jc w:val="center"/>
              <w:rPr>
                <w:rFonts w:ascii="Arial" w:hAnsi="Arial" w:cs="Arial"/>
                <w:b w:val="0"/>
                <w:bCs w:val="0"/>
                <w:sz w:val="22"/>
                <w:szCs w:val="22"/>
              </w:rPr>
            </w:pPr>
            <w:r w:rsidRPr="00BF4AA8">
              <w:rPr>
                <w:rFonts w:ascii="Arial" w:hAnsi="Arial" w:cs="Arial"/>
                <w:sz w:val="22"/>
                <w:szCs w:val="22"/>
              </w:rPr>
              <w:t>Year</w:t>
            </w:r>
          </w:p>
        </w:tc>
        <w:tc>
          <w:tcPr>
            <w:tcW w:w="2127" w:type="dxa"/>
            <w:gridSpan w:val="2"/>
            <w:hideMark/>
          </w:tcPr>
          <w:p w:rsidR="00B10668" w:rsidRPr="00BF4AA8" w:rsidRDefault="00B1066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Fonts w:ascii="Arial" w:hAnsi="Arial" w:cs="Arial"/>
                <w:sz w:val="22"/>
                <w:szCs w:val="22"/>
              </w:rPr>
              <w:t xml:space="preserve">Aquaculture </w:t>
            </w:r>
          </w:p>
        </w:tc>
        <w:tc>
          <w:tcPr>
            <w:tcW w:w="1776" w:type="dxa"/>
            <w:gridSpan w:val="2"/>
            <w:hideMark/>
          </w:tcPr>
          <w:p w:rsidR="00B10668" w:rsidRPr="00BF4AA8" w:rsidRDefault="00B1066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Fonts w:ascii="Arial" w:hAnsi="Arial" w:cs="Arial"/>
                <w:sz w:val="22"/>
                <w:szCs w:val="22"/>
              </w:rPr>
              <w:t>Marine</w:t>
            </w:r>
          </w:p>
        </w:tc>
        <w:tc>
          <w:tcPr>
            <w:tcW w:w="1671" w:type="dxa"/>
            <w:gridSpan w:val="2"/>
            <w:hideMark/>
          </w:tcPr>
          <w:p w:rsidR="00B10668" w:rsidRPr="00BF4AA8" w:rsidRDefault="00B1066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proofErr w:type="spellStart"/>
            <w:r w:rsidRPr="00BF4AA8">
              <w:rPr>
                <w:rFonts w:ascii="Arial" w:hAnsi="Arial" w:cs="Arial"/>
                <w:sz w:val="22"/>
                <w:szCs w:val="22"/>
              </w:rPr>
              <w:t>Brackishwater</w:t>
            </w:r>
            <w:proofErr w:type="spellEnd"/>
          </w:p>
        </w:tc>
        <w:tc>
          <w:tcPr>
            <w:tcW w:w="2127" w:type="dxa"/>
            <w:gridSpan w:val="2"/>
            <w:hideMark/>
          </w:tcPr>
          <w:p w:rsidR="00B10668" w:rsidRPr="00BF4AA8" w:rsidRDefault="00B1066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Fonts w:ascii="Arial" w:hAnsi="Arial" w:cs="Arial"/>
                <w:sz w:val="22"/>
                <w:szCs w:val="22"/>
              </w:rPr>
              <w:t>Freshwater</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609"/>
        </w:trPr>
        <w:tc>
          <w:tcPr>
            <w:cnfStyle w:val="001000000000" w:firstRow="0" w:lastRow="0" w:firstColumn="1" w:lastColumn="0" w:oddVBand="0" w:evenVBand="0" w:oddHBand="0" w:evenHBand="0" w:firstRowFirstColumn="0" w:firstRowLastColumn="0" w:lastRowFirstColumn="0" w:lastRowLastColumn="0"/>
            <w:tcW w:w="722" w:type="dxa"/>
            <w:vMerge/>
            <w:hideMark/>
          </w:tcPr>
          <w:p w:rsidR="00B10668" w:rsidRPr="00BF4AA8" w:rsidRDefault="00B10668" w:rsidP="005F1F5C">
            <w:pPr>
              <w:rPr>
                <w:rFonts w:ascii="Arial" w:hAnsi="Arial" w:cs="Arial"/>
                <w:b w:val="0"/>
                <w:bCs w:val="0"/>
                <w:color w:val="002060"/>
                <w:sz w:val="22"/>
                <w:szCs w:val="22"/>
              </w:rPr>
            </w:pPr>
          </w:p>
        </w:tc>
        <w:tc>
          <w:tcPr>
            <w:tcW w:w="976" w:type="dxa"/>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proofErr w:type="spellStart"/>
            <w:r w:rsidRPr="00BF4AA8">
              <w:rPr>
                <w:rFonts w:ascii="Arial" w:hAnsi="Arial" w:cs="Arial"/>
                <w:color w:val="002060"/>
                <w:sz w:val="22"/>
                <w:szCs w:val="22"/>
              </w:rPr>
              <w:t>Tonnes</w:t>
            </w:r>
            <w:proofErr w:type="spellEnd"/>
            <w:r w:rsidRPr="00BF4AA8">
              <w:rPr>
                <w:rFonts w:ascii="Arial" w:hAnsi="Arial" w:cs="Arial"/>
                <w:color w:val="002060"/>
                <w:sz w:val="22"/>
                <w:szCs w:val="22"/>
              </w:rPr>
              <w:t xml:space="preserve"> - live weight</w:t>
            </w:r>
          </w:p>
        </w:tc>
        <w:tc>
          <w:tcPr>
            <w:tcW w:w="1151" w:type="dxa"/>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Value (USD 1000)</w:t>
            </w:r>
          </w:p>
        </w:tc>
        <w:tc>
          <w:tcPr>
            <w:tcW w:w="917" w:type="dxa"/>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proofErr w:type="spellStart"/>
            <w:r w:rsidRPr="00BF4AA8">
              <w:rPr>
                <w:rFonts w:ascii="Arial" w:hAnsi="Arial" w:cs="Arial"/>
                <w:color w:val="002060"/>
                <w:sz w:val="22"/>
                <w:szCs w:val="22"/>
              </w:rPr>
              <w:t>Tonnes</w:t>
            </w:r>
            <w:proofErr w:type="spellEnd"/>
            <w:r w:rsidRPr="00BF4AA8">
              <w:rPr>
                <w:rFonts w:ascii="Arial" w:hAnsi="Arial" w:cs="Arial"/>
                <w:color w:val="002060"/>
                <w:sz w:val="22"/>
                <w:szCs w:val="22"/>
              </w:rPr>
              <w:t xml:space="preserve"> - live weight</w:t>
            </w:r>
          </w:p>
        </w:tc>
        <w:tc>
          <w:tcPr>
            <w:tcW w:w="859" w:type="dxa"/>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Value (USD 1000)</w:t>
            </w:r>
          </w:p>
        </w:tc>
        <w:tc>
          <w:tcPr>
            <w:tcW w:w="917" w:type="dxa"/>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proofErr w:type="spellStart"/>
            <w:r w:rsidRPr="00BF4AA8">
              <w:rPr>
                <w:rFonts w:ascii="Arial" w:hAnsi="Arial" w:cs="Arial"/>
                <w:color w:val="002060"/>
                <w:sz w:val="22"/>
                <w:szCs w:val="22"/>
              </w:rPr>
              <w:t>Tonnes</w:t>
            </w:r>
            <w:proofErr w:type="spellEnd"/>
            <w:r w:rsidRPr="00BF4AA8">
              <w:rPr>
                <w:rFonts w:ascii="Arial" w:hAnsi="Arial" w:cs="Arial"/>
                <w:color w:val="002060"/>
                <w:sz w:val="22"/>
                <w:szCs w:val="22"/>
              </w:rPr>
              <w:t xml:space="preserve"> - live weight</w:t>
            </w:r>
          </w:p>
        </w:tc>
        <w:tc>
          <w:tcPr>
            <w:tcW w:w="754" w:type="dxa"/>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Value (USD 1000)</w:t>
            </w:r>
          </w:p>
        </w:tc>
        <w:tc>
          <w:tcPr>
            <w:tcW w:w="976" w:type="dxa"/>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proofErr w:type="spellStart"/>
            <w:r w:rsidRPr="00BF4AA8">
              <w:rPr>
                <w:rFonts w:ascii="Arial" w:hAnsi="Arial" w:cs="Arial"/>
                <w:color w:val="002060"/>
                <w:sz w:val="22"/>
                <w:szCs w:val="22"/>
              </w:rPr>
              <w:t>Tonnes</w:t>
            </w:r>
            <w:proofErr w:type="spellEnd"/>
            <w:r w:rsidRPr="00BF4AA8">
              <w:rPr>
                <w:rFonts w:ascii="Arial" w:hAnsi="Arial" w:cs="Arial"/>
                <w:color w:val="002060"/>
                <w:sz w:val="22"/>
                <w:szCs w:val="22"/>
              </w:rPr>
              <w:t xml:space="preserve"> - live weight</w:t>
            </w:r>
          </w:p>
        </w:tc>
        <w:tc>
          <w:tcPr>
            <w:tcW w:w="1151" w:type="dxa"/>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Value (USD 1000)</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1976</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w:t>
            </w:r>
          </w:p>
        </w:tc>
        <w:tc>
          <w:tcPr>
            <w:tcW w:w="1151" w:type="dxa"/>
            <w:noWrap/>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w:t>
            </w:r>
          </w:p>
        </w:tc>
        <w:tc>
          <w:tcPr>
            <w:tcW w:w="1151" w:type="dxa"/>
            <w:noWrap/>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1977</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11</w:t>
            </w:r>
          </w:p>
        </w:tc>
        <w:tc>
          <w:tcPr>
            <w:tcW w:w="1151" w:type="dxa"/>
            <w:noWrap/>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11</w:t>
            </w:r>
          </w:p>
        </w:tc>
        <w:tc>
          <w:tcPr>
            <w:tcW w:w="1151" w:type="dxa"/>
            <w:noWrap/>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1978</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25</w:t>
            </w:r>
          </w:p>
        </w:tc>
        <w:tc>
          <w:tcPr>
            <w:tcW w:w="1151" w:type="dxa"/>
            <w:noWrap/>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25</w:t>
            </w:r>
          </w:p>
        </w:tc>
        <w:tc>
          <w:tcPr>
            <w:tcW w:w="1151" w:type="dxa"/>
            <w:noWrap/>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1979</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53</w:t>
            </w:r>
          </w:p>
        </w:tc>
        <w:tc>
          <w:tcPr>
            <w:tcW w:w="1151" w:type="dxa"/>
            <w:noWrap/>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53</w:t>
            </w:r>
          </w:p>
        </w:tc>
        <w:tc>
          <w:tcPr>
            <w:tcW w:w="1151" w:type="dxa"/>
            <w:noWrap/>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1980</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106</w:t>
            </w:r>
          </w:p>
        </w:tc>
        <w:tc>
          <w:tcPr>
            <w:tcW w:w="1151" w:type="dxa"/>
            <w:noWrap/>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106</w:t>
            </w:r>
          </w:p>
        </w:tc>
        <w:tc>
          <w:tcPr>
            <w:tcW w:w="1151" w:type="dxa"/>
            <w:noWrap/>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1981</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240</w:t>
            </w:r>
          </w:p>
        </w:tc>
        <w:tc>
          <w:tcPr>
            <w:tcW w:w="1151" w:type="dxa"/>
            <w:noWrap/>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240</w:t>
            </w:r>
          </w:p>
        </w:tc>
        <w:tc>
          <w:tcPr>
            <w:tcW w:w="1151" w:type="dxa"/>
            <w:noWrap/>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1982</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464</w:t>
            </w:r>
          </w:p>
        </w:tc>
        <w:tc>
          <w:tcPr>
            <w:tcW w:w="1151" w:type="dxa"/>
            <w:noWrap/>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464</w:t>
            </w:r>
          </w:p>
        </w:tc>
        <w:tc>
          <w:tcPr>
            <w:tcW w:w="1151" w:type="dxa"/>
            <w:noWrap/>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1983</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934</w:t>
            </w:r>
          </w:p>
        </w:tc>
        <w:tc>
          <w:tcPr>
            <w:tcW w:w="1151" w:type="dxa"/>
            <w:noWrap/>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934</w:t>
            </w:r>
          </w:p>
        </w:tc>
        <w:tc>
          <w:tcPr>
            <w:tcW w:w="1151" w:type="dxa"/>
            <w:noWrap/>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 </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1984</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1,610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2,543</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1,610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2,543</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1985</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3,000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5,005</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3,000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5,005</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1986</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2,200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3,933</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2,200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3,933</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1987</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2,500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4,757</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2,500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4,757</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1988</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4,600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9,356</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4,600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9,356</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1989</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5,538</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11,900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5,538</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11,900</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1990</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6,400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13,943</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6,400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13,943</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1991</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6,700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15,332</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6,700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15,332</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1992</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8,550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18,869</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8,550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18,869</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1993</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7,900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19,758</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500</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2,860</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7,400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16,898</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1994</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8,200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20,694</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560</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3,248</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7,640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17,446</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1995</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9,511</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23,530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731</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4,240</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8,780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19,291</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1996</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9,600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23,252</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600</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3,480</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9,000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19,772</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1997</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11,800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25,957</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266</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1,569</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11,534</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24,387</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1998</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14,100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28,847</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1,515</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2,764</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12,585</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26,083</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1999</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15,000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29,383</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712</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1,197</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14,288</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28,186</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2000</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14,430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28,275</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428</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656</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14,002</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27,618</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2001</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17,500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28,836</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3,500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875</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537</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1,399</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13,463</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26,562</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2002</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18,250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27,510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3,650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913</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467</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803</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14,133</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25,795</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2003</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26,300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35,726</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7,800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1,950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614</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1,131</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17,886</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32,645</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2004</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37,515</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40,935</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16,840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4,210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775</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1,285</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19,900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35,440</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2005</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44,000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49,947</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18,000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4,500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1,000</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1,707</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25,000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43,740</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2006</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41,010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62,241</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6,810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1,703</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1,400</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1,968</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32,800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58,570</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2007</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35,260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62,767</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1,360</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2,027</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33,900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60,740</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2008</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40,000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70,470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1,560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3,815</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90</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450</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38,350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66,205</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2009</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50,000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91,548</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1,940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4,320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95</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475</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47,965</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86,753</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2010 (a)</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60,000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112,570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2,120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5,060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100</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500</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57,780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107,010</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2011</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72,000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136,850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2,500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6,000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120</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600</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69,380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130,250</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2012</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74,000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144,530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2,810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6,380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160</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800</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71,030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137,350</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2013</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90,000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174,540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3,250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7,100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160</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800</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86,590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166,640</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2014</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120,055</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226,143</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4,350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9,600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170</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850</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115,535</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215,693</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2015</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145,000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270,975</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3,400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8,140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170</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850</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141,430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261,985</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2016</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172,500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321,303</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9,744</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20,476</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1,053</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5,265</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161,703</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295,562</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2017</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207,500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616,770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10,150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21,540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1,070</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5,350</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196,280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589,880</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2018</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254,050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754,210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12,160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24,670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1,280</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6,400</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240,610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723,140</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2019</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307,408</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924,939</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13,988</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27,824</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1,340</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6,700</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292,080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890,415</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2020</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400,400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1,209,505</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18,000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34,720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1,720</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8,600</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380,680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1,166,185</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2021</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348,350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1,051,925</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15,670</w:t>
            </w:r>
          </w:p>
        </w:tc>
        <w:tc>
          <w:tcPr>
            <w:tcW w:w="859"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30,220</w:t>
            </w:r>
          </w:p>
        </w:tc>
        <w:tc>
          <w:tcPr>
            <w:tcW w:w="917"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1,490</w:t>
            </w:r>
          </w:p>
        </w:tc>
        <w:tc>
          <w:tcPr>
            <w:tcW w:w="754"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7,450</w:t>
            </w:r>
          </w:p>
        </w:tc>
        <w:tc>
          <w:tcPr>
            <w:tcW w:w="976"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331,190</w:t>
            </w:r>
          </w:p>
        </w:tc>
        <w:tc>
          <w:tcPr>
            <w:tcW w:w="1151" w:type="dxa"/>
            <w:noWrap/>
            <w:hideMark/>
          </w:tcPr>
          <w:p w:rsidR="00B10668" w:rsidRPr="00BF4AA8" w:rsidRDefault="00B10668"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1,014,255</w:t>
            </w:r>
          </w:p>
        </w:tc>
      </w:tr>
      <w:tr w:rsidR="00B10668" w:rsidRPr="00BF4AA8" w:rsidTr="005F1F5C">
        <w:trPr>
          <w:trHeight w:val="325"/>
        </w:trPr>
        <w:tc>
          <w:tcPr>
            <w:cnfStyle w:val="001000000000" w:firstRow="0" w:lastRow="0" w:firstColumn="1" w:lastColumn="0" w:oddVBand="0" w:evenVBand="0" w:oddHBand="0" w:evenHBand="0" w:firstRowFirstColumn="0" w:firstRowLastColumn="0" w:lastRowFirstColumn="0" w:lastRowLastColumn="0"/>
            <w:tcW w:w="722" w:type="dxa"/>
            <w:noWrap/>
            <w:hideMark/>
          </w:tcPr>
          <w:p w:rsidR="00B10668" w:rsidRPr="00BF4AA8" w:rsidRDefault="00B10668" w:rsidP="005F1F5C">
            <w:pPr>
              <w:jc w:val="center"/>
              <w:rPr>
                <w:rFonts w:ascii="Arial" w:hAnsi="Arial" w:cs="Arial"/>
                <w:color w:val="002060"/>
                <w:sz w:val="22"/>
                <w:szCs w:val="22"/>
              </w:rPr>
            </w:pPr>
            <w:r w:rsidRPr="00BF4AA8">
              <w:rPr>
                <w:rFonts w:ascii="Arial" w:hAnsi="Arial" w:cs="Arial"/>
                <w:color w:val="002060"/>
                <w:sz w:val="22"/>
                <w:szCs w:val="22"/>
              </w:rPr>
              <w:t>2022</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330,600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998,865</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14,890</w:t>
            </w:r>
          </w:p>
        </w:tc>
        <w:tc>
          <w:tcPr>
            <w:tcW w:w="859"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28,810</w:t>
            </w:r>
          </w:p>
        </w:tc>
        <w:tc>
          <w:tcPr>
            <w:tcW w:w="917"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1,400</w:t>
            </w:r>
          </w:p>
        </w:tc>
        <w:tc>
          <w:tcPr>
            <w:tcW w:w="754"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7,000</w:t>
            </w:r>
          </w:p>
        </w:tc>
        <w:tc>
          <w:tcPr>
            <w:tcW w:w="976"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314,310</w:t>
            </w:r>
          </w:p>
        </w:tc>
        <w:tc>
          <w:tcPr>
            <w:tcW w:w="1151" w:type="dxa"/>
            <w:noWrap/>
            <w:hideMark/>
          </w:tcPr>
          <w:p w:rsidR="00B10668" w:rsidRPr="00BF4AA8" w:rsidRDefault="00B10668"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2060"/>
                <w:sz w:val="22"/>
                <w:szCs w:val="22"/>
              </w:rPr>
            </w:pPr>
            <w:r w:rsidRPr="00BF4AA8">
              <w:rPr>
                <w:rFonts w:ascii="Arial" w:hAnsi="Arial" w:cs="Arial"/>
                <w:color w:val="002060"/>
                <w:sz w:val="22"/>
                <w:szCs w:val="22"/>
              </w:rPr>
              <w:t>963,055</w:t>
            </w:r>
          </w:p>
        </w:tc>
      </w:tr>
    </w:tbl>
    <w:p w:rsidR="00B10668" w:rsidRPr="00BF4AA8" w:rsidRDefault="00B10668" w:rsidP="00B10668">
      <w:pPr>
        <w:pStyle w:val="Caption"/>
        <w:rPr>
          <w:rFonts w:ascii="Arial" w:hAnsi="Arial" w:cs="Arial"/>
          <w:color w:val="auto"/>
          <w:sz w:val="22"/>
          <w:szCs w:val="22"/>
        </w:rPr>
      </w:pPr>
      <w:r w:rsidRPr="00BF4AA8">
        <w:rPr>
          <w:rFonts w:ascii="Arial" w:hAnsi="Arial" w:cs="Arial"/>
          <w:b/>
          <w:bCs/>
          <w:color w:val="auto"/>
          <w:sz w:val="22"/>
          <w:szCs w:val="22"/>
        </w:rPr>
        <w:t xml:space="preserve">Source: </w:t>
      </w:r>
      <w:r w:rsidRPr="00BF4AA8">
        <w:rPr>
          <w:rFonts w:ascii="Arial" w:hAnsi="Arial" w:cs="Arial"/>
          <w:color w:val="auto"/>
          <w:sz w:val="22"/>
          <w:szCs w:val="22"/>
        </w:rPr>
        <w:t xml:space="preserve">FAO, 2024. </w:t>
      </w:r>
      <w:proofErr w:type="spellStart"/>
      <w:r w:rsidRPr="00BF4AA8">
        <w:rPr>
          <w:rFonts w:ascii="Arial" w:hAnsi="Arial" w:cs="Arial"/>
          <w:color w:val="auto"/>
          <w:sz w:val="22"/>
          <w:szCs w:val="22"/>
        </w:rPr>
        <w:t>FishStatJ</w:t>
      </w:r>
      <w:proofErr w:type="spellEnd"/>
      <w:r w:rsidRPr="00BF4AA8">
        <w:rPr>
          <w:rFonts w:ascii="Arial" w:hAnsi="Arial" w:cs="Arial"/>
          <w:color w:val="auto"/>
          <w:sz w:val="22"/>
          <w:szCs w:val="22"/>
        </w:rPr>
        <w:t>.</w:t>
      </w:r>
    </w:p>
    <w:p w:rsidR="00B10668" w:rsidRPr="00BF4AA8" w:rsidRDefault="00B10668" w:rsidP="00B10668">
      <w:pPr>
        <w:rPr>
          <w:rStyle w:val="Strong"/>
          <w:rFonts w:ascii="Arial" w:hAnsi="Arial" w:cs="Arial"/>
          <w:i/>
          <w:iCs/>
          <w:color w:val="0070C0"/>
          <w:sz w:val="22"/>
          <w:szCs w:val="22"/>
        </w:rPr>
      </w:pPr>
    </w:p>
    <w:p w:rsidR="00B10668" w:rsidRPr="00BF4AA8" w:rsidRDefault="00B10668" w:rsidP="00B10668">
      <w:pPr>
        <w:rPr>
          <w:rStyle w:val="Strong"/>
          <w:rFonts w:ascii="Arial" w:hAnsi="Arial" w:cs="Arial"/>
          <w:i/>
          <w:iCs/>
          <w:color w:val="0070C0"/>
          <w:sz w:val="22"/>
          <w:szCs w:val="22"/>
        </w:rPr>
      </w:pPr>
      <w:r w:rsidRPr="00BF4AA8">
        <w:rPr>
          <w:rStyle w:val="Strong"/>
          <w:rFonts w:ascii="Arial" w:hAnsi="Arial" w:cs="Arial"/>
          <w:color w:val="0070C0"/>
          <w:sz w:val="22"/>
          <w:szCs w:val="22"/>
        </w:rPr>
        <w:t>B2. Ecological Indicators</w:t>
      </w:r>
    </w:p>
    <w:p w:rsidR="00B10668" w:rsidRPr="00BF4AA8" w:rsidRDefault="00B10668" w:rsidP="00B10668">
      <w:pPr>
        <w:pStyle w:val="NormalWeb"/>
        <w:jc w:val="both"/>
        <w:rPr>
          <w:rFonts w:ascii="Arial" w:hAnsi="Arial" w:cs="Arial"/>
          <w:sz w:val="22"/>
          <w:szCs w:val="22"/>
        </w:rPr>
      </w:pPr>
      <w:r w:rsidRPr="00BF4AA8">
        <w:rPr>
          <w:rFonts w:ascii="Arial" w:hAnsi="Arial" w:cs="Arial"/>
          <w:sz w:val="22"/>
          <w:szCs w:val="22"/>
        </w:rPr>
        <w:t xml:space="preserve">Ecosystem indicators show a persistent decline in trophic integrity and biomass. MTI trends reflect the loss of larger predatory species, while </w:t>
      </w:r>
      <w:proofErr w:type="spellStart"/>
      <w:r w:rsidRPr="00BF4AA8">
        <w:rPr>
          <w:rFonts w:ascii="Arial" w:hAnsi="Arial" w:cs="Arial"/>
          <w:sz w:val="22"/>
          <w:szCs w:val="22"/>
        </w:rPr>
        <w:t>FiB</w:t>
      </w:r>
      <w:proofErr w:type="spellEnd"/>
      <w:r w:rsidRPr="00BF4AA8">
        <w:rPr>
          <w:rFonts w:ascii="Arial" w:hAnsi="Arial" w:cs="Arial"/>
          <w:sz w:val="22"/>
          <w:szCs w:val="22"/>
        </w:rPr>
        <w:t xml:space="preserve"> signals decades of effort expansion compensated by exploitation of lower-trophic species. PPR values exceeding 2.0 during peak years indicate ecological footprints surpassing carrying capacity. CPUE declines (&gt;80% since the 1960s) suggest substantial demersal biomass depletion. Habitat degradation—mangrove loss, seagrass decline, turbidity—further constrains recovery potential. Together, these indicators describe a system under high stress and low resilience.</w:t>
      </w:r>
    </w:p>
    <w:p w:rsidR="00B10668" w:rsidRPr="00BF4AA8" w:rsidRDefault="00B10668" w:rsidP="00B10668">
      <w:pPr>
        <w:pStyle w:val="NormalWeb"/>
        <w:jc w:val="both"/>
        <w:rPr>
          <w:rFonts w:ascii="Arial" w:hAnsi="Arial" w:cs="Arial"/>
          <w:sz w:val="22"/>
          <w:szCs w:val="22"/>
        </w:rPr>
      </w:pPr>
      <w:r w:rsidRPr="00BF4AA8">
        <w:rPr>
          <w:rFonts w:ascii="Arial" w:hAnsi="Arial" w:cs="Arial"/>
          <w:color w:val="0070C0"/>
          <w:sz w:val="22"/>
          <w:szCs w:val="22"/>
        </w:rPr>
        <w:t>Annex Table 5-</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Annex_Table_5-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6</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Ecological Indicators</w:t>
      </w:r>
    </w:p>
    <w:tbl>
      <w:tblPr>
        <w:tblStyle w:val="GridTable4-Accent5"/>
        <w:tblW w:w="0" w:type="auto"/>
        <w:tblLook w:val="04A0" w:firstRow="1" w:lastRow="0" w:firstColumn="1" w:lastColumn="0" w:noHBand="0" w:noVBand="1"/>
      </w:tblPr>
      <w:tblGrid>
        <w:gridCol w:w="1459"/>
        <w:gridCol w:w="4462"/>
        <w:gridCol w:w="1058"/>
        <w:gridCol w:w="1509"/>
      </w:tblGrid>
      <w:tr w:rsidR="00B10668"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jc w:val="center"/>
              <w:rPr>
                <w:rFonts w:ascii="Arial" w:hAnsi="Arial" w:cs="Arial"/>
                <w:sz w:val="22"/>
                <w:szCs w:val="22"/>
              </w:rPr>
            </w:pPr>
            <w:r w:rsidRPr="00BF4AA8">
              <w:rPr>
                <w:rFonts w:ascii="Arial" w:hAnsi="Arial" w:cs="Arial"/>
                <w:sz w:val="22"/>
                <w:szCs w:val="22"/>
              </w:rPr>
              <w:t>Indicator</w:t>
            </w:r>
          </w:p>
        </w:tc>
        <w:tc>
          <w:tcPr>
            <w:tcW w:w="0" w:type="auto"/>
            <w:hideMark/>
          </w:tcPr>
          <w:p w:rsidR="00B10668" w:rsidRPr="00BF4AA8" w:rsidRDefault="00B1066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Definition</w:t>
            </w:r>
          </w:p>
        </w:tc>
        <w:tc>
          <w:tcPr>
            <w:tcW w:w="0" w:type="auto"/>
            <w:hideMark/>
          </w:tcPr>
          <w:p w:rsidR="00B10668" w:rsidRPr="00BF4AA8" w:rsidRDefault="00B1066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Units</w:t>
            </w:r>
          </w:p>
        </w:tc>
        <w:tc>
          <w:tcPr>
            <w:tcW w:w="0" w:type="auto"/>
            <w:hideMark/>
          </w:tcPr>
          <w:p w:rsidR="00B10668" w:rsidRPr="00BF4AA8" w:rsidRDefault="00B10668"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Method Source</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b w:val="0"/>
                <w:bCs w:val="0"/>
                <w:sz w:val="22"/>
                <w:szCs w:val="22"/>
              </w:rPr>
            </w:pPr>
            <w:r w:rsidRPr="00BF4AA8">
              <w:rPr>
                <w:rStyle w:val="Strong"/>
                <w:rFonts w:ascii="Arial" w:hAnsi="Arial" w:cs="Arial"/>
                <w:sz w:val="22"/>
                <w:szCs w:val="22"/>
              </w:rPr>
              <w:t>Marine Trophic Index (MTI)</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Mean trophic level of catch</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Unitless</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SAUP algorithm</w:t>
            </w:r>
          </w:p>
        </w:tc>
      </w:tr>
      <w:tr w:rsidR="00B1066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sz w:val="22"/>
                <w:szCs w:val="22"/>
              </w:rPr>
            </w:pPr>
            <w:r w:rsidRPr="00BF4AA8">
              <w:rPr>
                <w:rStyle w:val="Strong"/>
                <w:rFonts w:ascii="Arial" w:hAnsi="Arial" w:cs="Arial"/>
                <w:sz w:val="22"/>
                <w:szCs w:val="22"/>
              </w:rPr>
              <w:t>Fishing-in-Balance Index (</w:t>
            </w:r>
            <w:proofErr w:type="spellStart"/>
            <w:r w:rsidRPr="00BF4AA8">
              <w:rPr>
                <w:rStyle w:val="Strong"/>
                <w:rFonts w:ascii="Arial" w:hAnsi="Arial" w:cs="Arial"/>
                <w:sz w:val="22"/>
                <w:szCs w:val="22"/>
              </w:rPr>
              <w:t>FiB</w:t>
            </w:r>
            <w:proofErr w:type="spellEnd"/>
            <w:r w:rsidRPr="00BF4AA8">
              <w:rPr>
                <w:rStyle w:val="Strong"/>
                <w:rFonts w:ascii="Arial" w:hAnsi="Arial" w:cs="Arial"/>
                <w:sz w:val="22"/>
                <w:szCs w:val="22"/>
              </w:rPr>
              <w:t>)</w:t>
            </w:r>
          </w:p>
        </w:tc>
        <w:tc>
          <w:tcPr>
            <w:tcW w:w="0" w:type="auto"/>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Expansion/compensation index</w:t>
            </w:r>
          </w:p>
        </w:tc>
        <w:tc>
          <w:tcPr>
            <w:tcW w:w="0" w:type="auto"/>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Unitless</w:t>
            </w:r>
          </w:p>
        </w:tc>
        <w:tc>
          <w:tcPr>
            <w:tcW w:w="0" w:type="auto"/>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Pauly &amp; Christensen (1995)</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sz w:val="22"/>
                <w:szCs w:val="22"/>
              </w:rPr>
            </w:pPr>
            <w:r w:rsidRPr="00BF4AA8">
              <w:rPr>
                <w:rStyle w:val="Strong"/>
                <w:rFonts w:ascii="Arial" w:hAnsi="Arial" w:cs="Arial"/>
                <w:sz w:val="22"/>
                <w:szCs w:val="22"/>
              </w:rPr>
              <w:t>Primary Production Required (PPR)</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PP needed to sustain fisheries</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Fraction of PP</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SAUP</w:t>
            </w:r>
          </w:p>
        </w:tc>
      </w:tr>
      <w:tr w:rsidR="00B10668"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sz w:val="22"/>
                <w:szCs w:val="22"/>
              </w:rPr>
            </w:pPr>
            <w:r w:rsidRPr="00BF4AA8">
              <w:rPr>
                <w:rStyle w:val="Strong"/>
                <w:rFonts w:ascii="Arial" w:hAnsi="Arial" w:cs="Arial"/>
                <w:sz w:val="22"/>
                <w:szCs w:val="22"/>
              </w:rPr>
              <w:t>Stock-status plots</w:t>
            </w:r>
          </w:p>
        </w:tc>
        <w:tc>
          <w:tcPr>
            <w:tcW w:w="0" w:type="auto"/>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Composition of developing/exploited/overfished/collapsed stocks</w:t>
            </w:r>
          </w:p>
        </w:tc>
        <w:tc>
          <w:tcPr>
            <w:tcW w:w="0" w:type="auto"/>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c>
          <w:tcPr>
            <w:tcW w:w="0" w:type="auto"/>
            <w:hideMark/>
          </w:tcPr>
          <w:p w:rsidR="00B10668" w:rsidRPr="00BF4AA8" w:rsidRDefault="00B10668"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SAUP</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sz w:val="22"/>
                <w:szCs w:val="22"/>
              </w:rPr>
            </w:pPr>
            <w:r w:rsidRPr="00BF4AA8">
              <w:rPr>
                <w:rStyle w:val="Strong"/>
                <w:rFonts w:ascii="Arial" w:hAnsi="Arial" w:cs="Arial"/>
                <w:sz w:val="22"/>
                <w:szCs w:val="22"/>
              </w:rPr>
              <w:t>CPUE (demersal)</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Trawl catch per unit effort</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kg/hour</w:t>
            </w:r>
          </w:p>
        </w:tc>
        <w:tc>
          <w:tcPr>
            <w:tcW w:w="0" w:type="auto"/>
            <w:hideMark/>
          </w:tcPr>
          <w:p w:rsidR="00B10668" w:rsidRPr="00BF4AA8" w:rsidRDefault="00B10668"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SEAFDEC; </w:t>
            </w:r>
            <w:proofErr w:type="spellStart"/>
            <w:r w:rsidRPr="00BF4AA8">
              <w:rPr>
                <w:rFonts w:ascii="Arial" w:hAnsi="Arial" w:cs="Arial"/>
                <w:sz w:val="22"/>
                <w:szCs w:val="22"/>
              </w:rPr>
              <w:t>MaFReDI</w:t>
            </w:r>
            <w:proofErr w:type="spellEnd"/>
          </w:p>
        </w:tc>
      </w:tr>
    </w:tbl>
    <w:p w:rsidR="00B10668" w:rsidRPr="00BF4AA8" w:rsidRDefault="00B10668" w:rsidP="00B10668">
      <w:pPr>
        <w:rPr>
          <w:rFonts w:ascii="Arial" w:hAnsi="Arial" w:cs="Arial"/>
          <w:sz w:val="22"/>
          <w:szCs w:val="22"/>
        </w:rPr>
      </w:pPr>
    </w:p>
    <w:p w:rsidR="00B10668" w:rsidRPr="00BF4AA8" w:rsidRDefault="00B10668" w:rsidP="00BF4AA8">
      <w:pPr>
        <w:pStyle w:val="Heading2"/>
        <w:keepNext/>
        <w:adjustRightInd w:val="0"/>
        <w:snapToGrid w:val="0"/>
        <w:spacing w:before="240" w:beforeAutospacing="0" w:after="120" w:afterAutospacing="0"/>
        <w:rPr>
          <w:rStyle w:val="Strong"/>
          <w:rFonts w:ascii="Arial" w:hAnsi="Arial" w:cs="Arial"/>
          <w:i/>
          <w:iCs/>
          <w:color w:val="0070C0"/>
          <w:sz w:val="22"/>
          <w:szCs w:val="22"/>
        </w:rPr>
      </w:pPr>
      <w:bookmarkStart w:id="38" w:name="_Toc216681465"/>
      <w:r w:rsidRPr="00BF4AA8">
        <w:rPr>
          <w:rFonts w:ascii="Arial" w:hAnsi="Arial" w:cs="Arial"/>
          <w:color w:val="0070C0"/>
          <w:sz w:val="22"/>
          <w:szCs w:val="22"/>
        </w:rPr>
        <w:t>Annex 5-</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Annex_5-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4</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Explanatory note for Stock-status plots</w:t>
      </w:r>
      <w:bookmarkEnd w:id="38"/>
    </w:p>
    <w:p w:rsidR="00B10668" w:rsidRPr="00BF4AA8" w:rsidRDefault="00B10668" w:rsidP="00B10668">
      <w:pPr>
        <w:keepNext/>
        <w:spacing w:before="100" w:beforeAutospacing="1" w:after="100" w:afterAutospacing="1"/>
        <w:jc w:val="both"/>
        <w:rPr>
          <w:rFonts w:ascii="Arial" w:hAnsi="Arial" w:cs="Arial"/>
          <w:sz w:val="22"/>
          <w:szCs w:val="22"/>
        </w:rPr>
      </w:pPr>
      <w:r w:rsidRPr="00BF4AA8">
        <w:rPr>
          <w:rFonts w:ascii="Arial" w:hAnsi="Arial" w:cs="Arial"/>
          <w:sz w:val="22"/>
          <w:szCs w:val="22"/>
        </w:rPr>
        <w:t>Cambodia’s marine fisheries have shifted from developing to heavily exploited conditions. The shift from green (Exploited) to orange/red (Over-exploited/Collapsed) means that over time, the Cambodian catch became increasingly dependent on unhealthy stocks. This is unsustainable and signals a fishery in crisis. The rise in the number of over-exploited and collapsed stocks confirms that the problem is not isolated. The entire marine ecosystem is under severe stress, with many distinct populations unable to sustain themselves. Based on the stock-status plots show in the graphs (</w:t>
      </w:r>
      <w:r w:rsidRPr="00BF4AA8">
        <w:rPr>
          <w:rFonts w:ascii="Arial" w:hAnsi="Arial" w:cs="Arial"/>
          <w:sz w:val="22"/>
          <w:szCs w:val="22"/>
        </w:rPr>
        <w:fldChar w:fldCharType="begin"/>
      </w:r>
      <w:r w:rsidRPr="00BF4AA8">
        <w:rPr>
          <w:rFonts w:ascii="Arial" w:hAnsi="Arial" w:cs="Arial"/>
          <w:sz w:val="22"/>
          <w:szCs w:val="22"/>
        </w:rPr>
        <w:instrText xml:space="preserve"> REF _Ref215233906 \h  \* MERGEFORMAT </w:instrText>
      </w:r>
      <w:r w:rsidRPr="00BF4AA8">
        <w:rPr>
          <w:rFonts w:ascii="Arial" w:hAnsi="Arial" w:cs="Arial"/>
          <w:sz w:val="22"/>
          <w:szCs w:val="22"/>
        </w:rPr>
        <w:fldChar w:fldCharType="separate"/>
      </w:r>
      <w:r w:rsidR="00836984">
        <w:rPr>
          <w:rFonts w:ascii="Arial" w:hAnsi="Arial" w:cs="Arial"/>
          <w:b/>
          <w:bCs/>
          <w:sz w:val="22"/>
          <w:szCs w:val="22"/>
        </w:rPr>
        <w:t>Error! Reference source not found.</w:t>
      </w:r>
      <w:r w:rsidRPr="00BF4AA8">
        <w:rPr>
          <w:rFonts w:ascii="Arial" w:hAnsi="Arial" w:cs="Arial"/>
          <w:sz w:val="22"/>
          <w:szCs w:val="22"/>
        </w:rPr>
        <w:fldChar w:fldCharType="end"/>
      </w:r>
      <w:r w:rsidRPr="00BF4AA8">
        <w:rPr>
          <w:rFonts w:ascii="Arial" w:hAnsi="Arial" w:cs="Arial"/>
          <w:sz w:val="22"/>
          <w:szCs w:val="22"/>
        </w:rPr>
        <w:t xml:space="preserve">), the history of Cambodian fisheries can </w:t>
      </w:r>
      <w:proofErr w:type="gramStart"/>
      <w:r w:rsidRPr="00BF4AA8">
        <w:rPr>
          <w:rFonts w:ascii="Arial" w:hAnsi="Arial" w:cs="Arial"/>
          <w:sz w:val="22"/>
          <w:szCs w:val="22"/>
        </w:rPr>
        <w:t>be divided</w:t>
      </w:r>
      <w:proofErr w:type="gramEnd"/>
      <w:r w:rsidRPr="00BF4AA8">
        <w:rPr>
          <w:rFonts w:ascii="Arial" w:hAnsi="Arial" w:cs="Arial"/>
          <w:sz w:val="22"/>
          <w:szCs w:val="22"/>
        </w:rPr>
        <w:t xml:space="preserve"> into three major phases.</w:t>
      </w:r>
    </w:p>
    <w:p w:rsidR="00B10668" w:rsidRPr="00BF4AA8" w:rsidRDefault="00B10668" w:rsidP="00B10668">
      <w:pPr>
        <w:pStyle w:val="ListParagraph"/>
        <w:numPr>
          <w:ilvl w:val="0"/>
          <w:numId w:val="163"/>
        </w:numPr>
        <w:spacing w:before="100" w:beforeAutospacing="1" w:after="100" w:afterAutospacing="1"/>
        <w:jc w:val="both"/>
        <w:rPr>
          <w:rFonts w:ascii="Arial" w:hAnsi="Arial" w:cs="Arial"/>
          <w:sz w:val="22"/>
          <w:szCs w:val="22"/>
        </w:rPr>
      </w:pPr>
      <w:r w:rsidRPr="00BF4AA8">
        <w:rPr>
          <w:rFonts w:ascii="Arial" w:hAnsi="Arial" w:cs="Arial"/>
          <w:b/>
          <w:bCs/>
          <w:sz w:val="22"/>
          <w:szCs w:val="22"/>
        </w:rPr>
        <w:t>Phase 1 – Developing phase (1950s–early 1970s):</w:t>
      </w:r>
      <w:r w:rsidRPr="00BF4AA8">
        <w:rPr>
          <w:rFonts w:ascii="Arial" w:hAnsi="Arial" w:cs="Arial"/>
          <w:sz w:val="22"/>
          <w:szCs w:val="22"/>
        </w:rPr>
        <w:t xml:space="preserve"> Most marine stocks were in the Developing category, meaning fishing pressure was light and potential was still largely untapped. Over 95% of total catch came from developing stocks, indicating abundant resources and low exploitation levels.</w:t>
      </w:r>
    </w:p>
    <w:p w:rsidR="00B10668" w:rsidRPr="00BF4AA8" w:rsidRDefault="00B10668" w:rsidP="00B10668">
      <w:pPr>
        <w:pStyle w:val="ListParagraph"/>
        <w:numPr>
          <w:ilvl w:val="0"/>
          <w:numId w:val="163"/>
        </w:numPr>
        <w:spacing w:before="100" w:beforeAutospacing="1" w:after="100" w:afterAutospacing="1"/>
        <w:jc w:val="both"/>
        <w:rPr>
          <w:rFonts w:ascii="Arial" w:hAnsi="Arial" w:cs="Arial"/>
          <w:sz w:val="22"/>
          <w:szCs w:val="22"/>
        </w:rPr>
      </w:pPr>
      <w:r w:rsidRPr="00BF4AA8">
        <w:rPr>
          <w:rFonts w:ascii="Arial" w:hAnsi="Arial" w:cs="Arial"/>
          <w:b/>
          <w:bCs/>
          <w:sz w:val="22"/>
          <w:szCs w:val="22"/>
        </w:rPr>
        <w:t>Phase 2 – Exploited phase (1970s–1980s):</w:t>
      </w:r>
      <w:r w:rsidRPr="00BF4AA8">
        <w:rPr>
          <w:rFonts w:ascii="Arial" w:hAnsi="Arial" w:cs="Arial"/>
          <w:sz w:val="22"/>
          <w:szCs w:val="22"/>
        </w:rPr>
        <w:t xml:space="preserve"> During the 1970s, the proportion of Exploited stocks rose sharply—from less than 1% in the mid-1960s to nearly 19% by 1970 and stabilizing around 10–12% through the early 1980 and —showing that fishing effort had expanded rapidly and many populations were </w:t>
      </w:r>
      <w:proofErr w:type="gramStart"/>
      <w:r w:rsidRPr="00BF4AA8">
        <w:rPr>
          <w:rFonts w:ascii="Arial" w:hAnsi="Arial" w:cs="Arial"/>
          <w:sz w:val="22"/>
          <w:szCs w:val="22"/>
        </w:rPr>
        <w:t>being harvested</w:t>
      </w:r>
      <w:proofErr w:type="gramEnd"/>
      <w:r w:rsidRPr="00BF4AA8">
        <w:rPr>
          <w:rFonts w:ascii="Arial" w:hAnsi="Arial" w:cs="Arial"/>
          <w:sz w:val="22"/>
          <w:szCs w:val="22"/>
        </w:rPr>
        <w:t xml:space="preserve"> near their sustainable limits. This period marks the transition from a largely developing fishery to one operating at full capacity.</w:t>
      </w:r>
    </w:p>
    <w:p w:rsidR="00B10668" w:rsidRPr="00BF4AA8" w:rsidRDefault="00B10668" w:rsidP="00B10668">
      <w:pPr>
        <w:pStyle w:val="ListParagraph"/>
        <w:numPr>
          <w:ilvl w:val="0"/>
          <w:numId w:val="163"/>
        </w:numPr>
        <w:spacing w:before="100" w:beforeAutospacing="1" w:after="100" w:afterAutospacing="1"/>
        <w:jc w:val="both"/>
        <w:rPr>
          <w:rFonts w:ascii="Arial" w:hAnsi="Arial" w:cs="Arial"/>
          <w:sz w:val="22"/>
          <w:szCs w:val="22"/>
        </w:rPr>
      </w:pPr>
      <w:r w:rsidRPr="00BF4AA8">
        <w:rPr>
          <w:rFonts w:ascii="Arial" w:hAnsi="Arial" w:cs="Arial"/>
          <w:b/>
          <w:bCs/>
          <w:sz w:val="22"/>
          <w:szCs w:val="22"/>
        </w:rPr>
        <w:t>Phase 3 – Over-Exploitation and collapse phase (</w:t>
      </w:r>
      <w:r w:rsidRPr="00BF4AA8">
        <w:rPr>
          <w:rFonts w:ascii="Arial" w:hAnsi="Arial" w:cs="Arial"/>
          <w:b/>
          <w:bCs/>
          <w:color w:val="000000" w:themeColor="text1"/>
          <w:sz w:val="22"/>
          <w:szCs w:val="22"/>
        </w:rPr>
        <w:t>~</w:t>
      </w:r>
      <w:r w:rsidRPr="00BF4AA8">
        <w:rPr>
          <w:rFonts w:ascii="Arial" w:hAnsi="Arial" w:cs="Arial"/>
          <w:b/>
          <w:bCs/>
          <w:sz w:val="22"/>
          <w:szCs w:val="22"/>
        </w:rPr>
        <w:t>1980s–onward):</w:t>
      </w:r>
      <w:r w:rsidRPr="00BF4AA8">
        <w:rPr>
          <w:rFonts w:ascii="Arial" w:hAnsi="Arial" w:cs="Arial"/>
          <w:sz w:val="22"/>
          <w:szCs w:val="22"/>
        </w:rPr>
        <w:t xml:space="preserve"> After 1990s, Over-exploited and Collapsed categories increased sharply while Developing stocks nearly disappeared. The share of over-exploited catches grew to about 10–15% by 2010, and collapsed stocks accounted for 5–6% by the late 2010s. Count-based indicators show that more than half of assessed stocks </w:t>
      </w:r>
      <w:proofErr w:type="gramStart"/>
      <w:r w:rsidRPr="00BF4AA8">
        <w:rPr>
          <w:rFonts w:ascii="Arial" w:hAnsi="Arial" w:cs="Arial"/>
          <w:sz w:val="22"/>
          <w:szCs w:val="22"/>
        </w:rPr>
        <w:t>were already collapsed</w:t>
      </w:r>
      <w:proofErr w:type="gramEnd"/>
      <w:r w:rsidRPr="00BF4AA8">
        <w:rPr>
          <w:rFonts w:ascii="Arial" w:hAnsi="Arial" w:cs="Arial"/>
          <w:sz w:val="22"/>
          <w:szCs w:val="22"/>
        </w:rPr>
        <w:t xml:space="preserve"> by 2018–2019. Although most landings still come from exploited demersal and pelagic species, this concentration masks widespread depletion and low recovery potential. </w:t>
      </w:r>
    </w:p>
    <w:p w:rsidR="00B10668" w:rsidRPr="00BF4AA8" w:rsidRDefault="00B10668" w:rsidP="00B10668">
      <w:pPr>
        <w:spacing w:before="100" w:beforeAutospacing="1" w:after="100" w:afterAutospacing="1"/>
        <w:jc w:val="both"/>
        <w:rPr>
          <w:rFonts w:ascii="Arial" w:hAnsi="Arial" w:cs="Arial"/>
          <w:sz w:val="22"/>
          <w:szCs w:val="22"/>
        </w:rPr>
      </w:pPr>
      <w:r w:rsidRPr="00BF4AA8">
        <w:rPr>
          <w:rFonts w:ascii="Arial" w:hAnsi="Arial" w:cs="Arial"/>
          <w:sz w:val="22"/>
          <w:szCs w:val="22"/>
        </w:rPr>
        <w:t>Overall, the stock trajectory signals a shift from underutilization to chronic overfishing and ecosystem stress. The near absence of developing or rebuilding stocks points to limited recruitment and recovery, underscoring the need for rebuilding plans, habitat restoration, and stricter trawl and bycatch management to sustain Cambodia’s marine fisheries.</w:t>
      </w:r>
    </w:p>
    <w:p w:rsidR="00B10668" w:rsidRPr="00BF4AA8" w:rsidRDefault="00B10668" w:rsidP="00B10668">
      <w:pPr>
        <w:rPr>
          <w:rStyle w:val="Strong"/>
          <w:rFonts w:ascii="Arial" w:hAnsi="Arial" w:cs="Arial"/>
          <w:i/>
          <w:iCs/>
          <w:color w:val="0070C0"/>
          <w:sz w:val="22"/>
          <w:szCs w:val="22"/>
        </w:rPr>
      </w:pPr>
      <w:r w:rsidRPr="00BF4AA8">
        <w:rPr>
          <w:rFonts w:ascii="Arial" w:hAnsi="Arial" w:cs="Arial"/>
          <w:b/>
          <w:bCs/>
          <w:color w:val="0070C0"/>
          <w:sz w:val="22"/>
          <w:szCs w:val="22"/>
        </w:rPr>
        <w:t>Annex 5-</w:t>
      </w:r>
      <w:r w:rsidRPr="00BF4AA8">
        <w:rPr>
          <w:rFonts w:ascii="Arial" w:hAnsi="Arial" w:cs="Arial"/>
          <w:b/>
          <w:bCs/>
          <w:color w:val="0070C0"/>
          <w:sz w:val="22"/>
          <w:szCs w:val="22"/>
        </w:rPr>
        <w:fldChar w:fldCharType="begin"/>
      </w:r>
      <w:r w:rsidRPr="00BF4AA8">
        <w:rPr>
          <w:rFonts w:ascii="Arial" w:hAnsi="Arial" w:cs="Arial"/>
          <w:b/>
          <w:bCs/>
          <w:color w:val="0070C0"/>
          <w:sz w:val="22"/>
          <w:szCs w:val="22"/>
        </w:rPr>
        <w:instrText xml:space="preserve"> SEQ Annex_5- \* ARABIC </w:instrText>
      </w:r>
      <w:r w:rsidRPr="00BF4AA8">
        <w:rPr>
          <w:rFonts w:ascii="Arial" w:hAnsi="Arial" w:cs="Arial"/>
          <w:b/>
          <w:bCs/>
          <w:color w:val="0070C0"/>
          <w:sz w:val="22"/>
          <w:szCs w:val="22"/>
        </w:rPr>
        <w:fldChar w:fldCharType="separate"/>
      </w:r>
      <w:r w:rsidR="00836984">
        <w:rPr>
          <w:rFonts w:ascii="Arial" w:hAnsi="Arial" w:cs="Arial"/>
          <w:b/>
          <w:bCs/>
          <w:noProof/>
          <w:color w:val="0070C0"/>
          <w:sz w:val="22"/>
          <w:szCs w:val="22"/>
        </w:rPr>
        <w:t>5</w:t>
      </w:r>
      <w:r w:rsidRPr="00BF4AA8">
        <w:rPr>
          <w:rFonts w:ascii="Arial" w:hAnsi="Arial" w:cs="Arial"/>
          <w:b/>
          <w:bCs/>
          <w:color w:val="0070C0"/>
          <w:sz w:val="22"/>
          <w:szCs w:val="22"/>
        </w:rPr>
        <w:fldChar w:fldCharType="end"/>
      </w:r>
      <w:r w:rsidRPr="00BF4AA8">
        <w:rPr>
          <w:rFonts w:ascii="Arial" w:hAnsi="Arial" w:cs="Arial"/>
          <w:b/>
          <w:bCs/>
          <w:color w:val="0070C0"/>
          <w:sz w:val="22"/>
          <w:szCs w:val="22"/>
        </w:rPr>
        <w:t xml:space="preserve"> Explanatory note for Marine Trophic Index (MTI) and </w:t>
      </w:r>
      <w:proofErr w:type="spellStart"/>
      <w:r w:rsidRPr="00BF4AA8">
        <w:rPr>
          <w:rFonts w:ascii="Arial" w:hAnsi="Arial" w:cs="Arial"/>
          <w:b/>
          <w:bCs/>
          <w:color w:val="0070C0"/>
          <w:sz w:val="22"/>
          <w:szCs w:val="22"/>
        </w:rPr>
        <w:t>FiB</w:t>
      </w:r>
      <w:proofErr w:type="spellEnd"/>
      <w:r w:rsidRPr="00BF4AA8">
        <w:rPr>
          <w:rFonts w:ascii="Arial" w:hAnsi="Arial" w:cs="Arial"/>
          <w:b/>
          <w:bCs/>
          <w:color w:val="0070C0"/>
          <w:sz w:val="22"/>
          <w:szCs w:val="22"/>
        </w:rPr>
        <w:t xml:space="preserve"> index</w:t>
      </w:r>
    </w:p>
    <w:p w:rsidR="00B10668" w:rsidRPr="00BF4AA8" w:rsidRDefault="00B10668" w:rsidP="00B10668">
      <w:pPr>
        <w:spacing w:before="240" w:after="240"/>
        <w:jc w:val="both"/>
        <w:rPr>
          <w:rFonts w:ascii="Arial" w:hAnsi="Arial" w:cs="Arial"/>
          <w:color w:val="000000" w:themeColor="text1"/>
          <w:sz w:val="22"/>
          <w:szCs w:val="22"/>
        </w:rPr>
      </w:pPr>
      <w:r w:rsidRPr="00BF4AA8">
        <w:rPr>
          <w:rFonts w:ascii="Arial" w:hAnsi="Arial" w:cs="Arial"/>
          <w:color w:val="000000" w:themeColor="text1"/>
          <w:sz w:val="22"/>
          <w:szCs w:val="22"/>
        </w:rPr>
        <w:t xml:space="preserve">MTI and the </w:t>
      </w:r>
      <w:proofErr w:type="spellStart"/>
      <w:r w:rsidRPr="00BF4AA8">
        <w:rPr>
          <w:rFonts w:ascii="Arial" w:hAnsi="Arial" w:cs="Arial"/>
          <w:color w:val="000000" w:themeColor="text1"/>
          <w:sz w:val="22"/>
          <w:szCs w:val="22"/>
        </w:rPr>
        <w:t>FiB</w:t>
      </w:r>
      <w:proofErr w:type="spellEnd"/>
      <w:r w:rsidRPr="00BF4AA8">
        <w:rPr>
          <w:rFonts w:ascii="Arial" w:hAnsi="Arial" w:cs="Arial"/>
          <w:color w:val="000000" w:themeColor="text1"/>
          <w:sz w:val="22"/>
          <w:szCs w:val="22"/>
        </w:rPr>
        <w:t xml:space="preserve"> trends, the data from SAUP –indicate that Cambodia’s marine fisheries are now operating under heavy pressure with limited capacity for recovery. Without stronger stock rebuilding, habitat protection, and effort reduction measures, the long-term sustainability of the fishery and its supporting ecosystem remains at significant risk.</w:t>
      </w:r>
    </w:p>
    <w:p w:rsidR="00B10668" w:rsidRPr="00BF4AA8" w:rsidRDefault="00B10668" w:rsidP="00B10668">
      <w:pPr>
        <w:spacing w:before="240" w:after="240"/>
        <w:jc w:val="both"/>
        <w:rPr>
          <w:rFonts w:ascii="Arial" w:hAnsi="Arial" w:cs="Arial"/>
          <w:color w:val="000000" w:themeColor="text1"/>
          <w:sz w:val="22"/>
          <w:szCs w:val="22"/>
        </w:rPr>
      </w:pPr>
      <w:r w:rsidRPr="00BF4AA8">
        <w:rPr>
          <w:rFonts w:ascii="Arial" w:hAnsi="Arial" w:cs="Arial"/>
          <w:b/>
          <w:bCs/>
          <w:color w:val="000000" w:themeColor="text1"/>
          <w:sz w:val="22"/>
          <w:szCs w:val="22"/>
        </w:rPr>
        <w:t>The Marine Trophic Index (MTI)</w:t>
      </w:r>
      <w:r w:rsidRPr="00BF4AA8">
        <w:rPr>
          <w:rFonts w:ascii="Arial" w:hAnsi="Arial" w:cs="Arial"/>
          <w:color w:val="000000" w:themeColor="text1"/>
          <w:sz w:val="22"/>
          <w:szCs w:val="22"/>
        </w:rPr>
        <w:t xml:space="preserve"> in Cambodian waters reflects a long-term shift from balanced to simplified marine ecosystems. Between 1950 and 1960, the MTI remained high at around 3.83, suggesting a healthy and mature food web dominated by top and mid-level predators, with limited fishing pressure. From the early 1960s to the early 1990s, however, the MTI steadily declined, reaching 3.47 by 1992, indicating progressive depletion of large predatory fish and an increasing focus on smaller, lower-trophic-level species. This trend represents a clear case of “fishing down the marine food web.” From the 1990s onward, the MTI became more volatile but remained lower, generally fluctuating between 3.50 and 3.57, with a slight improvement after 2010. This instability suggests an ecosystem increasingly reliant on short-lived and lower-trophic species, such as small </w:t>
      </w:r>
      <w:proofErr w:type="spellStart"/>
      <w:r w:rsidRPr="00BF4AA8">
        <w:rPr>
          <w:rFonts w:ascii="Arial" w:hAnsi="Arial" w:cs="Arial"/>
          <w:color w:val="000000" w:themeColor="text1"/>
          <w:sz w:val="22"/>
          <w:szCs w:val="22"/>
        </w:rPr>
        <w:t>pelagics</w:t>
      </w:r>
      <w:proofErr w:type="spellEnd"/>
      <w:r w:rsidRPr="00BF4AA8">
        <w:rPr>
          <w:rFonts w:ascii="Arial" w:hAnsi="Arial" w:cs="Arial"/>
          <w:color w:val="000000" w:themeColor="text1"/>
          <w:sz w:val="22"/>
          <w:szCs w:val="22"/>
        </w:rPr>
        <w:t xml:space="preserve"> and invertebrates. The recent mild increase may be associated with management interventions, improved enforcement, and reduced illegal, unreported, and unregulated (IUU) fishing activity in Cambodian waters. Overall, the long-term MTI decline demonstrates a reduction in ecosystem complexity and resilience, making the marine system more vulnerable to climatic and anthropogenic stressors.</w:t>
      </w:r>
    </w:p>
    <w:p w:rsidR="00B10668" w:rsidRPr="00BF4AA8" w:rsidRDefault="00B10668" w:rsidP="00B10668">
      <w:pPr>
        <w:spacing w:before="240" w:after="240"/>
        <w:jc w:val="both"/>
        <w:rPr>
          <w:rFonts w:ascii="Arial" w:hAnsi="Arial" w:cs="Arial"/>
          <w:color w:val="000000" w:themeColor="text1"/>
          <w:sz w:val="22"/>
          <w:szCs w:val="22"/>
        </w:rPr>
      </w:pPr>
      <w:r w:rsidRPr="00BF4AA8">
        <w:rPr>
          <w:rFonts w:ascii="Arial" w:hAnsi="Arial" w:cs="Arial"/>
          <w:b/>
          <w:bCs/>
          <w:color w:val="000000" w:themeColor="text1"/>
          <w:sz w:val="22"/>
          <w:szCs w:val="22"/>
        </w:rPr>
        <w:t>The Fishing-in-Balance (</w:t>
      </w:r>
      <w:proofErr w:type="spellStart"/>
      <w:r w:rsidRPr="00BF4AA8">
        <w:rPr>
          <w:rFonts w:ascii="Arial" w:hAnsi="Arial" w:cs="Arial"/>
          <w:b/>
          <w:bCs/>
          <w:color w:val="000000" w:themeColor="text1"/>
          <w:sz w:val="22"/>
          <w:szCs w:val="22"/>
        </w:rPr>
        <w:t>FiB</w:t>
      </w:r>
      <w:proofErr w:type="spellEnd"/>
      <w:r w:rsidRPr="00BF4AA8">
        <w:rPr>
          <w:rFonts w:ascii="Arial" w:hAnsi="Arial" w:cs="Arial"/>
          <w:b/>
          <w:bCs/>
          <w:color w:val="000000" w:themeColor="text1"/>
          <w:sz w:val="22"/>
          <w:szCs w:val="22"/>
        </w:rPr>
        <w:t xml:space="preserve">) Index </w:t>
      </w:r>
      <w:r w:rsidRPr="00BF4AA8">
        <w:rPr>
          <w:rFonts w:ascii="Arial" w:hAnsi="Arial" w:cs="Arial"/>
          <w:color w:val="000000" w:themeColor="text1"/>
          <w:sz w:val="22"/>
          <w:szCs w:val="22"/>
        </w:rPr>
        <w:t xml:space="preserve">presents a complementary narrative. During the 1950s, </w:t>
      </w:r>
      <w:proofErr w:type="spellStart"/>
      <w:r w:rsidRPr="00BF4AA8">
        <w:rPr>
          <w:rFonts w:ascii="Arial" w:hAnsi="Arial" w:cs="Arial"/>
          <w:color w:val="000000" w:themeColor="text1"/>
          <w:sz w:val="22"/>
          <w:szCs w:val="22"/>
        </w:rPr>
        <w:t>FiB</w:t>
      </w:r>
      <w:proofErr w:type="spellEnd"/>
      <w:r w:rsidRPr="00BF4AA8">
        <w:rPr>
          <w:rFonts w:ascii="Arial" w:hAnsi="Arial" w:cs="Arial"/>
          <w:color w:val="000000" w:themeColor="text1"/>
          <w:sz w:val="22"/>
          <w:szCs w:val="22"/>
        </w:rPr>
        <w:t xml:space="preserve"> values were near zero, reflecting a fishery in equilibrium with the ecosystem. The index then rose rapidly from the 1960s to the early 2000s, peaking at 2.97 in 2002, even as MTI declined. This combination indicates “fishing through the food web,” where total catches </w:t>
      </w:r>
      <w:proofErr w:type="gramStart"/>
      <w:r w:rsidRPr="00BF4AA8">
        <w:rPr>
          <w:rFonts w:ascii="Arial" w:hAnsi="Arial" w:cs="Arial"/>
          <w:color w:val="000000" w:themeColor="text1"/>
          <w:sz w:val="22"/>
          <w:szCs w:val="22"/>
        </w:rPr>
        <w:t>were maintained</w:t>
      </w:r>
      <w:proofErr w:type="gramEnd"/>
      <w:r w:rsidRPr="00BF4AA8">
        <w:rPr>
          <w:rFonts w:ascii="Arial" w:hAnsi="Arial" w:cs="Arial"/>
          <w:color w:val="000000" w:themeColor="text1"/>
          <w:sz w:val="22"/>
          <w:szCs w:val="22"/>
        </w:rPr>
        <w:t xml:space="preserve"> by expanding fishing effort and targeting smaller, lower-trophic species to compensate for the loss of higher predators. After 2008, the </w:t>
      </w:r>
      <w:proofErr w:type="spellStart"/>
      <w:r w:rsidRPr="00BF4AA8">
        <w:rPr>
          <w:rFonts w:ascii="Arial" w:hAnsi="Arial" w:cs="Arial"/>
          <w:color w:val="000000" w:themeColor="text1"/>
          <w:sz w:val="22"/>
          <w:szCs w:val="22"/>
        </w:rPr>
        <w:t>FiB</w:t>
      </w:r>
      <w:proofErr w:type="spellEnd"/>
      <w:r w:rsidRPr="00BF4AA8">
        <w:rPr>
          <w:rFonts w:ascii="Arial" w:hAnsi="Arial" w:cs="Arial"/>
          <w:color w:val="000000" w:themeColor="text1"/>
          <w:sz w:val="22"/>
          <w:szCs w:val="22"/>
        </w:rPr>
        <w:t xml:space="preserve"> index dropped sharply—down to 2.08 by 2010—and remained volatile thereafter. This decline signals that the expansion strategy had reached its ecological limit: the marine ecosystem could no longer sustain high catches, even from lower levels of the food chain. </w:t>
      </w:r>
    </w:p>
    <w:p w:rsidR="00B10668" w:rsidRPr="00BF4AA8" w:rsidRDefault="00B10668" w:rsidP="00B10668">
      <w:pPr>
        <w:spacing w:before="240" w:after="240"/>
        <w:jc w:val="both"/>
        <w:rPr>
          <w:rFonts w:ascii="Arial" w:hAnsi="Arial" w:cs="Arial"/>
          <w:sz w:val="22"/>
          <w:szCs w:val="22"/>
        </w:rPr>
      </w:pPr>
      <w:r w:rsidRPr="00BF4AA8">
        <w:rPr>
          <w:rFonts w:ascii="Arial" w:hAnsi="Arial" w:cs="Arial"/>
          <w:color w:val="000000" w:themeColor="text1"/>
          <w:sz w:val="22"/>
          <w:szCs w:val="22"/>
        </w:rPr>
        <w:t>Therefore, the data strongly indicates that the ecological health of Cambodian waters has </w:t>
      </w:r>
      <w:r w:rsidRPr="00BF4AA8">
        <w:rPr>
          <w:rFonts w:ascii="Arial" w:hAnsi="Arial" w:cs="Arial"/>
          <w:b/>
          <w:bCs/>
          <w:color w:val="000000" w:themeColor="text1"/>
          <w:sz w:val="22"/>
          <w:szCs w:val="22"/>
        </w:rPr>
        <w:t>significantly declined</w:t>
      </w:r>
      <w:r w:rsidRPr="00BF4AA8">
        <w:rPr>
          <w:rFonts w:ascii="Arial" w:hAnsi="Arial" w:cs="Arial"/>
          <w:color w:val="000000" w:themeColor="text1"/>
          <w:sz w:val="22"/>
          <w:szCs w:val="22"/>
        </w:rPr>
        <w:t xml:space="preserve"> over the past 70 years. The marine ecosystem has </w:t>
      </w:r>
      <w:proofErr w:type="gramStart"/>
      <w:r w:rsidRPr="00BF4AA8">
        <w:rPr>
          <w:rFonts w:ascii="Arial" w:hAnsi="Arial" w:cs="Arial"/>
          <w:color w:val="000000" w:themeColor="text1"/>
          <w:sz w:val="22"/>
          <w:szCs w:val="22"/>
        </w:rPr>
        <w:t>been fundamentally altered</w:t>
      </w:r>
      <w:proofErr w:type="gramEnd"/>
      <w:r w:rsidRPr="00BF4AA8">
        <w:rPr>
          <w:rFonts w:ascii="Arial" w:hAnsi="Arial" w:cs="Arial"/>
          <w:color w:val="000000" w:themeColor="text1"/>
          <w:sz w:val="22"/>
          <w:szCs w:val="22"/>
        </w:rPr>
        <w:t xml:space="preserve"> by fishing pressure. The recent volatility in the indices, especially the sharp drop in </w:t>
      </w:r>
      <w:proofErr w:type="spellStart"/>
      <w:r w:rsidRPr="00BF4AA8">
        <w:rPr>
          <w:rFonts w:ascii="Arial" w:hAnsi="Arial" w:cs="Arial"/>
          <w:color w:val="000000" w:themeColor="text1"/>
          <w:sz w:val="22"/>
          <w:szCs w:val="22"/>
        </w:rPr>
        <w:t>FiB</w:t>
      </w:r>
      <w:proofErr w:type="spellEnd"/>
      <w:r w:rsidRPr="00BF4AA8">
        <w:rPr>
          <w:rFonts w:ascii="Arial" w:hAnsi="Arial" w:cs="Arial"/>
          <w:color w:val="000000" w:themeColor="text1"/>
          <w:sz w:val="22"/>
          <w:szCs w:val="22"/>
        </w:rPr>
        <w:t>, is a red flag. It suggests that the current level of fishing effort may be unsustainable, and the long-term health of the fishery and the ecosystem it depends on is at risk without significant management interventions aimed at rebuilding fish stocks and restoring ecosystem balance.</w:t>
      </w:r>
    </w:p>
    <w:p w:rsidR="00B10668" w:rsidRPr="00BF4AA8" w:rsidRDefault="00B10668" w:rsidP="00BF4AA8">
      <w:pPr>
        <w:pStyle w:val="Heading2"/>
        <w:keepNext/>
        <w:adjustRightInd w:val="0"/>
        <w:snapToGrid w:val="0"/>
        <w:spacing w:before="240" w:beforeAutospacing="0" w:after="120" w:afterAutospacing="0"/>
        <w:rPr>
          <w:rFonts w:ascii="Arial" w:hAnsi="Arial" w:cs="Arial"/>
          <w:sz w:val="22"/>
          <w:szCs w:val="22"/>
        </w:rPr>
      </w:pPr>
      <w:bookmarkStart w:id="39" w:name="_Toc216681466"/>
      <w:r w:rsidRPr="00BF4AA8">
        <w:rPr>
          <w:rFonts w:ascii="Arial" w:hAnsi="Arial" w:cs="Arial"/>
          <w:color w:val="0070C0"/>
          <w:sz w:val="22"/>
          <w:szCs w:val="22"/>
        </w:rPr>
        <w:t>Annex 5-</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Annex_5-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6</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Explanatory note for Number of marine fishing vessels</w:t>
      </w:r>
      <w:bookmarkEnd w:id="39"/>
    </w:p>
    <w:p w:rsidR="00B10668" w:rsidRPr="00BF4AA8" w:rsidRDefault="00B10668" w:rsidP="00B10668">
      <w:pPr>
        <w:spacing w:before="240" w:after="240"/>
        <w:jc w:val="both"/>
        <w:rPr>
          <w:rFonts w:ascii="Arial" w:hAnsi="Arial" w:cs="Arial"/>
          <w:sz w:val="22"/>
          <w:szCs w:val="22"/>
        </w:rPr>
      </w:pPr>
      <w:proofErr w:type="spellStart"/>
      <w:r w:rsidRPr="00BF4AA8">
        <w:rPr>
          <w:rFonts w:ascii="Arial" w:hAnsi="Arial" w:cs="Arial"/>
          <w:sz w:val="22"/>
          <w:szCs w:val="22"/>
        </w:rPr>
        <w:t>FiA</w:t>
      </w:r>
      <w:proofErr w:type="spellEnd"/>
      <w:r w:rsidRPr="00BF4AA8">
        <w:rPr>
          <w:rFonts w:ascii="Arial" w:hAnsi="Arial" w:cs="Arial"/>
          <w:sz w:val="22"/>
          <w:szCs w:val="22"/>
        </w:rPr>
        <w:t xml:space="preserve"> conducted a marine fishing vessel census in 2018 to gather data on the characteristics of the fishing fleet. The census provides a foundational dataset used for various monitoring and management purposes, but specific statistics from the final report, such as the total number of vessels, are not immediately available in the provided search results. The census recorded 7,552 marine fishing vessels across its four coastal provinces, reflecting a predominantly small- to medium-scale fleet structure. </w:t>
      </w:r>
      <w:proofErr w:type="gramStart"/>
      <w:r w:rsidRPr="00BF4AA8">
        <w:rPr>
          <w:rFonts w:ascii="Arial" w:hAnsi="Arial" w:cs="Arial"/>
          <w:sz w:val="22"/>
          <w:szCs w:val="22"/>
        </w:rPr>
        <w:t>The majority of</w:t>
      </w:r>
      <w:proofErr w:type="gramEnd"/>
      <w:r w:rsidRPr="00BF4AA8">
        <w:rPr>
          <w:rFonts w:ascii="Arial" w:hAnsi="Arial" w:cs="Arial"/>
          <w:sz w:val="22"/>
          <w:szCs w:val="22"/>
        </w:rPr>
        <w:t xml:space="preserve"> vessels (about 53 %) were classified as small-scale (&lt; 12 m), while 47% fell within the medium-scale range (12–24m). Only 10 vessels exceeded 24 m, highlighting the limited presence of large industrial craft in national waters. The census showed strong geographic concentration: Koh Kong accounted for 45 % of all vessels (3,396 units), followed by Preah Sihanouk (33 %, 2,523 units),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(14 %, 1,039 units), and </w:t>
      </w:r>
      <w:proofErr w:type="spellStart"/>
      <w:r w:rsidRPr="00BF4AA8">
        <w:rPr>
          <w:rFonts w:ascii="Arial" w:hAnsi="Arial" w:cs="Arial"/>
          <w:sz w:val="22"/>
          <w:szCs w:val="22"/>
        </w:rPr>
        <w:t>Kep</w:t>
      </w:r>
      <w:proofErr w:type="spellEnd"/>
      <w:r w:rsidRPr="00BF4AA8">
        <w:rPr>
          <w:rFonts w:ascii="Arial" w:hAnsi="Arial" w:cs="Arial"/>
          <w:sz w:val="22"/>
          <w:szCs w:val="22"/>
        </w:rPr>
        <w:t xml:space="preserve"> (8 %, 594 units). Koh Kong’s predominance reflects its extensive coastal area and long-standing trawl and gill-net fleets, while Preah Sihanouk’s share corresponds to its role as Cambodia’s principal marine landing hub and industrial port.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and </w:t>
      </w:r>
      <w:proofErr w:type="spellStart"/>
      <w:r w:rsidRPr="00BF4AA8">
        <w:rPr>
          <w:rFonts w:ascii="Arial" w:hAnsi="Arial" w:cs="Arial"/>
          <w:sz w:val="22"/>
          <w:szCs w:val="22"/>
        </w:rPr>
        <w:t>Kep</w:t>
      </w:r>
      <w:proofErr w:type="spellEnd"/>
      <w:r w:rsidRPr="00BF4AA8">
        <w:rPr>
          <w:rFonts w:ascii="Arial" w:hAnsi="Arial" w:cs="Arial"/>
          <w:sz w:val="22"/>
          <w:szCs w:val="22"/>
        </w:rPr>
        <w:t>, by contrast, remain more artisanal and seasonally active, focusing on crab, squid, and small-pelagic fisheries.</w:t>
      </w:r>
    </w:p>
    <w:p w:rsidR="00B10668" w:rsidRPr="00BF4AA8" w:rsidRDefault="00B10668" w:rsidP="00B10668">
      <w:pPr>
        <w:spacing w:before="240" w:after="240"/>
        <w:jc w:val="both"/>
        <w:rPr>
          <w:rFonts w:ascii="Arial" w:hAnsi="Arial" w:cs="Arial"/>
          <w:sz w:val="22"/>
          <w:szCs w:val="22"/>
        </w:rPr>
      </w:pPr>
      <w:r w:rsidRPr="00BF4AA8">
        <w:rPr>
          <w:rFonts w:ascii="Arial" w:hAnsi="Arial" w:cs="Arial"/>
          <w:b/>
          <w:bCs/>
          <w:sz w:val="22"/>
          <w:szCs w:val="22"/>
        </w:rPr>
        <w:t>Fleet characteristics by size and power:</w:t>
      </w:r>
      <w:r w:rsidRPr="00BF4AA8">
        <w:rPr>
          <w:rFonts w:ascii="Arial" w:hAnsi="Arial" w:cs="Arial"/>
          <w:sz w:val="22"/>
          <w:szCs w:val="22"/>
        </w:rPr>
        <w:t xml:space="preserve"> Vessel classification by engine power confirms the small-scale character of the fleet: approximately 6,699 vessels (89 %) were under 50 HP, with only a small minority exceeding 90 HP. This pattern suggests limited offshore capability and strong dependence on coastal and inshore fishing grounds. The few higher-horsepower vessels (181–540 HP) are mainly trawlers and purse-seiners operating from Koh Kong and Preah Sihanouk.</w:t>
      </w:r>
    </w:p>
    <w:p w:rsidR="00B10668" w:rsidRPr="00BF4AA8" w:rsidRDefault="00B10668" w:rsidP="00B10668">
      <w:pPr>
        <w:spacing w:before="240" w:after="240"/>
        <w:jc w:val="both"/>
        <w:rPr>
          <w:rFonts w:ascii="Arial" w:hAnsi="Arial" w:cs="Arial"/>
          <w:sz w:val="22"/>
          <w:szCs w:val="22"/>
        </w:rPr>
      </w:pPr>
      <w:r w:rsidRPr="00BF4AA8">
        <w:rPr>
          <w:rFonts w:ascii="Arial" w:hAnsi="Arial" w:cs="Arial"/>
          <w:b/>
          <w:bCs/>
          <w:sz w:val="22"/>
          <w:szCs w:val="22"/>
        </w:rPr>
        <w:t>Registration and management:</w:t>
      </w:r>
      <w:r w:rsidRPr="00BF4AA8">
        <w:rPr>
          <w:rFonts w:ascii="Arial" w:hAnsi="Arial" w:cs="Arial"/>
          <w:sz w:val="22"/>
          <w:szCs w:val="22"/>
        </w:rPr>
        <w:t xml:space="preserve"> Of the 7,552 vessels enumerated, 97% were non-registered, and only 3% held valid registration. This extremely low compliance rate underscores persistent governance challenges, including inadequate enforcement capacity, outdated vessel records, and the prevalence of informal operations. The predominance of unregistered craft complicates management of fishing effort and hinders the implementation of licensing and monitoring systems essential for sustainable fisheries management.</w:t>
      </w:r>
    </w:p>
    <w:p w:rsidR="00B10668" w:rsidRPr="00BF4AA8" w:rsidRDefault="00B10668" w:rsidP="00B10668">
      <w:pPr>
        <w:spacing w:before="240" w:after="240"/>
        <w:jc w:val="both"/>
        <w:rPr>
          <w:rFonts w:ascii="Arial" w:hAnsi="Arial" w:cs="Arial"/>
          <w:sz w:val="22"/>
          <w:szCs w:val="22"/>
        </w:rPr>
      </w:pPr>
      <w:r w:rsidRPr="00BF4AA8">
        <w:rPr>
          <w:rFonts w:ascii="Arial" w:hAnsi="Arial" w:cs="Arial"/>
          <w:sz w:val="22"/>
          <w:szCs w:val="22"/>
        </w:rPr>
        <w:t>Indeed, the 2018 census provides the first comprehensive snapshot of Cambodia’s marine fleet, revealing a sector dominated by small-engine, non-registered vessels clustered in Koh Kong and Preah Sihanouk. While this structure supports local livelihoods and employment, it also poses significant management and sustainability concerns. The combination of high vessel density, limited registration, and low engine power reinforces the need for targeted governance reforms, particularly vessel licensing, gear regulation, and enforcement coordination among coastal provinces.</w:t>
      </w:r>
    </w:p>
    <w:p w:rsidR="00B10668" w:rsidRPr="00BF4AA8" w:rsidRDefault="00B10668" w:rsidP="00B10668">
      <w:pPr>
        <w:pStyle w:val="Caption"/>
        <w:rPr>
          <w:rFonts w:ascii="Arial" w:hAnsi="Arial" w:cs="Arial"/>
          <w:color w:val="0070C0"/>
          <w:sz w:val="22"/>
          <w:szCs w:val="22"/>
        </w:rPr>
      </w:pPr>
      <w:r w:rsidRPr="00BF4AA8">
        <w:rPr>
          <w:rFonts w:ascii="Arial" w:hAnsi="Arial" w:cs="Arial"/>
          <w:color w:val="0070C0"/>
          <w:sz w:val="22"/>
          <w:szCs w:val="22"/>
        </w:rPr>
        <w:t>Annex Table 5-</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Annex_Table_5-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7</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Number of Marine Fishing Vessels: Large, Medium and Small Scale</w:t>
      </w:r>
    </w:p>
    <w:tbl>
      <w:tblPr>
        <w:tblStyle w:val="GridTable4-Accent5"/>
        <w:tblW w:w="8961" w:type="dxa"/>
        <w:tblLook w:val="04A0" w:firstRow="1" w:lastRow="0" w:firstColumn="1" w:lastColumn="0" w:noHBand="0" w:noVBand="1"/>
      </w:tblPr>
      <w:tblGrid>
        <w:gridCol w:w="3127"/>
        <w:gridCol w:w="1309"/>
        <w:gridCol w:w="1477"/>
        <w:gridCol w:w="1035"/>
        <w:gridCol w:w="844"/>
        <w:gridCol w:w="1169"/>
      </w:tblGrid>
      <w:tr w:rsidR="00B10668" w:rsidRPr="00BF4AA8" w:rsidTr="005F1F5C">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sz w:val="22"/>
                <w:szCs w:val="22"/>
              </w:rPr>
            </w:pPr>
            <w:r w:rsidRPr="00BF4AA8">
              <w:rPr>
                <w:rFonts w:ascii="Arial" w:hAnsi="Arial" w:cs="Arial"/>
                <w:sz w:val="22"/>
                <w:szCs w:val="22"/>
              </w:rPr>
              <w:t>Vessel Type (Ranking m)</w:t>
            </w:r>
          </w:p>
        </w:tc>
        <w:tc>
          <w:tcPr>
            <w:tcW w:w="1309" w:type="dxa"/>
            <w:hideMark/>
          </w:tcPr>
          <w:p w:rsidR="00B10668" w:rsidRPr="00BF4AA8" w:rsidRDefault="00B10668" w:rsidP="005F1F5C">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Koh Kong</w:t>
            </w:r>
          </w:p>
        </w:tc>
        <w:tc>
          <w:tcPr>
            <w:tcW w:w="1477" w:type="dxa"/>
            <w:hideMark/>
          </w:tcPr>
          <w:p w:rsidR="00B10668" w:rsidRPr="00BF4AA8" w:rsidRDefault="00B10668" w:rsidP="005F1F5C">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Preah Sihanouk</w:t>
            </w:r>
          </w:p>
        </w:tc>
        <w:tc>
          <w:tcPr>
            <w:tcW w:w="1035" w:type="dxa"/>
            <w:hideMark/>
          </w:tcPr>
          <w:p w:rsidR="00B10668" w:rsidRPr="00BF4AA8" w:rsidRDefault="00B10668" w:rsidP="005F1F5C">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Kampot</w:t>
            </w:r>
            <w:proofErr w:type="spellEnd"/>
          </w:p>
        </w:tc>
        <w:tc>
          <w:tcPr>
            <w:tcW w:w="844" w:type="dxa"/>
            <w:hideMark/>
          </w:tcPr>
          <w:p w:rsidR="00B10668" w:rsidRPr="00BF4AA8" w:rsidRDefault="00B10668" w:rsidP="005F1F5C">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Kep</w:t>
            </w:r>
            <w:proofErr w:type="spellEnd"/>
          </w:p>
        </w:tc>
        <w:tc>
          <w:tcPr>
            <w:tcW w:w="1169" w:type="dxa"/>
            <w:hideMark/>
          </w:tcPr>
          <w:p w:rsidR="00B10668" w:rsidRPr="00BF4AA8" w:rsidRDefault="00B10668" w:rsidP="005F1F5C">
            <w:pPr>
              <w:jc w:val="right"/>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Total</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b w:val="0"/>
                <w:bCs w:val="0"/>
                <w:sz w:val="22"/>
                <w:szCs w:val="22"/>
              </w:rPr>
            </w:pPr>
            <w:r w:rsidRPr="00BF4AA8">
              <w:rPr>
                <w:rFonts w:ascii="Arial" w:hAnsi="Arial" w:cs="Arial"/>
                <w:b w:val="0"/>
                <w:bCs w:val="0"/>
                <w:sz w:val="22"/>
                <w:szCs w:val="22"/>
              </w:rPr>
              <w:t>Large Scale (≥ 24 m)</w:t>
            </w:r>
          </w:p>
        </w:tc>
        <w:tc>
          <w:tcPr>
            <w:tcW w:w="1309" w:type="dxa"/>
            <w:hideMark/>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10</w:t>
            </w:r>
          </w:p>
        </w:tc>
        <w:tc>
          <w:tcPr>
            <w:tcW w:w="1477" w:type="dxa"/>
            <w:hideMark/>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w:t>
            </w:r>
          </w:p>
        </w:tc>
        <w:tc>
          <w:tcPr>
            <w:tcW w:w="1035" w:type="dxa"/>
            <w:hideMark/>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w:t>
            </w:r>
          </w:p>
        </w:tc>
        <w:tc>
          <w:tcPr>
            <w:tcW w:w="844" w:type="dxa"/>
            <w:hideMark/>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w:t>
            </w:r>
          </w:p>
        </w:tc>
        <w:tc>
          <w:tcPr>
            <w:tcW w:w="1169" w:type="dxa"/>
            <w:hideMark/>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10</w:t>
            </w:r>
          </w:p>
        </w:tc>
      </w:tr>
      <w:tr w:rsidR="00B10668" w:rsidRPr="00BF4AA8" w:rsidTr="005F1F5C">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b w:val="0"/>
                <w:bCs w:val="0"/>
                <w:sz w:val="22"/>
                <w:szCs w:val="22"/>
              </w:rPr>
            </w:pPr>
            <w:r w:rsidRPr="00BF4AA8">
              <w:rPr>
                <w:rFonts w:ascii="Arial" w:hAnsi="Arial" w:cs="Arial"/>
                <w:b w:val="0"/>
                <w:bCs w:val="0"/>
                <w:sz w:val="22"/>
                <w:szCs w:val="22"/>
              </w:rPr>
              <w:t>Medium Scale (12 ≤ 24)</w:t>
            </w:r>
          </w:p>
        </w:tc>
        <w:tc>
          <w:tcPr>
            <w:tcW w:w="1309" w:type="dxa"/>
            <w:hideMark/>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962</w:t>
            </w:r>
          </w:p>
        </w:tc>
        <w:tc>
          <w:tcPr>
            <w:tcW w:w="1477" w:type="dxa"/>
            <w:hideMark/>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1,545</w:t>
            </w:r>
          </w:p>
        </w:tc>
        <w:tc>
          <w:tcPr>
            <w:tcW w:w="1035" w:type="dxa"/>
            <w:hideMark/>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629</w:t>
            </w:r>
          </w:p>
        </w:tc>
        <w:tc>
          <w:tcPr>
            <w:tcW w:w="844" w:type="dxa"/>
            <w:hideMark/>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367</w:t>
            </w:r>
          </w:p>
        </w:tc>
        <w:tc>
          <w:tcPr>
            <w:tcW w:w="1169" w:type="dxa"/>
            <w:hideMark/>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3,512</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b w:val="0"/>
                <w:bCs w:val="0"/>
                <w:sz w:val="22"/>
                <w:szCs w:val="22"/>
              </w:rPr>
            </w:pPr>
            <w:r w:rsidRPr="00BF4AA8">
              <w:rPr>
                <w:rFonts w:ascii="Arial" w:hAnsi="Arial" w:cs="Arial"/>
                <w:b w:val="0"/>
                <w:bCs w:val="0"/>
                <w:sz w:val="22"/>
                <w:szCs w:val="22"/>
              </w:rPr>
              <w:t>Small Scale (&lt; 12 m)</w:t>
            </w:r>
          </w:p>
        </w:tc>
        <w:tc>
          <w:tcPr>
            <w:tcW w:w="1309" w:type="dxa"/>
            <w:hideMark/>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2,424</w:t>
            </w:r>
          </w:p>
        </w:tc>
        <w:tc>
          <w:tcPr>
            <w:tcW w:w="1477" w:type="dxa"/>
            <w:hideMark/>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978</w:t>
            </w:r>
          </w:p>
        </w:tc>
        <w:tc>
          <w:tcPr>
            <w:tcW w:w="1035" w:type="dxa"/>
            <w:hideMark/>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410</w:t>
            </w:r>
          </w:p>
        </w:tc>
        <w:tc>
          <w:tcPr>
            <w:tcW w:w="844" w:type="dxa"/>
            <w:hideMark/>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227</w:t>
            </w:r>
          </w:p>
        </w:tc>
        <w:tc>
          <w:tcPr>
            <w:tcW w:w="1169" w:type="dxa"/>
            <w:hideMark/>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4,030</w:t>
            </w:r>
          </w:p>
        </w:tc>
      </w:tr>
      <w:tr w:rsidR="00B10668" w:rsidRPr="00BF4AA8" w:rsidTr="005F1F5C">
        <w:trPr>
          <w:trHeight w:val="315"/>
        </w:trPr>
        <w:tc>
          <w:tcPr>
            <w:cnfStyle w:val="001000000000" w:firstRow="0" w:lastRow="0" w:firstColumn="1" w:lastColumn="0" w:oddVBand="0" w:evenVBand="0" w:oddHBand="0" w:evenHBand="0" w:firstRowFirstColumn="0" w:firstRowLastColumn="0" w:lastRowFirstColumn="0" w:lastRowLastColumn="0"/>
            <w:tcW w:w="0" w:type="auto"/>
            <w:hideMark/>
          </w:tcPr>
          <w:p w:rsidR="00B10668" w:rsidRPr="00BF4AA8" w:rsidRDefault="00B10668" w:rsidP="005F1F5C">
            <w:pPr>
              <w:rPr>
                <w:rFonts w:ascii="Arial" w:hAnsi="Arial" w:cs="Arial"/>
                <w:sz w:val="22"/>
                <w:szCs w:val="22"/>
              </w:rPr>
            </w:pPr>
            <w:r w:rsidRPr="00BF4AA8">
              <w:rPr>
                <w:rStyle w:val="Strong"/>
                <w:rFonts w:ascii="Arial" w:hAnsi="Arial" w:cs="Arial"/>
                <w:sz w:val="22"/>
                <w:szCs w:val="22"/>
              </w:rPr>
              <w:t>Total</w:t>
            </w:r>
          </w:p>
        </w:tc>
        <w:tc>
          <w:tcPr>
            <w:tcW w:w="1309" w:type="dxa"/>
            <w:hideMark/>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BF4AA8">
              <w:rPr>
                <w:rStyle w:val="Strong"/>
                <w:rFonts w:ascii="Arial" w:hAnsi="Arial" w:cs="Arial"/>
                <w:sz w:val="22"/>
                <w:szCs w:val="22"/>
              </w:rPr>
              <w:t>3,396</w:t>
            </w:r>
          </w:p>
        </w:tc>
        <w:tc>
          <w:tcPr>
            <w:tcW w:w="1477"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BF4AA8">
              <w:rPr>
                <w:rStyle w:val="Strong"/>
                <w:rFonts w:ascii="Arial" w:hAnsi="Arial" w:cs="Arial"/>
                <w:sz w:val="22"/>
                <w:szCs w:val="22"/>
              </w:rPr>
              <w:t>2,523</w:t>
            </w:r>
          </w:p>
        </w:tc>
        <w:tc>
          <w:tcPr>
            <w:tcW w:w="1035"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BF4AA8">
              <w:rPr>
                <w:rStyle w:val="Strong"/>
                <w:rFonts w:ascii="Arial" w:hAnsi="Arial" w:cs="Arial"/>
                <w:sz w:val="22"/>
                <w:szCs w:val="22"/>
              </w:rPr>
              <w:t>1,039</w:t>
            </w:r>
          </w:p>
        </w:tc>
        <w:tc>
          <w:tcPr>
            <w:tcW w:w="844"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BF4AA8">
              <w:rPr>
                <w:rStyle w:val="Strong"/>
                <w:rFonts w:ascii="Arial" w:hAnsi="Arial" w:cs="Arial"/>
                <w:sz w:val="22"/>
                <w:szCs w:val="22"/>
              </w:rPr>
              <w:t>594</w:t>
            </w:r>
          </w:p>
        </w:tc>
        <w:tc>
          <w:tcPr>
            <w:tcW w:w="1169"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BF4AA8">
              <w:rPr>
                <w:rFonts w:ascii="Arial" w:hAnsi="Arial" w:cs="Arial"/>
                <w:b/>
                <w:bCs/>
                <w:sz w:val="22"/>
                <w:szCs w:val="22"/>
              </w:rPr>
              <w:t>7552</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shd w:val="clear" w:color="auto" w:fill="9CC2E5" w:themeFill="accent5" w:themeFillTint="99"/>
          </w:tcPr>
          <w:p w:rsidR="00B10668" w:rsidRPr="00BF4AA8" w:rsidRDefault="00B10668" w:rsidP="005F1F5C">
            <w:pPr>
              <w:rPr>
                <w:rFonts w:ascii="Arial" w:hAnsi="Arial" w:cs="Arial"/>
                <w:color w:val="FFFFFF" w:themeColor="background1"/>
                <w:sz w:val="22"/>
                <w:szCs w:val="22"/>
              </w:rPr>
            </w:pPr>
            <w:r w:rsidRPr="00BF4AA8">
              <w:rPr>
                <w:rFonts w:ascii="Arial" w:hAnsi="Arial" w:cs="Arial"/>
                <w:color w:val="FFFFFF" w:themeColor="background1"/>
                <w:sz w:val="22"/>
                <w:szCs w:val="22"/>
              </w:rPr>
              <w:t>Type of Engine Power (HP)</w:t>
            </w:r>
          </w:p>
        </w:tc>
        <w:tc>
          <w:tcPr>
            <w:tcW w:w="1309" w:type="dxa"/>
            <w:shd w:val="clear" w:color="auto" w:fill="9CC2E5" w:themeFill="accent5" w:themeFillTint="99"/>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Koh Kong</w:t>
            </w:r>
          </w:p>
        </w:tc>
        <w:tc>
          <w:tcPr>
            <w:tcW w:w="1477" w:type="dxa"/>
            <w:shd w:val="clear" w:color="auto" w:fill="9CC2E5" w:themeFill="accent5" w:themeFillTint="99"/>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Preah Sihanouk</w:t>
            </w:r>
          </w:p>
        </w:tc>
        <w:tc>
          <w:tcPr>
            <w:tcW w:w="1035" w:type="dxa"/>
            <w:shd w:val="clear" w:color="auto" w:fill="9CC2E5" w:themeFill="accent5" w:themeFillTint="99"/>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2"/>
                <w:szCs w:val="22"/>
              </w:rPr>
            </w:pPr>
            <w:proofErr w:type="spellStart"/>
            <w:r w:rsidRPr="00BF4AA8">
              <w:rPr>
                <w:rFonts w:ascii="Arial" w:hAnsi="Arial" w:cs="Arial"/>
                <w:b/>
                <w:bCs/>
                <w:color w:val="FFFFFF" w:themeColor="background1"/>
                <w:sz w:val="22"/>
                <w:szCs w:val="22"/>
              </w:rPr>
              <w:t>Kampot</w:t>
            </w:r>
            <w:proofErr w:type="spellEnd"/>
          </w:p>
        </w:tc>
        <w:tc>
          <w:tcPr>
            <w:tcW w:w="844" w:type="dxa"/>
            <w:shd w:val="clear" w:color="auto" w:fill="9CC2E5" w:themeFill="accent5" w:themeFillTint="99"/>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2"/>
                <w:szCs w:val="22"/>
              </w:rPr>
            </w:pPr>
            <w:proofErr w:type="spellStart"/>
            <w:r w:rsidRPr="00BF4AA8">
              <w:rPr>
                <w:rFonts w:ascii="Arial" w:hAnsi="Arial" w:cs="Arial"/>
                <w:b/>
                <w:bCs/>
                <w:color w:val="FFFFFF" w:themeColor="background1"/>
                <w:sz w:val="22"/>
                <w:szCs w:val="22"/>
              </w:rPr>
              <w:t>Kep</w:t>
            </w:r>
            <w:proofErr w:type="spellEnd"/>
          </w:p>
        </w:tc>
        <w:tc>
          <w:tcPr>
            <w:tcW w:w="1169" w:type="dxa"/>
            <w:shd w:val="clear" w:color="auto" w:fill="9CC2E5" w:themeFill="accent5" w:themeFillTint="99"/>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Total</w:t>
            </w:r>
          </w:p>
        </w:tc>
      </w:tr>
      <w:tr w:rsidR="00B10668" w:rsidRPr="00BF4AA8" w:rsidTr="005F1F5C">
        <w:trPr>
          <w:trHeight w:val="315"/>
        </w:trPr>
        <w:tc>
          <w:tcPr>
            <w:cnfStyle w:val="001000000000" w:firstRow="0" w:lastRow="0" w:firstColumn="1" w:lastColumn="0" w:oddVBand="0" w:evenVBand="0" w:oddHBand="0" w:evenHBand="0" w:firstRowFirstColumn="0" w:firstRowLastColumn="0" w:lastRowFirstColumn="0" w:lastRowLastColumn="0"/>
            <w:tcW w:w="0" w:type="auto"/>
          </w:tcPr>
          <w:p w:rsidR="00B10668" w:rsidRPr="00BF4AA8" w:rsidRDefault="00B10668" w:rsidP="005F1F5C">
            <w:pPr>
              <w:rPr>
                <w:rFonts w:ascii="Arial" w:hAnsi="Arial" w:cs="Arial"/>
                <w:b w:val="0"/>
                <w:bCs w:val="0"/>
                <w:sz w:val="22"/>
                <w:szCs w:val="22"/>
              </w:rPr>
            </w:pPr>
            <w:r w:rsidRPr="00BF4AA8">
              <w:rPr>
                <w:rFonts w:ascii="Arial" w:hAnsi="Arial" w:cs="Arial"/>
                <w:b w:val="0"/>
                <w:bCs w:val="0"/>
                <w:sz w:val="22"/>
                <w:szCs w:val="22"/>
              </w:rPr>
              <w:t>&lt; 50</w:t>
            </w:r>
          </w:p>
        </w:tc>
        <w:tc>
          <w:tcPr>
            <w:tcW w:w="1309"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2,967</w:t>
            </w:r>
          </w:p>
        </w:tc>
        <w:tc>
          <w:tcPr>
            <w:tcW w:w="1477"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2,115</w:t>
            </w:r>
          </w:p>
        </w:tc>
        <w:tc>
          <w:tcPr>
            <w:tcW w:w="1035"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1,028</w:t>
            </w:r>
          </w:p>
        </w:tc>
        <w:tc>
          <w:tcPr>
            <w:tcW w:w="844"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589</w:t>
            </w:r>
          </w:p>
        </w:tc>
        <w:tc>
          <w:tcPr>
            <w:tcW w:w="1169"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6,699</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tcPr>
          <w:p w:rsidR="00B10668" w:rsidRPr="00BF4AA8" w:rsidRDefault="00B10668" w:rsidP="005F1F5C">
            <w:pPr>
              <w:rPr>
                <w:rFonts w:ascii="Arial" w:hAnsi="Arial" w:cs="Arial"/>
                <w:b w:val="0"/>
                <w:bCs w:val="0"/>
                <w:sz w:val="22"/>
                <w:szCs w:val="22"/>
              </w:rPr>
            </w:pPr>
            <w:r w:rsidRPr="00BF4AA8">
              <w:rPr>
                <w:rFonts w:ascii="Arial" w:hAnsi="Arial" w:cs="Arial"/>
                <w:b w:val="0"/>
                <w:bCs w:val="0"/>
                <w:sz w:val="22"/>
                <w:szCs w:val="22"/>
              </w:rPr>
              <w:t>51 – 90</w:t>
            </w:r>
          </w:p>
        </w:tc>
        <w:tc>
          <w:tcPr>
            <w:tcW w:w="1309"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157</w:t>
            </w:r>
          </w:p>
        </w:tc>
        <w:tc>
          <w:tcPr>
            <w:tcW w:w="1477"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110</w:t>
            </w:r>
          </w:p>
        </w:tc>
        <w:tc>
          <w:tcPr>
            <w:tcW w:w="1035"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w:t>
            </w:r>
          </w:p>
        </w:tc>
        <w:tc>
          <w:tcPr>
            <w:tcW w:w="844"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w:t>
            </w:r>
          </w:p>
        </w:tc>
        <w:tc>
          <w:tcPr>
            <w:tcW w:w="1169"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279</w:t>
            </w:r>
          </w:p>
        </w:tc>
      </w:tr>
      <w:tr w:rsidR="00B10668" w:rsidRPr="00BF4AA8" w:rsidTr="005F1F5C">
        <w:trPr>
          <w:trHeight w:val="315"/>
        </w:trPr>
        <w:tc>
          <w:tcPr>
            <w:cnfStyle w:val="001000000000" w:firstRow="0" w:lastRow="0" w:firstColumn="1" w:lastColumn="0" w:oddVBand="0" w:evenVBand="0" w:oddHBand="0" w:evenHBand="0" w:firstRowFirstColumn="0" w:firstRowLastColumn="0" w:lastRowFirstColumn="0" w:lastRowLastColumn="0"/>
            <w:tcW w:w="0" w:type="auto"/>
          </w:tcPr>
          <w:p w:rsidR="00B10668" w:rsidRPr="00BF4AA8" w:rsidRDefault="00B10668" w:rsidP="005F1F5C">
            <w:pPr>
              <w:rPr>
                <w:rFonts w:ascii="Arial" w:hAnsi="Arial" w:cs="Arial"/>
                <w:b w:val="0"/>
                <w:bCs w:val="0"/>
                <w:sz w:val="22"/>
                <w:szCs w:val="22"/>
              </w:rPr>
            </w:pPr>
            <w:r w:rsidRPr="00BF4AA8">
              <w:rPr>
                <w:rFonts w:ascii="Arial" w:hAnsi="Arial" w:cs="Arial"/>
                <w:b w:val="0"/>
                <w:bCs w:val="0"/>
                <w:sz w:val="22"/>
                <w:szCs w:val="22"/>
              </w:rPr>
              <w:t>91 – 180</w:t>
            </w:r>
          </w:p>
        </w:tc>
        <w:tc>
          <w:tcPr>
            <w:tcW w:w="1309"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179</w:t>
            </w:r>
          </w:p>
        </w:tc>
        <w:tc>
          <w:tcPr>
            <w:tcW w:w="1477"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257</w:t>
            </w:r>
          </w:p>
        </w:tc>
        <w:tc>
          <w:tcPr>
            <w:tcW w:w="1035"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w:t>
            </w:r>
          </w:p>
        </w:tc>
        <w:tc>
          <w:tcPr>
            <w:tcW w:w="844"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w:t>
            </w:r>
          </w:p>
        </w:tc>
        <w:tc>
          <w:tcPr>
            <w:tcW w:w="1169"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440</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tcPr>
          <w:p w:rsidR="00B10668" w:rsidRPr="00BF4AA8" w:rsidRDefault="00B10668" w:rsidP="005F1F5C">
            <w:pPr>
              <w:rPr>
                <w:rFonts w:ascii="Arial" w:hAnsi="Arial" w:cs="Arial"/>
                <w:b w:val="0"/>
                <w:bCs w:val="0"/>
                <w:sz w:val="22"/>
                <w:szCs w:val="22"/>
              </w:rPr>
            </w:pPr>
            <w:r w:rsidRPr="00BF4AA8">
              <w:rPr>
                <w:rFonts w:ascii="Arial" w:hAnsi="Arial" w:cs="Arial"/>
                <w:b w:val="0"/>
                <w:bCs w:val="0"/>
                <w:sz w:val="22"/>
                <w:szCs w:val="22"/>
              </w:rPr>
              <w:t>181 – 270</w:t>
            </w:r>
          </w:p>
        </w:tc>
        <w:tc>
          <w:tcPr>
            <w:tcW w:w="1309"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57</w:t>
            </w:r>
          </w:p>
        </w:tc>
        <w:tc>
          <w:tcPr>
            <w:tcW w:w="1477"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26</w:t>
            </w:r>
          </w:p>
        </w:tc>
        <w:tc>
          <w:tcPr>
            <w:tcW w:w="1035"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w:t>
            </w:r>
          </w:p>
        </w:tc>
        <w:tc>
          <w:tcPr>
            <w:tcW w:w="844"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w:t>
            </w:r>
          </w:p>
        </w:tc>
        <w:tc>
          <w:tcPr>
            <w:tcW w:w="1169"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83</w:t>
            </w:r>
          </w:p>
        </w:tc>
      </w:tr>
      <w:tr w:rsidR="00B10668" w:rsidRPr="00BF4AA8" w:rsidTr="005F1F5C">
        <w:trPr>
          <w:trHeight w:val="315"/>
        </w:trPr>
        <w:tc>
          <w:tcPr>
            <w:cnfStyle w:val="001000000000" w:firstRow="0" w:lastRow="0" w:firstColumn="1" w:lastColumn="0" w:oddVBand="0" w:evenVBand="0" w:oddHBand="0" w:evenHBand="0" w:firstRowFirstColumn="0" w:firstRowLastColumn="0" w:lastRowFirstColumn="0" w:lastRowLastColumn="0"/>
            <w:tcW w:w="0" w:type="auto"/>
          </w:tcPr>
          <w:p w:rsidR="00B10668" w:rsidRPr="00BF4AA8" w:rsidRDefault="00B10668" w:rsidP="005F1F5C">
            <w:pPr>
              <w:rPr>
                <w:rFonts w:ascii="Arial" w:hAnsi="Arial" w:cs="Arial"/>
                <w:b w:val="0"/>
                <w:bCs w:val="0"/>
                <w:sz w:val="22"/>
                <w:szCs w:val="22"/>
              </w:rPr>
            </w:pPr>
            <w:r w:rsidRPr="00BF4AA8">
              <w:rPr>
                <w:rFonts w:ascii="Arial" w:hAnsi="Arial" w:cs="Arial"/>
                <w:b w:val="0"/>
                <w:bCs w:val="0"/>
                <w:sz w:val="22"/>
                <w:szCs w:val="22"/>
              </w:rPr>
              <w:t>271 – 540</w:t>
            </w:r>
          </w:p>
        </w:tc>
        <w:tc>
          <w:tcPr>
            <w:tcW w:w="1309"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36</w:t>
            </w:r>
          </w:p>
        </w:tc>
        <w:tc>
          <w:tcPr>
            <w:tcW w:w="1477"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15</w:t>
            </w:r>
          </w:p>
        </w:tc>
        <w:tc>
          <w:tcPr>
            <w:tcW w:w="1035"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w:t>
            </w:r>
          </w:p>
        </w:tc>
        <w:tc>
          <w:tcPr>
            <w:tcW w:w="844"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w:t>
            </w:r>
          </w:p>
        </w:tc>
        <w:tc>
          <w:tcPr>
            <w:tcW w:w="1169"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51</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tcPr>
          <w:p w:rsidR="00B10668" w:rsidRPr="00BF4AA8" w:rsidRDefault="00B10668" w:rsidP="005F1F5C">
            <w:pPr>
              <w:rPr>
                <w:rFonts w:ascii="Arial" w:hAnsi="Arial" w:cs="Arial"/>
                <w:sz w:val="22"/>
                <w:szCs w:val="22"/>
              </w:rPr>
            </w:pPr>
            <w:r w:rsidRPr="00BF4AA8">
              <w:rPr>
                <w:rStyle w:val="Strong"/>
                <w:rFonts w:ascii="Arial" w:hAnsi="Arial" w:cs="Arial"/>
                <w:sz w:val="22"/>
                <w:szCs w:val="22"/>
              </w:rPr>
              <w:t>Total</w:t>
            </w:r>
          </w:p>
        </w:tc>
        <w:tc>
          <w:tcPr>
            <w:tcW w:w="1309"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BF4AA8">
              <w:rPr>
                <w:rStyle w:val="Strong"/>
                <w:rFonts w:ascii="Arial" w:hAnsi="Arial" w:cs="Arial"/>
                <w:sz w:val="22"/>
                <w:szCs w:val="22"/>
              </w:rPr>
              <w:t>3,396</w:t>
            </w:r>
          </w:p>
        </w:tc>
        <w:tc>
          <w:tcPr>
            <w:tcW w:w="1477"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BF4AA8">
              <w:rPr>
                <w:rStyle w:val="Strong"/>
                <w:rFonts w:ascii="Arial" w:hAnsi="Arial" w:cs="Arial"/>
                <w:sz w:val="22"/>
                <w:szCs w:val="22"/>
              </w:rPr>
              <w:t>2,523</w:t>
            </w:r>
          </w:p>
        </w:tc>
        <w:tc>
          <w:tcPr>
            <w:tcW w:w="1035"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BF4AA8">
              <w:rPr>
                <w:rStyle w:val="Strong"/>
                <w:rFonts w:ascii="Arial" w:hAnsi="Arial" w:cs="Arial"/>
                <w:sz w:val="22"/>
                <w:szCs w:val="22"/>
              </w:rPr>
              <w:t>1,039</w:t>
            </w:r>
          </w:p>
        </w:tc>
        <w:tc>
          <w:tcPr>
            <w:tcW w:w="844"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BF4AA8">
              <w:rPr>
                <w:rStyle w:val="Strong"/>
                <w:rFonts w:ascii="Arial" w:hAnsi="Arial" w:cs="Arial"/>
                <w:sz w:val="22"/>
                <w:szCs w:val="22"/>
              </w:rPr>
              <w:t>594</w:t>
            </w:r>
          </w:p>
        </w:tc>
        <w:tc>
          <w:tcPr>
            <w:tcW w:w="1169"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sz w:val="22"/>
                <w:szCs w:val="22"/>
              </w:rPr>
            </w:pPr>
            <w:r w:rsidRPr="00BF4AA8">
              <w:rPr>
                <w:rFonts w:ascii="Arial" w:hAnsi="Arial" w:cs="Arial"/>
                <w:b/>
                <w:bCs/>
                <w:sz w:val="22"/>
                <w:szCs w:val="22"/>
              </w:rPr>
              <w:t>7552</w:t>
            </w:r>
          </w:p>
        </w:tc>
      </w:tr>
      <w:tr w:rsidR="00B10668" w:rsidRPr="00BF4AA8" w:rsidTr="005F1F5C">
        <w:trPr>
          <w:trHeight w:val="315"/>
        </w:trPr>
        <w:tc>
          <w:tcPr>
            <w:cnfStyle w:val="001000000000" w:firstRow="0" w:lastRow="0" w:firstColumn="1" w:lastColumn="0" w:oddVBand="0" w:evenVBand="0" w:oddHBand="0" w:evenHBand="0" w:firstRowFirstColumn="0" w:firstRowLastColumn="0" w:lastRowFirstColumn="0" w:lastRowLastColumn="0"/>
            <w:tcW w:w="0" w:type="auto"/>
            <w:shd w:val="clear" w:color="auto" w:fill="9CC2E5" w:themeFill="accent5" w:themeFillTint="99"/>
          </w:tcPr>
          <w:p w:rsidR="00B10668" w:rsidRPr="00BF4AA8" w:rsidRDefault="00B10668" w:rsidP="005F1F5C">
            <w:pPr>
              <w:rPr>
                <w:rFonts w:ascii="Arial" w:hAnsi="Arial" w:cs="Arial"/>
                <w:color w:val="FFFFFF" w:themeColor="background1"/>
                <w:sz w:val="22"/>
                <w:szCs w:val="22"/>
              </w:rPr>
            </w:pPr>
            <w:r w:rsidRPr="00BF4AA8">
              <w:rPr>
                <w:rFonts w:ascii="Arial" w:hAnsi="Arial" w:cs="Arial"/>
                <w:color w:val="FFFFFF" w:themeColor="background1"/>
                <w:sz w:val="22"/>
                <w:szCs w:val="22"/>
              </w:rPr>
              <w:t>Type of Engine Power (HP)</w:t>
            </w:r>
          </w:p>
        </w:tc>
        <w:tc>
          <w:tcPr>
            <w:tcW w:w="1309" w:type="dxa"/>
            <w:shd w:val="clear" w:color="auto" w:fill="9CC2E5" w:themeFill="accent5" w:themeFillTint="99"/>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Koh Kong</w:t>
            </w:r>
          </w:p>
        </w:tc>
        <w:tc>
          <w:tcPr>
            <w:tcW w:w="1477" w:type="dxa"/>
            <w:shd w:val="clear" w:color="auto" w:fill="9CC2E5" w:themeFill="accent5" w:themeFillTint="99"/>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Preah Sihanouk</w:t>
            </w:r>
          </w:p>
        </w:tc>
        <w:tc>
          <w:tcPr>
            <w:tcW w:w="1035" w:type="dxa"/>
            <w:shd w:val="clear" w:color="auto" w:fill="9CC2E5" w:themeFill="accent5" w:themeFillTint="99"/>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proofErr w:type="spellStart"/>
            <w:r w:rsidRPr="00BF4AA8">
              <w:rPr>
                <w:rFonts w:ascii="Arial" w:hAnsi="Arial" w:cs="Arial"/>
                <w:b/>
                <w:bCs/>
                <w:color w:val="FFFFFF" w:themeColor="background1"/>
                <w:sz w:val="22"/>
                <w:szCs w:val="22"/>
              </w:rPr>
              <w:t>Kampot</w:t>
            </w:r>
            <w:proofErr w:type="spellEnd"/>
          </w:p>
        </w:tc>
        <w:tc>
          <w:tcPr>
            <w:tcW w:w="844" w:type="dxa"/>
            <w:shd w:val="clear" w:color="auto" w:fill="9CC2E5" w:themeFill="accent5" w:themeFillTint="99"/>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proofErr w:type="spellStart"/>
            <w:r w:rsidRPr="00BF4AA8">
              <w:rPr>
                <w:rFonts w:ascii="Arial" w:hAnsi="Arial" w:cs="Arial"/>
                <w:b/>
                <w:bCs/>
                <w:color w:val="FFFFFF" w:themeColor="background1"/>
                <w:sz w:val="22"/>
                <w:szCs w:val="22"/>
              </w:rPr>
              <w:t>Kep</w:t>
            </w:r>
            <w:proofErr w:type="spellEnd"/>
          </w:p>
        </w:tc>
        <w:tc>
          <w:tcPr>
            <w:tcW w:w="1169" w:type="dxa"/>
            <w:shd w:val="clear" w:color="auto" w:fill="9CC2E5" w:themeFill="accent5" w:themeFillTint="99"/>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Total</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tcPr>
          <w:p w:rsidR="00B10668" w:rsidRPr="00BF4AA8" w:rsidRDefault="00B10668" w:rsidP="005F1F5C">
            <w:pPr>
              <w:rPr>
                <w:rFonts w:ascii="Arial" w:hAnsi="Arial" w:cs="Arial"/>
                <w:b w:val="0"/>
                <w:bCs w:val="0"/>
                <w:sz w:val="22"/>
                <w:szCs w:val="22"/>
              </w:rPr>
            </w:pPr>
            <w:r w:rsidRPr="00BF4AA8">
              <w:rPr>
                <w:rFonts w:ascii="Arial" w:hAnsi="Arial" w:cs="Arial"/>
                <w:b w:val="0"/>
                <w:bCs w:val="0"/>
                <w:sz w:val="22"/>
                <w:szCs w:val="22"/>
              </w:rPr>
              <w:t>&lt; 50</w:t>
            </w:r>
          </w:p>
        </w:tc>
        <w:tc>
          <w:tcPr>
            <w:tcW w:w="1309"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2,967</w:t>
            </w:r>
          </w:p>
        </w:tc>
        <w:tc>
          <w:tcPr>
            <w:tcW w:w="1477"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2,115</w:t>
            </w:r>
          </w:p>
        </w:tc>
        <w:tc>
          <w:tcPr>
            <w:tcW w:w="1035"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1,028</w:t>
            </w:r>
          </w:p>
        </w:tc>
        <w:tc>
          <w:tcPr>
            <w:tcW w:w="844"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589</w:t>
            </w:r>
          </w:p>
        </w:tc>
        <w:tc>
          <w:tcPr>
            <w:tcW w:w="1169"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6,699</w:t>
            </w:r>
          </w:p>
        </w:tc>
      </w:tr>
      <w:tr w:rsidR="00B10668" w:rsidRPr="00BF4AA8" w:rsidTr="005F1F5C">
        <w:trPr>
          <w:trHeight w:val="315"/>
        </w:trPr>
        <w:tc>
          <w:tcPr>
            <w:cnfStyle w:val="001000000000" w:firstRow="0" w:lastRow="0" w:firstColumn="1" w:lastColumn="0" w:oddVBand="0" w:evenVBand="0" w:oddHBand="0" w:evenHBand="0" w:firstRowFirstColumn="0" w:firstRowLastColumn="0" w:lastRowFirstColumn="0" w:lastRowLastColumn="0"/>
            <w:tcW w:w="0" w:type="auto"/>
          </w:tcPr>
          <w:p w:rsidR="00B10668" w:rsidRPr="00BF4AA8" w:rsidRDefault="00B10668" w:rsidP="005F1F5C">
            <w:pPr>
              <w:rPr>
                <w:rFonts w:ascii="Arial" w:hAnsi="Arial" w:cs="Arial"/>
                <w:b w:val="0"/>
                <w:bCs w:val="0"/>
                <w:sz w:val="22"/>
                <w:szCs w:val="22"/>
              </w:rPr>
            </w:pPr>
            <w:r w:rsidRPr="00BF4AA8">
              <w:rPr>
                <w:rFonts w:ascii="Arial" w:hAnsi="Arial" w:cs="Arial"/>
                <w:b w:val="0"/>
                <w:bCs w:val="0"/>
                <w:sz w:val="22"/>
                <w:szCs w:val="22"/>
              </w:rPr>
              <w:t>51 – 90</w:t>
            </w:r>
          </w:p>
        </w:tc>
        <w:tc>
          <w:tcPr>
            <w:tcW w:w="1309"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157</w:t>
            </w:r>
          </w:p>
        </w:tc>
        <w:tc>
          <w:tcPr>
            <w:tcW w:w="1477"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110</w:t>
            </w:r>
          </w:p>
        </w:tc>
        <w:tc>
          <w:tcPr>
            <w:tcW w:w="1035"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w:t>
            </w:r>
          </w:p>
        </w:tc>
        <w:tc>
          <w:tcPr>
            <w:tcW w:w="844"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w:t>
            </w:r>
          </w:p>
        </w:tc>
        <w:tc>
          <w:tcPr>
            <w:tcW w:w="1169"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279</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tcPr>
          <w:p w:rsidR="00B10668" w:rsidRPr="00BF4AA8" w:rsidRDefault="00B10668" w:rsidP="005F1F5C">
            <w:pPr>
              <w:rPr>
                <w:rFonts w:ascii="Arial" w:hAnsi="Arial" w:cs="Arial"/>
                <w:b w:val="0"/>
                <w:bCs w:val="0"/>
                <w:sz w:val="22"/>
                <w:szCs w:val="22"/>
              </w:rPr>
            </w:pPr>
            <w:r w:rsidRPr="00BF4AA8">
              <w:rPr>
                <w:rFonts w:ascii="Arial" w:hAnsi="Arial" w:cs="Arial"/>
                <w:b w:val="0"/>
                <w:bCs w:val="0"/>
                <w:sz w:val="22"/>
                <w:szCs w:val="22"/>
              </w:rPr>
              <w:t>91 – 180</w:t>
            </w:r>
          </w:p>
        </w:tc>
        <w:tc>
          <w:tcPr>
            <w:tcW w:w="1309"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179</w:t>
            </w:r>
          </w:p>
        </w:tc>
        <w:tc>
          <w:tcPr>
            <w:tcW w:w="1477"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257</w:t>
            </w:r>
          </w:p>
        </w:tc>
        <w:tc>
          <w:tcPr>
            <w:tcW w:w="1035"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w:t>
            </w:r>
          </w:p>
        </w:tc>
        <w:tc>
          <w:tcPr>
            <w:tcW w:w="844"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w:t>
            </w:r>
          </w:p>
        </w:tc>
        <w:tc>
          <w:tcPr>
            <w:tcW w:w="1169"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440</w:t>
            </w:r>
          </w:p>
        </w:tc>
      </w:tr>
      <w:tr w:rsidR="00B10668" w:rsidRPr="00BF4AA8" w:rsidTr="005F1F5C">
        <w:trPr>
          <w:trHeight w:val="315"/>
        </w:trPr>
        <w:tc>
          <w:tcPr>
            <w:cnfStyle w:val="001000000000" w:firstRow="0" w:lastRow="0" w:firstColumn="1" w:lastColumn="0" w:oddVBand="0" w:evenVBand="0" w:oddHBand="0" w:evenHBand="0" w:firstRowFirstColumn="0" w:firstRowLastColumn="0" w:lastRowFirstColumn="0" w:lastRowLastColumn="0"/>
            <w:tcW w:w="0" w:type="auto"/>
          </w:tcPr>
          <w:p w:rsidR="00B10668" w:rsidRPr="00BF4AA8" w:rsidRDefault="00B10668" w:rsidP="005F1F5C">
            <w:pPr>
              <w:rPr>
                <w:rFonts w:ascii="Arial" w:hAnsi="Arial" w:cs="Arial"/>
                <w:b w:val="0"/>
                <w:bCs w:val="0"/>
                <w:sz w:val="22"/>
                <w:szCs w:val="22"/>
              </w:rPr>
            </w:pPr>
            <w:r w:rsidRPr="00BF4AA8">
              <w:rPr>
                <w:rFonts w:ascii="Arial" w:hAnsi="Arial" w:cs="Arial"/>
                <w:b w:val="0"/>
                <w:bCs w:val="0"/>
                <w:sz w:val="22"/>
                <w:szCs w:val="22"/>
              </w:rPr>
              <w:t>181 – 270</w:t>
            </w:r>
          </w:p>
        </w:tc>
        <w:tc>
          <w:tcPr>
            <w:tcW w:w="1309"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57</w:t>
            </w:r>
          </w:p>
        </w:tc>
        <w:tc>
          <w:tcPr>
            <w:tcW w:w="1477"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26</w:t>
            </w:r>
          </w:p>
        </w:tc>
        <w:tc>
          <w:tcPr>
            <w:tcW w:w="1035"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w:t>
            </w:r>
          </w:p>
        </w:tc>
        <w:tc>
          <w:tcPr>
            <w:tcW w:w="844"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w:t>
            </w:r>
          </w:p>
        </w:tc>
        <w:tc>
          <w:tcPr>
            <w:tcW w:w="1169"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83</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tcPr>
          <w:p w:rsidR="00B10668" w:rsidRPr="00BF4AA8" w:rsidRDefault="00B10668" w:rsidP="005F1F5C">
            <w:pPr>
              <w:rPr>
                <w:rFonts w:ascii="Arial" w:hAnsi="Arial" w:cs="Arial"/>
                <w:b w:val="0"/>
                <w:bCs w:val="0"/>
                <w:sz w:val="22"/>
                <w:szCs w:val="22"/>
              </w:rPr>
            </w:pPr>
            <w:r w:rsidRPr="00BF4AA8">
              <w:rPr>
                <w:rFonts w:ascii="Arial" w:hAnsi="Arial" w:cs="Arial"/>
                <w:b w:val="0"/>
                <w:bCs w:val="0"/>
                <w:sz w:val="22"/>
                <w:szCs w:val="22"/>
              </w:rPr>
              <w:t>271 – 540</w:t>
            </w:r>
          </w:p>
        </w:tc>
        <w:tc>
          <w:tcPr>
            <w:tcW w:w="1309"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36</w:t>
            </w:r>
          </w:p>
        </w:tc>
        <w:tc>
          <w:tcPr>
            <w:tcW w:w="1477"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15</w:t>
            </w:r>
          </w:p>
        </w:tc>
        <w:tc>
          <w:tcPr>
            <w:tcW w:w="1035"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w:t>
            </w:r>
          </w:p>
        </w:tc>
        <w:tc>
          <w:tcPr>
            <w:tcW w:w="844"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w:t>
            </w:r>
          </w:p>
        </w:tc>
        <w:tc>
          <w:tcPr>
            <w:tcW w:w="1169"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51</w:t>
            </w:r>
          </w:p>
        </w:tc>
      </w:tr>
      <w:tr w:rsidR="00B10668" w:rsidRPr="00BF4AA8" w:rsidTr="005F1F5C">
        <w:trPr>
          <w:trHeight w:val="315"/>
        </w:trPr>
        <w:tc>
          <w:tcPr>
            <w:cnfStyle w:val="001000000000" w:firstRow="0" w:lastRow="0" w:firstColumn="1" w:lastColumn="0" w:oddVBand="0" w:evenVBand="0" w:oddHBand="0" w:evenHBand="0" w:firstRowFirstColumn="0" w:firstRowLastColumn="0" w:lastRowFirstColumn="0" w:lastRowLastColumn="0"/>
            <w:tcW w:w="0" w:type="auto"/>
          </w:tcPr>
          <w:p w:rsidR="00B10668" w:rsidRPr="00BF4AA8" w:rsidRDefault="00B10668" w:rsidP="005F1F5C">
            <w:pPr>
              <w:rPr>
                <w:rFonts w:ascii="Arial" w:hAnsi="Arial" w:cs="Arial"/>
                <w:sz w:val="22"/>
                <w:szCs w:val="22"/>
              </w:rPr>
            </w:pPr>
            <w:r w:rsidRPr="00BF4AA8">
              <w:rPr>
                <w:rStyle w:val="Strong"/>
                <w:rFonts w:ascii="Arial" w:hAnsi="Arial" w:cs="Arial"/>
                <w:sz w:val="22"/>
                <w:szCs w:val="22"/>
              </w:rPr>
              <w:t>Total</w:t>
            </w:r>
          </w:p>
        </w:tc>
        <w:tc>
          <w:tcPr>
            <w:tcW w:w="1309"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BF4AA8">
              <w:rPr>
                <w:rStyle w:val="Strong"/>
                <w:rFonts w:ascii="Arial" w:hAnsi="Arial" w:cs="Arial"/>
                <w:sz w:val="22"/>
                <w:szCs w:val="22"/>
              </w:rPr>
              <w:t>3,396</w:t>
            </w:r>
          </w:p>
        </w:tc>
        <w:tc>
          <w:tcPr>
            <w:tcW w:w="1477"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BF4AA8">
              <w:rPr>
                <w:rStyle w:val="Strong"/>
                <w:rFonts w:ascii="Arial" w:hAnsi="Arial" w:cs="Arial"/>
                <w:sz w:val="22"/>
                <w:szCs w:val="22"/>
              </w:rPr>
              <w:t>2,523</w:t>
            </w:r>
          </w:p>
        </w:tc>
        <w:tc>
          <w:tcPr>
            <w:tcW w:w="1035"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BF4AA8">
              <w:rPr>
                <w:rStyle w:val="Strong"/>
                <w:rFonts w:ascii="Arial" w:hAnsi="Arial" w:cs="Arial"/>
                <w:sz w:val="22"/>
                <w:szCs w:val="22"/>
              </w:rPr>
              <w:t>1,039</w:t>
            </w:r>
          </w:p>
        </w:tc>
        <w:tc>
          <w:tcPr>
            <w:tcW w:w="844"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BF4AA8">
              <w:rPr>
                <w:rStyle w:val="Strong"/>
                <w:rFonts w:ascii="Arial" w:hAnsi="Arial" w:cs="Arial"/>
                <w:sz w:val="22"/>
                <w:szCs w:val="22"/>
              </w:rPr>
              <w:t>594</w:t>
            </w:r>
          </w:p>
        </w:tc>
        <w:tc>
          <w:tcPr>
            <w:tcW w:w="1169"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b/>
                <w:bCs/>
                <w:sz w:val="22"/>
                <w:szCs w:val="22"/>
              </w:rPr>
            </w:pPr>
            <w:r w:rsidRPr="00BF4AA8">
              <w:rPr>
                <w:rFonts w:ascii="Arial" w:hAnsi="Arial" w:cs="Arial"/>
                <w:b/>
                <w:bCs/>
                <w:sz w:val="22"/>
                <w:szCs w:val="22"/>
              </w:rPr>
              <w:t>7552</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shd w:val="clear" w:color="auto" w:fill="9CC2E5" w:themeFill="accent5" w:themeFillTint="99"/>
          </w:tcPr>
          <w:p w:rsidR="00B10668" w:rsidRPr="00BF4AA8" w:rsidRDefault="00B10668" w:rsidP="005F1F5C">
            <w:pPr>
              <w:rPr>
                <w:rFonts w:ascii="Arial" w:hAnsi="Arial" w:cs="Arial"/>
                <w:color w:val="FFFFFF" w:themeColor="background1"/>
                <w:sz w:val="22"/>
                <w:szCs w:val="22"/>
              </w:rPr>
            </w:pPr>
            <w:r w:rsidRPr="00BF4AA8">
              <w:rPr>
                <w:rFonts w:ascii="Arial" w:hAnsi="Arial" w:cs="Arial"/>
                <w:color w:val="FFFFFF" w:themeColor="background1"/>
                <w:sz w:val="22"/>
                <w:szCs w:val="22"/>
              </w:rPr>
              <w:t>Registration Status</w:t>
            </w:r>
          </w:p>
        </w:tc>
        <w:tc>
          <w:tcPr>
            <w:tcW w:w="1309" w:type="dxa"/>
            <w:shd w:val="clear" w:color="auto" w:fill="9CC2E5" w:themeFill="accent5" w:themeFillTint="99"/>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Koh Kong</w:t>
            </w:r>
          </w:p>
        </w:tc>
        <w:tc>
          <w:tcPr>
            <w:tcW w:w="1477" w:type="dxa"/>
            <w:shd w:val="clear" w:color="auto" w:fill="9CC2E5" w:themeFill="accent5" w:themeFillTint="99"/>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Preah Sihanouk</w:t>
            </w:r>
          </w:p>
        </w:tc>
        <w:tc>
          <w:tcPr>
            <w:tcW w:w="1035" w:type="dxa"/>
            <w:shd w:val="clear" w:color="auto" w:fill="9CC2E5" w:themeFill="accent5" w:themeFillTint="99"/>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2"/>
                <w:szCs w:val="22"/>
              </w:rPr>
            </w:pPr>
            <w:proofErr w:type="spellStart"/>
            <w:r w:rsidRPr="00BF4AA8">
              <w:rPr>
                <w:rFonts w:ascii="Arial" w:hAnsi="Arial" w:cs="Arial"/>
                <w:b/>
                <w:bCs/>
                <w:color w:val="FFFFFF" w:themeColor="background1"/>
                <w:sz w:val="22"/>
                <w:szCs w:val="22"/>
              </w:rPr>
              <w:t>Kampot</w:t>
            </w:r>
            <w:proofErr w:type="spellEnd"/>
          </w:p>
        </w:tc>
        <w:tc>
          <w:tcPr>
            <w:tcW w:w="844" w:type="dxa"/>
            <w:shd w:val="clear" w:color="auto" w:fill="9CC2E5" w:themeFill="accent5" w:themeFillTint="99"/>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2"/>
                <w:szCs w:val="22"/>
              </w:rPr>
            </w:pPr>
            <w:proofErr w:type="spellStart"/>
            <w:r w:rsidRPr="00BF4AA8">
              <w:rPr>
                <w:rFonts w:ascii="Arial" w:hAnsi="Arial" w:cs="Arial"/>
                <w:b/>
                <w:bCs/>
                <w:color w:val="FFFFFF" w:themeColor="background1"/>
                <w:sz w:val="22"/>
                <w:szCs w:val="22"/>
              </w:rPr>
              <w:t>Kep</w:t>
            </w:r>
            <w:proofErr w:type="spellEnd"/>
          </w:p>
        </w:tc>
        <w:tc>
          <w:tcPr>
            <w:tcW w:w="1169" w:type="dxa"/>
            <w:shd w:val="clear" w:color="auto" w:fill="9CC2E5" w:themeFill="accent5" w:themeFillTint="99"/>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2"/>
                <w:szCs w:val="22"/>
              </w:rPr>
            </w:pPr>
            <w:r w:rsidRPr="00BF4AA8">
              <w:rPr>
                <w:rFonts w:ascii="Arial" w:hAnsi="Arial" w:cs="Arial"/>
                <w:b/>
                <w:bCs/>
                <w:color w:val="FFFFFF" w:themeColor="background1"/>
                <w:sz w:val="22"/>
                <w:szCs w:val="22"/>
              </w:rPr>
              <w:t>Total (%)</w:t>
            </w:r>
          </w:p>
        </w:tc>
      </w:tr>
      <w:tr w:rsidR="00B10668" w:rsidRPr="00BF4AA8" w:rsidTr="005F1F5C">
        <w:trPr>
          <w:trHeight w:val="315"/>
        </w:trPr>
        <w:tc>
          <w:tcPr>
            <w:cnfStyle w:val="001000000000" w:firstRow="0" w:lastRow="0" w:firstColumn="1" w:lastColumn="0" w:oddVBand="0" w:evenVBand="0" w:oddHBand="0" w:evenHBand="0" w:firstRowFirstColumn="0" w:firstRowLastColumn="0" w:lastRowFirstColumn="0" w:lastRowLastColumn="0"/>
            <w:tcW w:w="0" w:type="auto"/>
          </w:tcPr>
          <w:p w:rsidR="00B10668" w:rsidRPr="00BF4AA8" w:rsidRDefault="00B10668" w:rsidP="005F1F5C">
            <w:pPr>
              <w:rPr>
                <w:rFonts w:ascii="Arial" w:hAnsi="Arial" w:cs="Arial"/>
                <w:b w:val="0"/>
                <w:bCs w:val="0"/>
                <w:sz w:val="22"/>
                <w:szCs w:val="22"/>
              </w:rPr>
            </w:pPr>
            <w:r w:rsidRPr="00BF4AA8">
              <w:rPr>
                <w:rFonts w:ascii="Arial" w:hAnsi="Arial" w:cs="Arial"/>
                <w:b w:val="0"/>
                <w:bCs w:val="0"/>
                <w:sz w:val="22"/>
                <w:szCs w:val="22"/>
              </w:rPr>
              <w:t>Non-Registered</w:t>
            </w:r>
          </w:p>
        </w:tc>
        <w:tc>
          <w:tcPr>
            <w:tcW w:w="1309"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3,217</w:t>
            </w:r>
          </w:p>
        </w:tc>
        <w:tc>
          <w:tcPr>
            <w:tcW w:w="1477"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2,469</w:t>
            </w:r>
          </w:p>
        </w:tc>
        <w:tc>
          <w:tcPr>
            <w:tcW w:w="1035"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1,039</w:t>
            </w:r>
          </w:p>
        </w:tc>
        <w:tc>
          <w:tcPr>
            <w:tcW w:w="844"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593</w:t>
            </w:r>
          </w:p>
        </w:tc>
        <w:tc>
          <w:tcPr>
            <w:tcW w:w="1169"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7,318 (79%) </w:t>
            </w:r>
          </w:p>
        </w:tc>
      </w:tr>
      <w:tr w:rsidR="00B10668" w:rsidRPr="00BF4AA8" w:rsidTr="005F1F5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0" w:type="auto"/>
          </w:tcPr>
          <w:p w:rsidR="00B10668" w:rsidRPr="00BF4AA8" w:rsidRDefault="00B10668" w:rsidP="005F1F5C">
            <w:pPr>
              <w:rPr>
                <w:rFonts w:ascii="Arial" w:hAnsi="Arial" w:cs="Arial"/>
                <w:b w:val="0"/>
                <w:bCs w:val="0"/>
                <w:sz w:val="22"/>
                <w:szCs w:val="22"/>
              </w:rPr>
            </w:pPr>
            <w:r w:rsidRPr="00BF4AA8">
              <w:rPr>
                <w:rFonts w:ascii="Arial" w:hAnsi="Arial" w:cs="Arial"/>
                <w:b w:val="0"/>
                <w:bCs w:val="0"/>
                <w:sz w:val="22"/>
                <w:szCs w:val="22"/>
              </w:rPr>
              <w:t>Registered</w:t>
            </w:r>
          </w:p>
        </w:tc>
        <w:tc>
          <w:tcPr>
            <w:tcW w:w="1309"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191</w:t>
            </w:r>
          </w:p>
        </w:tc>
        <w:tc>
          <w:tcPr>
            <w:tcW w:w="1477"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41</w:t>
            </w:r>
          </w:p>
        </w:tc>
        <w:tc>
          <w:tcPr>
            <w:tcW w:w="1035"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w:t>
            </w:r>
          </w:p>
        </w:tc>
        <w:tc>
          <w:tcPr>
            <w:tcW w:w="844"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w:t>
            </w:r>
          </w:p>
        </w:tc>
        <w:tc>
          <w:tcPr>
            <w:tcW w:w="1169" w:type="dxa"/>
          </w:tcPr>
          <w:p w:rsidR="00B10668" w:rsidRPr="00BF4AA8" w:rsidRDefault="00B10668" w:rsidP="005F1F5C">
            <w:pPr>
              <w:jc w:val="right"/>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234 (3%)</w:t>
            </w:r>
          </w:p>
        </w:tc>
      </w:tr>
      <w:tr w:rsidR="00B10668" w:rsidRPr="00BF4AA8" w:rsidTr="005F1F5C">
        <w:trPr>
          <w:trHeight w:val="315"/>
        </w:trPr>
        <w:tc>
          <w:tcPr>
            <w:cnfStyle w:val="001000000000" w:firstRow="0" w:lastRow="0" w:firstColumn="1" w:lastColumn="0" w:oddVBand="0" w:evenVBand="0" w:oddHBand="0" w:evenHBand="0" w:firstRowFirstColumn="0" w:firstRowLastColumn="0" w:lastRowFirstColumn="0" w:lastRowLastColumn="0"/>
            <w:tcW w:w="0" w:type="auto"/>
          </w:tcPr>
          <w:p w:rsidR="00B10668" w:rsidRPr="00BF4AA8" w:rsidRDefault="00B10668" w:rsidP="005F1F5C">
            <w:pPr>
              <w:rPr>
                <w:rFonts w:ascii="Arial" w:hAnsi="Arial" w:cs="Arial"/>
                <w:b w:val="0"/>
                <w:bCs w:val="0"/>
                <w:sz w:val="22"/>
                <w:szCs w:val="22"/>
              </w:rPr>
            </w:pPr>
            <w:r w:rsidRPr="00BF4AA8">
              <w:rPr>
                <w:rStyle w:val="Strong"/>
                <w:rFonts w:ascii="Arial" w:hAnsi="Arial" w:cs="Arial"/>
                <w:sz w:val="22"/>
                <w:szCs w:val="22"/>
              </w:rPr>
              <w:t>Total</w:t>
            </w:r>
          </w:p>
        </w:tc>
        <w:tc>
          <w:tcPr>
            <w:tcW w:w="1309"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3,408</w:t>
            </w:r>
          </w:p>
        </w:tc>
        <w:tc>
          <w:tcPr>
            <w:tcW w:w="1477"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2,510</w:t>
            </w:r>
          </w:p>
        </w:tc>
        <w:tc>
          <w:tcPr>
            <w:tcW w:w="1035"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1,041</w:t>
            </w:r>
          </w:p>
        </w:tc>
        <w:tc>
          <w:tcPr>
            <w:tcW w:w="844"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593</w:t>
            </w:r>
          </w:p>
        </w:tc>
        <w:tc>
          <w:tcPr>
            <w:tcW w:w="1169" w:type="dxa"/>
          </w:tcPr>
          <w:p w:rsidR="00B10668" w:rsidRPr="00BF4AA8" w:rsidRDefault="00B10668" w:rsidP="005F1F5C">
            <w:pPr>
              <w:jc w:val="right"/>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7,552</w:t>
            </w:r>
          </w:p>
        </w:tc>
      </w:tr>
    </w:tbl>
    <w:p w:rsidR="00B10668" w:rsidRPr="00BF4AA8" w:rsidRDefault="00B10668" w:rsidP="00B10668">
      <w:pPr>
        <w:jc w:val="both"/>
        <w:rPr>
          <w:rFonts w:ascii="Arial" w:hAnsi="Arial" w:cs="Arial"/>
          <w:sz w:val="22"/>
          <w:szCs w:val="22"/>
        </w:rPr>
      </w:pPr>
      <w:r w:rsidRPr="00BF4AA8">
        <w:rPr>
          <w:rFonts w:ascii="Arial" w:hAnsi="Arial" w:cs="Arial"/>
          <w:b/>
          <w:bCs/>
          <w:sz w:val="22"/>
          <w:szCs w:val="22"/>
        </w:rPr>
        <w:t>Source:</w:t>
      </w:r>
      <w:r w:rsidRPr="00BF4AA8">
        <w:rPr>
          <w:rFonts w:ascii="Arial" w:hAnsi="Arial" w:cs="Arial"/>
          <w:sz w:val="22"/>
          <w:szCs w:val="22"/>
        </w:rPr>
        <w:t xml:space="preserve"> </w:t>
      </w:r>
      <w:proofErr w:type="spellStart"/>
      <w:r w:rsidRPr="00BF4AA8">
        <w:rPr>
          <w:rFonts w:ascii="Arial" w:hAnsi="Arial" w:cs="Arial"/>
          <w:sz w:val="22"/>
          <w:szCs w:val="22"/>
        </w:rPr>
        <w:t>FiA</w:t>
      </w:r>
      <w:proofErr w:type="spellEnd"/>
      <w:r w:rsidRPr="00BF4AA8">
        <w:rPr>
          <w:rFonts w:ascii="Arial" w:hAnsi="Arial" w:cs="Arial"/>
          <w:sz w:val="22"/>
          <w:szCs w:val="22"/>
        </w:rPr>
        <w:t>, MAFF. Marine Fishing Vessel and Licensing Database.</w:t>
      </w:r>
    </w:p>
    <w:p w:rsidR="00B10668" w:rsidRPr="00BF4AA8" w:rsidRDefault="00B10668" w:rsidP="00B10668">
      <w:pPr>
        <w:pStyle w:val="Caption"/>
        <w:rPr>
          <w:rFonts w:ascii="Arial" w:hAnsi="Arial" w:cs="Arial"/>
          <w:b/>
          <w:bCs/>
          <w:color w:val="0070C0"/>
          <w:sz w:val="22"/>
          <w:szCs w:val="22"/>
        </w:rPr>
      </w:pPr>
    </w:p>
    <w:p w:rsidR="00B10668" w:rsidRPr="00BF4AA8" w:rsidRDefault="00B10668" w:rsidP="00BF4AA8">
      <w:pPr>
        <w:pStyle w:val="Heading2"/>
        <w:keepNext/>
        <w:adjustRightInd w:val="0"/>
        <w:snapToGrid w:val="0"/>
        <w:spacing w:before="240" w:beforeAutospacing="0" w:after="120" w:afterAutospacing="0"/>
        <w:rPr>
          <w:rFonts w:ascii="Arial" w:hAnsi="Arial" w:cs="Arial"/>
          <w:color w:val="0070C0"/>
          <w:sz w:val="22"/>
          <w:szCs w:val="22"/>
        </w:rPr>
      </w:pPr>
      <w:bookmarkStart w:id="40" w:name="_Toc216681467"/>
      <w:r w:rsidRPr="00BF4AA8">
        <w:rPr>
          <w:rFonts w:ascii="Arial" w:hAnsi="Arial" w:cs="Arial"/>
          <w:color w:val="0070C0"/>
          <w:sz w:val="22"/>
          <w:szCs w:val="22"/>
        </w:rPr>
        <w:t>Annex 5-</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Annex_5-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7</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Assessment methods (by indicator)</w:t>
      </w:r>
      <w:bookmarkEnd w:id="40"/>
    </w:p>
    <w:p w:rsidR="00B10668" w:rsidRPr="00BF4AA8" w:rsidRDefault="00B10668" w:rsidP="00B10668">
      <w:pPr>
        <w:rPr>
          <w:rStyle w:val="Strong"/>
          <w:rFonts w:ascii="Arial" w:hAnsi="Arial" w:cs="Arial"/>
          <w:i/>
          <w:iCs/>
          <w:color w:val="0070C0"/>
          <w:sz w:val="22"/>
          <w:szCs w:val="22"/>
        </w:rPr>
      </w:pPr>
      <w:r w:rsidRPr="00BF4AA8">
        <w:rPr>
          <w:rStyle w:val="Strong"/>
          <w:rFonts w:ascii="Arial" w:hAnsi="Arial" w:cs="Arial"/>
          <w:i/>
          <w:iCs/>
          <w:color w:val="0070C0"/>
          <w:sz w:val="22"/>
          <w:szCs w:val="22"/>
        </w:rPr>
        <w:t>A.</w:t>
      </w:r>
      <w:r w:rsidRPr="00BF4AA8">
        <w:rPr>
          <w:rStyle w:val="Strong"/>
          <w:rFonts w:ascii="Arial" w:hAnsi="Arial" w:cs="Arial"/>
          <w:color w:val="0070C0"/>
          <w:sz w:val="22"/>
          <w:szCs w:val="22"/>
        </w:rPr>
        <w:t xml:space="preserve"> Production &amp; Value Indicators</w:t>
      </w:r>
    </w:p>
    <w:p w:rsidR="00B10668" w:rsidRPr="00BF4AA8" w:rsidRDefault="00B10668" w:rsidP="00B10668">
      <w:pPr>
        <w:pStyle w:val="NormalWeb"/>
        <w:numPr>
          <w:ilvl w:val="0"/>
          <w:numId w:val="202"/>
        </w:numPr>
        <w:rPr>
          <w:rFonts w:ascii="Arial" w:hAnsi="Arial" w:cs="Arial"/>
          <w:sz w:val="22"/>
          <w:szCs w:val="22"/>
        </w:rPr>
      </w:pPr>
      <w:r w:rsidRPr="00BF4AA8">
        <w:rPr>
          <w:rStyle w:val="Strong"/>
          <w:rFonts w:ascii="Arial" w:hAnsi="Arial" w:cs="Arial"/>
          <w:sz w:val="22"/>
          <w:szCs w:val="22"/>
        </w:rPr>
        <w:t>Trend detection:</w:t>
      </w:r>
    </w:p>
    <w:p w:rsidR="00B10668" w:rsidRPr="00BF4AA8" w:rsidRDefault="00B10668" w:rsidP="00B10668">
      <w:pPr>
        <w:pStyle w:val="NormalWeb"/>
        <w:numPr>
          <w:ilvl w:val="1"/>
          <w:numId w:val="202"/>
        </w:numPr>
        <w:rPr>
          <w:rFonts w:ascii="Arial" w:hAnsi="Arial" w:cs="Arial"/>
          <w:sz w:val="22"/>
          <w:szCs w:val="22"/>
        </w:rPr>
      </w:pPr>
      <w:r w:rsidRPr="00BF4AA8">
        <w:rPr>
          <w:rFonts w:ascii="Arial" w:hAnsi="Arial" w:cs="Arial"/>
          <w:sz w:val="22"/>
          <w:szCs w:val="22"/>
        </w:rPr>
        <w:t>CAGR and decadal comparison</w:t>
      </w:r>
    </w:p>
    <w:p w:rsidR="00B10668" w:rsidRPr="00BF4AA8" w:rsidRDefault="00B10668" w:rsidP="00B10668">
      <w:pPr>
        <w:pStyle w:val="NormalWeb"/>
        <w:numPr>
          <w:ilvl w:val="1"/>
          <w:numId w:val="202"/>
        </w:numPr>
        <w:rPr>
          <w:rFonts w:ascii="Arial" w:hAnsi="Arial" w:cs="Arial"/>
          <w:sz w:val="22"/>
          <w:szCs w:val="22"/>
        </w:rPr>
      </w:pPr>
      <w:r w:rsidRPr="00BF4AA8">
        <w:rPr>
          <w:rFonts w:ascii="Arial" w:hAnsi="Arial" w:cs="Arial"/>
          <w:sz w:val="22"/>
          <w:szCs w:val="22"/>
        </w:rPr>
        <w:t>Baseline periods: 1960s, 1990s, 2010s</w:t>
      </w:r>
    </w:p>
    <w:p w:rsidR="00B10668" w:rsidRPr="00BF4AA8" w:rsidRDefault="00B10668" w:rsidP="00B10668">
      <w:pPr>
        <w:pStyle w:val="NormalWeb"/>
        <w:numPr>
          <w:ilvl w:val="0"/>
          <w:numId w:val="202"/>
        </w:numPr>
        <w:rPr>
          <w:rFonts w:ascii="Arial" w:hAnsi="Arial" w:cs="Arial"/>
          <w:sz w:val="22"/>
          <w:szCs w:val="22"/>
        </w:rPr>
      </w:pPr>
      <w:r w:rsidRPr="00BF4AA8">
        <w:rPr>
          <w:rStyle w:val="Strong"/>
          <w:rFonts w:ascii="Arial" w:hAnsi="Arial" w:cs="Arial"/>
          <w:sz w:val="22"/>
          <w:szCs w:val="22"/>
        </w:rPr>
        <w:t>Normalization:</w:t>
      </w:r>
    </w:p>
    <w:p w:rsidR="00B10668" w:rsidRPr="00BF4AA8" w:rsidRDefault="00B10668" w:rsidP="00B10668">
      <w:pPr>
        <w:pStyle w:val="NormalWeb"/>
        <w:numPr>
          <w:ilvl w:val="1"/>
          <w:numId w:val="202"/>
        </w:numPr>
        <w:rPr>
          <w:rFonts w:ascii="Arial" w:hAnsi="Arial" w:cs="Arial"/>
          <w:sz w:val="22"/>
          <w:szCs w:val="22"/>
        </w:rPr>
      </w:pPr>
      <w:proofErr w:type="spellStart"/>
      <w:r w:rsidRPr="00BF4AA8">
        <w:rPr>
          <w:rFonts w:ascii="Arial" w:hAnsi="Arial" w:cs="Arial"/>
          <w:sz w:val="22"/>
          <w:szCs w:val="22"/>
        </w:rPr>
        <w:t>Harmonised</w:t>
      </w:r>
      <w:proofErr w:type="spellEnd"/>
      <w:r w:rsidRPr="00BF4AA8">
        <w:rPr>
          <w:rFonts w:ascii="Arial" w:hAnsi="Arial" w:cs="Arial"/>
          <w:sz w:val="22"/>
          <w:szCs w:val="22"/>
        </w:rPr>
        <w:t xml:space="preserve"> FAO &amp; </w:t>
      </w:r>
      <w:proofErr w:type="spellStart"/>
      <w:r w:rsidRPr="00BF4AA8">
        <w:rPr>
          <w:rFonts w:ascii="Arial" w:hAnsi="Arial" w:cs="Arial"/>
          <w:sz w:val="22"/>
          <w:szCs w:val="22"/>
        </w:rPr>
        <w:t>FiA</w:t>
      </w:r>
      <w:proofErr w:type="spellEnd"/>
      <w:r w:rsidRPr="00BF4AA8">
        <w:rPr>
          <w:rFonts w:ascii="Arial" w:hAnsi="Arial" w:cs="Arial"/>
          <w:sz w:val="22"/>
          <w:szCs w:val="22"/>
        </w:rPr>
        <w:t xml:space="preserve"> series</w:t>
      </w:r>
    </w:p>
    <w:p w:rsidR="00B10668" w:rsidRPr="00BF4AA8" w:rsidRDefault="00B10668" w:rsidP="00B10668">
      <w:pPr>
        <w:pStyle w:val="NormalWeb"/>
        <w:numPr>
          <w:ilvl w:val="0"/>
          <w:numId w:val="202"/>
        </w:numPr>
        <w:rPr>
          <w:rFonts w:ascii="Arial" w:hAnsi="Arial" w:cs="Arial"/>
          <w:sz w:val="22"/>
          <w:szCs w:val="22"/>
        </w:rPr>
      </w:pPr>
      <w:r w:rsidRPr="00BF4AA8">
        <w:rPr>
          <w:rStyle w:val="Strong"/>
          <w:rFonts w:ascii="Arial" w:hAnsi="Arial" w:cs="Arial"/>
          <w:sz w:val="22"/>
          <w:szCs w:val="22"/>
        </w:rPr>
        <w:t>Spatial breakdown:</w:t>
      </w:r>
    </w:p>
    <w:p w:rsidR="00B10668" w:rsidRPr="00BF4AA8" w:rsidRDefault="00B10668" w:rsidP="00B10668">
      <w:pPr>
        <w:pStyle w:val="NormalWeb"/>
        <w:numPr>
          <w:ilvl w:val="1"/>
          <w:numId w:val="202"/>
        </w:numPr>
        <w:rPr>
          <w:rFonts w:ascii="Arial" w:hAnsi="Arial" w:cs="Arial"/>
          <w:sz w:val="22"/>
          <w:szCs w:val="22"/>
        </w:rPr>
      </w:pPr>
      <w:r w:rsidRPr="00BF4AA8">
        <w:rPr>
          <w:rFonts w:ascii="Arial" w:hAnsi="Arial" w:cs="Arial"/>
          <w:sz w:val="22"/>
          <w:szCs w:val="22"/>
        </w:rPr>
        <w:t>4 coastal provinces</w:t>
      </w:r>
    </w:p>
    <w:p w:rsidR="00B10668" w:rsidRPr="00BF4AA8" w:rsidRDefault="00B10668" w:rsidP="00B10668">
      <w:pPr>
        <w:pStyle w:val="NormalWeb"/>
        <w:numPr>
          <w:ilvl w:val="1"/>
          <w:numId w:val="202"/>
        </w:numPr>
        <w:rPr>
          <w:rFonts w:ascii="Arial" w:hAnsi="Arial" w:cs="Arial"/>
          <w:sz w:val="22"/>
          <w:szCs w:val="22"/>
        </w:rPr>
      </w:pPr>
      <w:r w:rsidRPr="00BF4AA8">
        <w:rPr>
          <w:rFonts w:ascii="Arial" w:hAnsi="Arial" w:cs="Arial"/>
          <w:sz w:val="22"/>
          <w:szCs w:val="22"/>
        </w:rPr>
        <w:t>Marine share of national capture</w:t>
      </w:r>
    </w:p>
    <w:p w:rsidR="00B10668" w:rsidRPr="00BF4AA8" w:rsidRDefault="00B10668" w:rsidP="00B10668">
      <w:pPr>
        <w:rPr>
          <w:rStyle w:val="Strong"/>
          <w:rFonts w:ascii="Arial" w:hAnsi="Arial" w:cs="Arial"/>
          <w:i/>
          <w:iCs/>
          <w:color w:val="0070C0"/>
          <w:sz w:val="22"/>
          <w:szCs w:val="22"/>
        </w:rPr>
      </w:pPr>
      <w:r w:rsidRPr="00BF4AA8">
        <w:rPr>
          <w:rStyle w:val="Strong"/>
          <w:rFonts w:ascii="Arial" w:hAnsi="Arial" w:cs="Arial"/>
          <w:i/>
          <w:iCs/>
          <w:color w:val="0070C0"/>
          <w:sz w:val="22"/>
          <w:szCs w:val="22"/>
        </w:rPr>
        <w:t>B.</w:t>
      </w:r>
      <w:r w:rsidRPr="00BF4AA8">
        <w:rPr>
          <w:rStyle w:val="Strong"/>
          <w:rFonts w:ascii="Arial" w:hAnsi="Arial" w:cs="Arial"/>
          <w:color w:val="0070C0"/>
          <w:sz w:val="22"/>
          <w:szCs w:val="22"/>
        </w:rPr>
        <w:t xml:space="preserve"> Ecological Indicators</w:t>
      </w:r>
    </w:p>
    <w:p w:rsidR="00B10668" w:rsidRPr="00BF4AA8" w:rsidRDefault="00B10668" w:rsidP="00B10668">
      <w:pPr>
        <w:adjustRightInd w:val="0"/>
        <w:snapToGrid w:val="0"/>
        <w:spacing w:before="240"/>
        <w:rPr>
          <w:rFonts w:ascii="Arial" w:hAnsi="Arial" w:cs="Arial"/>
          <w:i/>
          <w:iCs/>
          <w:color w:val="0070C0"/>
          <w:sz w:val="22"/>
          <w:szCs w:val="22"/>
        </w:rPr>
      </w:pPr>
      <w:r w:rsidRPr="00BF4AA8">
        <w:rPr>
          <w:rStyle w:val="Strong"/>
          <w:rFonts w:ascii="Arial" w:hAnsi="Arial" w:cs="Arial"/>
          <w:color w:val="0070C0"/>
          <w:sz w:val="22"/>
          <w:szCs w:val="22"/>
        </w:rPr>
        <w:t>Marine Trophic Index (MTI)</w:t>
      </w:r>
    </w:p>
    <w:p w:rsidR="00B10668" w:rsidRPr="00BF4AA8" w:rsidRDefault="00B10668" w:rsidP="00B10668">
      <w:pPr>
        <w:pStyle w:val="NormalWeb"/>
        <w:numPr>
          <w:ilvl w:val="0"/>
          <w:numId w:val="203"/>
        </w:numPr>
        <w:rPr>
          <w:rFonts w:ascii="Arial" w:hAnsi="Arial" w:cs="Arial"/>
          <w:sz w:val="22"/>
          <w:szCs w:val="22"/>
        </w:rPr>
      </w:pPr>
      <w:r w:rsidRPr="00BF4AA8">
        <w:rPr>
          <w:rFonts w:ascii="Arial" w:hAnsi="Arial" w:cs="Arial"/>
          <w:sz w:val="22"/>
          <w:szCs w:val="22"/>
        </w:rPr>
        <w:t>Computed from SAUP species–trophic-level data</w:t>
      </w:r>
    </w:p>
    <w:p w:rsidR="00B10668" w:rsidRPr="00BF4AA8" w:rsidRDefault="00B10668" w:rsidP="00B10668">
      <w:pPr>
        <w:pStyle w:val="NormalWeb"/>
        <w:numPr>
          <w:ilvl w:val="0"/>
          <w:numId w:val="203"/>
        </w:numPr>
        <w:rPr>
          <w:rFonts w:ascii="Arial" w:hAnsi="Arial" w:cs="Arial"/>
          <w:sz w:val="22"/>
          <w:szCs w:val="22"/>
        </w:rPr>
      </w:pPr>
      <w:r w:rsidRPr="00BF4AA8">
        <w:rPr>
          <w:rFonts w:ascii="Arial" w:hAnsi="Arial" w:cs="Arial"/>
          <w:sz w:val="22"/>
          <w:szCs w:val="22"/>
        </w:rPr>
        <w:t>Interpreted as proxy for ecosystem complexity and predator loss</w:t>
      </w:r>
    </w:p>
    <w:p w:rsidR="00B10668" w:rsidRPr="00BF4AA8" w:rsidRDefault="00B10668" w:rsidP="00B10668">
      <w:pPr>
        <w:adjustRightInd w:val="0"/>
        <w:snapToGrid w:val="0"/>
        <w:spacing w:before="240"/>
        <w:rPr>
          <w:rStyle w:val="Strong"/>
          <w:rFonts w:ascii="Arial" w:hAnsi="Arial" w:cs="Arial"/>
          <w:i/>
          <w:iCs/>
          <w:color w:val="0070C0"/>
          <w:sz w:val="22"/>
          <w:szCs w:val="22"/>
        </w:rPr>
      </w:pPr>
      <w:r w:rsidRPr="00BF4AA8">
        <w:rPr>
          <w:rStyle w:val="Strong"/>
          <w:rFonts w:ascii="Arial" w:hAnsi="Arial" w:cs="Arial"/>
          <w:color w:val="0070C0"/>
          <w:sz w:val="22"/>
          <w:szCs w:val="22"/>
        </w:rPr>
        <w:t>Fishing-in-Balance (</w:t>
      </w:r>
      <w:proofErr w:type="spellStart"/>
      <w:r w:rsidRPr="00BF4AA8">
        <w:rPr>
          <w:rStyle w:val="Strong"/>
          <w:rFonts w:ascii="Arial" w:hAnsi="Arial" w:cs="Arial"/>
          <w:color w:val="0070C0"/>
          <w:sz w:val="22"/>
          <w:szCs w:val="22"/>
        </w:rPr>
        <w:t>FiB</w:t>
      </w:r>
      <w:proofErr w:type="spellEnd"/>
      <w:r w:rsidRPr="00BF4AA8">
        <w:rPr>
          <w:rStyle w:val="Strong"/>
          <w:rFonts w:ascii="Arial" w:hAnsi="Arial" w:cs="Arial"/>
          <w:color w:val="0070C0"/>
          <w:sz w:val="22"/>
          <w:szCs w:val="22"/>
        </w:rPr>
        <w:t>)</w:t>
      </w:r>
    </w:p>
    <w:p w:rsidR="00B10668" w:rsidRPr="00BF4AA8" w:rsidRDefault="00B10668" w:rsidP="00B10668">
      <w:pPr>
        <w:pStyle w:val="NormalWeb"/>
        <w:numPr>
          <w:ilvl w:val="0"/>
          <w:numId w:val="204"/>
        </w:numPr>
        <w:rPr>
          <w:rFonts w:ascii="Arial" w:hAnsi="Arial" w:cs="Arial"/>
          <w:sz w:val="22"/>
          <w:szCs w:val="22"/>
        </w:rPr>
      </w:pPr>
      <w:proofErr w:type="spellStart"/>
      <w:r w:rsidRPr="00BF4AA8">
        <w:rPr>
          <w:rFonts w:ascii="Arial" w:hAnsi="Arial" w:cs="Arial"/>
          <w:sz w:val="22"/>
          <w:szCs w:val="22"/>
        </w:rPr>
        <w:t>FiB</w:t>
      </w:r>
      <w:proofErr w:type="spellEnd"/>
      <w:r w:rsidRPr="00BF4AA8">
        <w:rPr>
          <w:rFonts w:ascii="Arial" w:hAnsi="Arial" w:cs="Arial"/>
          <w:sz w:val="22"/>
          <w:szCs w:val="22"/>
        </w:rPr>
        <w:t xml:space="preserve"> = </w:t>
      </w:r>
      <w:proofErr w:type="gramStart"/>
      <w:r w:rsidRPr="00BF4AA8">
        <w:rPr>
          <w:rFonts w:ascii="Arial" w:hAnsi="Arial" w:cs="Arial"/>
          <w:sz w:val="22"/>
          <w:szCs w:val="22"/>
        </w:rPr>
        <w:t>log(</w:t>
      </w:r>
      <w:proofErr w:type="gramEnd"/>
      <w:r w:rsidRPr="00BF4AA8">
        <w:rPr>
          <w:rFonts w:ascii="Arial" w:hAnsi="Arial" w:cs="Arial"/>
          <w:sz w:val="22"/>
          <w:szCs w:val="22"/>
        </w:rPr>
        <w:t>Ct / (C</w:t>
      </w:r>
      <w:r w:rsidRPr="00BF4AA8">
        <w:rPr>
          <w:rFonts w:ascii="Cambria Math" w:hAnsi="Cambria Math" w:cs="Cambria Math"/>
          <w:sz w:val="22"/>
          <w:szCs w:val="22"/>
        </w:rPr>
        <w:t>₀</w:t>
      </w:r>
      <w:r w:rsidRPr="00BF4AA8">
        <w:rPr>
          <w:rFonts w:ascii="Arial" w:hAnsi="Arial" w:cs="Arial"/>
          <w:sz w:val="22"/>
          <w:szCs w:val="22"/>
        </w:rPr>
        <w:t xml:space="preserve"> × TE^(TL</w:t>
      </w:r>
      <w:r w:rsidRPr="00BF4AA8">
        <w:rPr>
          <w:rFonts w:ascii="Cambria Math" w:hAnsi="Cambria Math" w:cs="Cambria Math"/>
          <w:sz w:val="22"/>
          <w:szCs w:val="22"/>
        </w:rPr>
        <w:t>₀</w:t>
      </w:r>
      <w:r w:rsidRPr="00BF4AA8">
        <w:rPr>
          <w:rFonts w:ascii="Arial" w:hAnsi="Arial" w:cs="Arial"/>
          <w:sz w:val="22"/>
          <w:szCs w:val="22"/>
        </w:rPr>
        <w:t>–</w:t>
      </w:r>
      <w:proofErr w:type="spellStart"/>
      <w:r w:rsidRPr="00BF4AA8">
        <w:rPr>
          <w:rFonts w:ascii="Arial" w:hAnsi="Arial" w:cs="Arial"/>
          <w:sz w:val="22"/>
          <w:szCs w:val="22"/>
        </w:rPr>
        <w:t>TLt</w:t>
      </w:r>
      <w:proofErr w:type="spellEnd"/>
      <w:r w:rsidRPr="00BF4AA8">
        <w:rPr>
          <w:rFonts w:ascii="Arial" w:hAnsi="Arial" w:cs="Arial"/>
          <w:sz w:val="22"/>
          <w:szCs w:val="22"/>
        </w:rPr>
        <w:t>)))</w:t>
      </w:r>
    </w:p>
    <w:p w:rsidR="00B10668" w:rsidRPr="00BF4AA8" w:rsidRDefault="00B10668" w:rsidP="00B10668">
      <w:pPr>
        <w:pStyle w:val="NormalWeb"/>
        <w:numPr>
          <w:ilvl w:val="0"/>
          <w:numId w:val="204"/>
        </w:numPr>
        <w:rPr>
          <w:rFonts w:ascii="Arial" w:hAnsi="Arial" w:cs="Arial"/>
          <w:sz w:val="22"/>
          <w:szCs w:val="22"/>
        </w:rPr>
      </w:pPr>
      <w:r w:rsidRPr="00BF4AA8">
        <w:rPr>
          <w:rFonts w:ascii="Arial" w:hAnsi="Arial" w:cs="Arial"/>
          <w:sz w:val="22"/>
          <w:szCs w:val="22"/>
        </w:rPr>
        <w:t>Indicates “fishing through/exhausting the food web”</w:t>
      </w:r>
    </w:p>
    <w:p w:rsidR="00B10668" w:rsidRPr="00BF4AA8" w:rsidRDefault="00B10668" w:rsidP="00B10668">
      <w:pPr>
        <w:adjustRightInd w:val="0"/>
        <w:snapToGrid w:val="0"/>
        <w:spacing w:before="240"/>
        <w:rPr>
          <w:rStyle w:val="Strong"/>
          <w:rFonts w:ascii="Arial" w:hAnsi="Arial" w:cs="Arial"/>
          <w:i/>
          <w:iCs/>
          <w:color w:val="0070C0"/>
          <w:sz w:val="22"/>
          <w:szCs w:val="22"/>
        </w:rPr>
      </w:pPr>
      <w:r w:rsidRPr="00BF4AA8">
        <w:rPr>
          <w:rStyle w:val="Strong"/>
          <w:rFonts w:ascii="Arial" w:hAnsi="Arial" w:cs="Arial"/>
          <w:color w:val="0070C0"/>
          <w:sz w:val="22"/>
          <w:szCs w:val="22"/>
        </w:rPr>
        <w:t>Primary Production Required (PPR)</w:t>
      </w:r>
    </w:p>
    <w:p w:rsidR="00B10668" w:rsidRPr="00BF4AA8" w:rsidRDefault="00B10668" w:rsidP="00B10668">
      <w:pPr>
        <w:pStyle w:val="NormalWeb"/>
        <w:numPr>
          <w:ilvl w:val="0"/>
          <w:numId w:val="205"/>
        </w:numPr>
        <w:rPr>
          <w:rFonts w:ascii="Arial" w:hAnsi="Arial" w:cs="Arial"/>
          <w:sz w:val="22"/>
          <w:szCs w:val="22"/>
        </w:rPr>
      </w:pPr>
      <w:r w:rsidRPr="00BF4AA8">
        <w:rPr>
          <w:rFonts w:ascii="Arial" w:hAnsi="Arial" w:cs="Arial"/>
          <w:sz w:val="22"/>
          <w:szCs w:val="22"/>
        </w:rPr>
        <w:t>PPR = Σ (Catch × PPR coefficient)</w:t>
      </w:r>
    </w:p>
    <w:p w:rsidR="00B10668" w:rsidRPr="00BF4AA8" w:rsidRDefault="00B10668" w:rsidP="00B10668">
      <w:pPr>
        <w:pStyle w:val="NormalWeb"/>
        <w:numPr>
          <w:ilvl w:val="0"/>
          <w:numId w:val="205"/>
        </w:numPr>
        <w:rPr>
          <w:rFonts w:ascii="Arial" w:hAnsi="Arial" w:cs="Arial"/>
          <w:sz w:val="22"/>
          <w:szCs w:val="22"/>
        </w:rPr>
      </w:pPr>
      <w:r w:rsidRPr="00BF4AA8">
        <w:rPr>
          <w:rFonts w:ascii="Arial" w:hAnsi="Arial" w:cs="Arial"/>
          <w:sz w:val="22"/>
          <w:szCs w:val="22"/>
        </w:rPr>
        <w:t>Interpreted as ecological footprint vs. carrying capacity</w:t>
      </w:r>
    </w:p>
    <w:p w:rsidR="00B10668" w:rsidRPr="00BF4AA8" w:rsidRDefault="00B10668" w:rsidP="00B10668">
      <w:pPr>
        <w:adjustRightInd w:val="0"/>
        <w:snapToGrid w:val="0"/>
        <w:spacing w:before="240"/>
        <w:rPr>
          <w:rStyle w:val="Strong"/>
          <w:rFonts w:ascii="Arial" w:hAnsi="Arial" w:cs="Arial"/>
          <w:i/>
          <w:iCs/>
          <w:color w:val="0070C0"/>
          <w:sz w:val="22"/>
          <w:szCs w:val="22"/>
        </w:rPr>
      </w:pPr>
      <w:r w:rsidRPr="00BF4AA8">
        <w:rPr>
          <w:rStyle w:val="Strong"/>
          <w:rFonts w:ascii="Arial" w:hAnsi="Arial" w:cs="Arial"/>
          <w:color w:val="0070C0"/>
          <w:sz w:val="22"/>
          <w:szCs w:val="22"/>
        </w:rPr>
        <w:t>CPUE (Biomass Proxy)</w:t>
      </w:r>
    </w:p>
    <w:p w:rsidR="00B10668" w:rsidRPr="00BF4AA8" w:rsidRDefault="00B10668" w:rsidP="00B10668">
      <w:pPr>
        <w:pStyle w:val="NormalWeb"/>
        <w:numPr>
          <w:ilvl w:val="0"/>
          <w:numId w:val="206"/>
        </w:numPr>
        <w:rPr>
          <w:rFonts w:ascii="Arial" w:hAnsi="Arial" w:cs="Arial"/>
          <w:sz w:val="22"/>
          <w:szCs w:val="22"/>
        </w:rPr>
      </w:pPr>
      <w:r w:rsidRPr="00BF4AA8">
        <w:rPr>
          <w:rFonts w:ascii="Arial" w:hAnsi="Arial" w:cs="Arial"/>
          <w:sz w:val="22"/>
          <w:szCs w:val="22"/>
        </w:rPr>
        <w:t>Standardized trawl-survey CPUE compared across decades</w:t>
      </w:r>
    </w:p>
    <w:p w:rsidR="00B10668" w:rsidRPr="00BF4AA8" w:rsidRDefault="00B10668" w:rsidP="00B10668">
      <w:pPr>
        <w:pStyle w:val="NormalWeb"/>
        <w:numPr>
          <w:ilvl w:val="0"/>
          <w:numId w:val="206"/>
        </w:numPr>
        <w:rPr>
          <w:rFonts w:ascii="Arial" w:hAnsi="Arial" w:cs="Arial"/>
          <w:sz w:val="22"/>
          <w:szCs w:val="22"/>
        </w:rPr>
      </w:pPr>
      <w:r w:rsidRPr="00BF4AA8">
        <w:rPr>
          <w:rFonts w:ascii="Arial" w:hAnsi="Arial" w:cs="Arial"/>
          <w:sz w:val="22"/>
          <w:szCs w:val="22"/>
        </w:rPr>
        <w:t>Interpreted as index of demersal fishable biomass</w:t>
      </w:r>
    </w:p>
    <w:p w:rsidR="00B10668" w:rsidRPr="00BF4AA8" w:rsidRDefault="00B10668" w:rsidP="00B10668">
      <w:pPr>
        <w:adjustRightInd w:val="0"/>
        <w:snapToGrid w:val="0"/>
        <w:spacing w:before="240"/>
        <w:rPr>
          <w:rStyle w:val="Strong"/>
          <w:rFonts w:ascii="Arial" w:hAnsi="Arial" w:cs="Arial"/>
          <w:i/>
          <w:iCs/>
          <w:color w:val="0070C0"/>
          <w:sz w:val="22"/>
          <w:szCs w:val="22"/>
        </w:rPr>
      </w:pPr>
      <w:r w:rsidRPr="00BF4AA8">
        <w:rPr>
          <w:rStyle w:val="Strong"/>
          <w:rFonts w:ascii="Arial" w:hAnsi="Arial" w:cs="Arial"/>
          <w:color w:val="0070C0"/>
          <w:sz w:val="22"/>
          <w:szCs w:val="22"/>
        </w:rPr>
        <w:t>Stock-Status Plots</w:t>
      </w:r>
    </w:p>
    <w:p w:rsidR="00B10668" w:rsidRPr="00BF4AA8" w:rsidRDefault="00B10668" w:rsidP="00B10668">
      <w:pPr>
        <w:pStyle w:val="NormalWeb"/>
        <w:numPr>
          <w:ilvl w:val="0"/>
          <w:numId w:val="207"/>
        </w:numPr>
        <w:rPr>
          <w:rFonts w:ascii="Arial" w:hAnsi="Arial" w:cs="Arial"/>
          <w:sz w:val="22"/>
          <w:szCs w:val="22"/>
        </w:rPr>
      </w:pPr>
      <w:r w:rsidRPr="00BF4AA8">
        <w:rPr>
          <w:rFonts w:ascii="Arial" w:hAnsi="Arial" w:cs="Arial"/>
          <w:sz w:val="22"/>
          <w:szCs w:val="22"/>
        </w:rPr>
        <w:t>Categorization: developing / exploited / overexploited / collapsed</w:t>
      </w:r>
    </w:p>
    <w:p w:rsidR="00B10668" w:rsidRPr="00BF4AA8" w:rsidRDefault="00B10668" w:rsidP="00B10668">
      <w:pPr>
        <w:pStyle w:val="NormalWeb"/>
        <w:numPr>
          <w:ilvl w:val="0"/>
          <w:numId w:val="207"/>
        </w:numPr>
        <w:rPr>
          <w:rFonts w:ascii="Arial" w:hAnsi="Arial" w:cs="Arial"/>
          <w:sz w:val="22"/>
          <w:szCs w:val="22"/>
        </w:rPr>
      </w:pPr>
      <w:r w:rsidRPr="00BF4AA8">
        <w:rPr>
          <w:rFonts w:ascii="Arial" w:hAnsi="Arial" w:cs="Arial"/>
          <w:sz w:val="22"/>
          <w:szCs w:val="22"/>
        </w:rPr>
        <w:t>Tracks long-term shift in stock health</w:t>
      </w:r>
    </w:p>
    <w:p w:rsidR="00B10668" w:rsidRPr="00BF4AA8" w:rsidRDefault="00B10668" w:rsidP="00B10668">
      <w:pPr>
        <w:rPr>
          <w:rStyle w:val="Strong"/>
          <w:rFonts w:ascii="Arial" w:hAnsi="Arial" w:cs="Arial"/>
          <w:i/>
          <w:iCs/>
          <w:color w:val="0070C0"/>
          <w:sz w:val="22"/>
          <w:szCs w:val="22"/>
        </w:rPr>
      </w:pPr>
      <w:r w:rsidRPr="00BF4AA8">
        <w:rPr>
          <w:rStyle w:val="Strong"/>
          <w:rFonts w:ascii="Arial" w:hAnsi="Arial" w:cs="Arial"/>
          <w:i/>
          <w:iCs/>
          <w:color w:val="0070C0"/>
          <w:sz w:val="22"/>
          <w:szCs w:val="22"/>
        </w:rPr>
        <w:t>C.</w:t>
      </w:r>
      <w:r w:rsidRPr="00BF4AA8">
        <w:rPr>
          <w:rStyle w:val="Strong"/>
          <w:rFonts w:ascii="Arial" w:hAnsi="Arial" w:cs="Arial"/>
          <w:color w:val="0070C0"/>
          <w:sz w:val="22"/>
          <w:szCs w:val="22"/>
        </w:rPr>
        <w:t xml:space="preserve"> Fleet, Gear &amp; Economic Indicators</w:t>
      </w:r>
    </w:p>
    <w:p w:rsidR="00B10668" w:rsidRPr="00BF4AA8" w:rsidRDefault="00B10668" w:rsidP="00B10668">
      <w:pPr>
        <w:pStyle w:val="NormalWeb"/>
        <w:numPr>
          <w:ilvl w:val="0"/>
          <w:numId w:val="208"/>
        </w:numPr>
        <w:rPr>
          <w:rFonts w:ascii="Arial" w:hAnsi="Arial" w:cs="Arial"/>
          <w:sz w:val="22"/>
          <w:szCs w:val="22"/>
        </w:rPr>
      </w:pPr>
      <w:r w:rsidRPr="00BF4AA8">
        <w:rPr>
          <w:rStyle w:val="Strong"/>
          <w:rFonts w:ascii="Arial" w:hAnsi="Arial" w:cs="Arial"/>
          <w:sz w:val="22"/>
          <w:szCs w:val="22"/>
        </w:rPr>
        <w:t>Fleet capacity:</w:t>
      </w:r>
      <w:r w:rsidRPr="00BF4AA8">
        <w:rPr>
          <w:rFonts w:ascii="Arial" w:hAnsi="Arial" w:cs="Arial"/>
          <w:sz w:val="22"/>
          <w:szCs w:val="22"/>
        </w:rPr>
        <w:t xml:space="preserve"> number × engine class × registration share</w:t>
      </w:r>
    </w:p>
    <w:p w:rsidR="00B10668" w:rsidRPr="00BF4AA8" w:rsidRDefault="00B10668" w:rsidP="00B10668">
      <w:pPr>
        <w:pStyle w:val="NormalWeb"/>
        <w:numPr>
          <w:ilvl w:val="0"/>
          <w:numId w:val="208"/>
        </w:numPr>
        <w:rPr>
          <w:rFonts w:ascii="Arial" w:hAnsi="Arial" w:cs="Arial"/>
          <w:sz w:val="22"/>
          <w:szCs w:val="22"/>
        </w:rPr>
      </w:pPr>
      <w:r w:rsidRPr="00BF4AA8">
        <w:rPr>
          <w:rStyle w:val="Strong"/>
          <w:rFonts w:ascii="Arial" w:hAnsi="Arial" w:cs="Arial"/>
          <w:sz w:val="22"/>
          <w:szCs w:val="22"/>
        </w:rPr>
        <w:t>Gear pressure:</w:t>
      </w:r>
      <w:r w:rsidRPr="00BF4AA8">
        <w:rPr>
          <w:rFonts w:ascii="Arial" w:hAnsi="Arial" w:cs="Arial"/>
          <w:sz w:val="22"/>
          <w:szCs w:val="22"/>
        </w:rPr>
        <w:t xml:space="preserve"> trawl %; purse-seine %; small-scale contribution</w:t>
      </w:r>
    </w:p>
    <w:p w:rsidR="00B10668" w:rsidRPr="00BF4AA8" w:rsidRDefault="00B10668" w:rsidP="00B10668">
      <w:pPr>
        <w:pStyle w:val="NormalWeb"/>
        <w:numPr>
          <w:ilvl w:val="0"/>
          <w:numId w:val="208"/>
        </w:numPr>
        <w:rPr>
          <w:rFonts w:ascii="Arial" w:hAnsi="Arial" w:cs="Arial"/>
          <w:sz w:val="22"/>
          <w:szCs w:val="22"/>
        </w:rPr>
      </w:pPr>
      <w:r w:rsidRPr="00BF4AA8">
        <w:rPr>
          <w:rStyle w:val="Strong"/>
          <w:rFonts w:ascii="Arial" w:hAnsi="Arial" w:cs="Arial"/>
          <w:sz w:val="22"/>
          <w:szCs w:val="22"/>
        </w:rPr>
        <w:t>Subsidy incentives:</w:t>
      </w:r>
      <w:r w:rsidRPr="00BF4AA8">
        <w:rPr>
          <w:rFonts w:ascii="Arial" w:hAnsi="Arial" w:cs="Arial"/>
          <w:sz w:val="22"/>
          <w:szCs w:val="22"/>
        </w:rPr>
        <w:t xml:space="preserve"> capacity-enhancing vs. management-support ratio</w:t>
      </w:r>
    </w:p>
    <w:p w:rsidR="00B10668" w:rsidRPr="00BF4AA8" w:rsidRDefault="00B10668" w:rsidP="00B10668">
      <w:pPr>
        <w:rPr>
          <w:rStyle w:val="Strong"/>
          <w:rFonts w:ascii="Arial" w:hAnsi="Arial" w:cs="Arial"/>
          <w:i/>
          <w:iCs/>
          <w:color w:val="0070C0"/>
          <w:sz w:val="22"/>
          <w:szCs w:val="22"/>
        </w:rPr>
      </w:pPr>
      <w:r w:rsidRPr="00BF4AA8">
        <w:rPr>
          <w:rStyle w:val="Strong"/>
          <w:rFonts w:ascii="Arial" w:hAnsi="Arial" w:cs="Arial"/>
          <w:i/>
          <w:iCs/>
          <w:color w:val="0070C0"/>
          <w:sz w:val="22"/>
          <w:szCs w:val="22"/>
        </w:rPr>
        <w:t>D</w:t>
      </w:r>
      <w:r w:rsidRPr="00BF4AA8">
        <w:rPr>
          <w:rStyle w:val="Strong"/>
          <w:rFonts w:ascii="Arial" w:hAnsi="Arial" w:cs="Arial"/>
          <w:color w:val="0070C0"/>
          <w:sz w:val="22"/>
          <w:szCs w:val="22"/>
        </w:rPr>
        <w:t xml:space="preserve"> Cross-Linkage Analysis</w:t>
      </w:r>
    </w:p>
    <w:p w:rsidR="00B10668" w:rsidRPr="00BF4AA8" w:rsidRDefault="00B10668" w:rsidP="00B10668">
      <w:pPr>
        <w:pStyle w:val="NormalWeb"/>
        <w:rPr>
          <w:rFonts w:ascii="Arial" w:hAnsi="Arial" w:cs="Arial"/>
          <w:sz w:val="22"/>
          <w:szCs w:val="22"/>
        </w:rPr>
      </w:pPr>
      <w:r w:rsidRPr="00BF4AA8">
        <w:rPr>
          <w:rFonts w:ascii="Arial" w:hAnsi="Arial" w:cs="Arial"/>
          <w:sz w:val="22"/>
          <w:szCs w:val="22"/>
        </w:rPr>
        <w:t xml:space="preserve">Indicators </w:t>
      </w:r>
      <w:proofErr w:type="gramStart"/>
      <w:r w:rsidRPr="00BF4AA8">
        <w:rPr>
          <w:rFonts w:ascii="Arial" w:hAnsi="Arial" w:cs="Arial"/>
          <w:sz w:val="22"/>
          <w:szCs w:val="22"/>
        </w:rPr>
        <w:t>were interpreted</w:t>
      </w:r>
      <w:proofErr w:type="gramEnd"/>
      <w:r w:rsidRPr="00BF4AA8">
        <w:rPr>
          <w:rFonts w:ascii="Arial" w:hAnsi="Arial" w:cs="Arial"/>
          <w:sz w:val="22"/>
          <w:szCs w:val="22"/>
        </w:rPr>
        <w:t xml:space="preserve"> together to assess:</w:t>
      </w:r>
    </w:p>
    <w:p w:rsidR="00B10668" w:rsidRPr="00BF4AA8" w:rsidRDefault="00B10668" w:rsidP="00B10668">
      <w:pPr>
        <w:pStyle w:val="NormalWeb"/>
        <w:numPr>
          <w:ilvl w:val="0"/>
          <w:numId w:val="209"/>
        </w:numPr>
        <w:rPr>
          <w:rFonts w:ascii="Arial" w:hAnsi="Arial" w:cs="Arial"/>
          <w:sz w:val="22"/>
          <w:szCs w:val="22"/>
        </w:rPr>
      </w:pPr>
      <w:r w:rsidRPr="00BF4AA8">
        <w:rPr>
          <w:rFonts w:ascii="Arial" w:hAnsi="Arial" w:cs="Arial"/>
          <w:sz w:val="22"/>
          <w:szCs w:val="22"/>
        </w:rPr>
        <w:t>ecological–economic decoupling</w:t>
      </w:r>
    </w:p>
    <w:p w:rsidR="00B10668" w:rsidRPr="00BF4AA8" w:rsidRDefault="00B10668" w:rsidP="00B10668">
      <w:pPr>
        <w:pStyle w:val="NormalWeb"/>
        <w:numPr>
          <w:ilvl w:val="0"/>
          <w:numId w:val="209"/>
        </w:numPr>
        <w:rPr>
          <w:rFonts w:ascii="Arial" w:hAnsi="Arial" w:cs="Arial"/>
          <w:sz w:val="22"/>
          <w:szCs w:val="22"/>
        </w:rPr>
      </w:pPr>
      <w:r w:rsidRPr="00BF4AA8">
        <w:rPr>
          <w:rFonts w:ascii="Arial" w:hAnsi="Arial" w:cs="Arial"/>
          <w:sz w:val="22"/>
          <w:szCs w:val="22"/>
        </w:rPr>
        <w:t>habitat–fleet interactions</w:t>
      </w:r>
    </w:p>
    <w:p w:rsidR="00B10668" w:rsidRPr="00BF4AA8" w:rsidRDefault="00B10668" w:rsidP="00B10668">
      <w:pPr>
        <w:pStyle w:val="NormalWeb"/>
        <w:numPr>
          <w:ilvl w:val="0"/>
          <w:numId w:val="209"/>
        </w:numPr>
        <w:rPr>
          <w:rFonts w:ascii="Arial" w:hAnsi="Arial" w:cs="Arial"/>
          <w:sz w:val="22"/>
          <w:szCs w:val="22"/>
        </w:rPr>
      </w:pPr>
      <w:r w:rsidRPr="00BF4AA8">
        <w:rPr>
          <w:rFonts w:ascii="Arial" w:hAnsi="Arial" w:cs="Arial"/>
          <w:sz w:val="22"/>
          <w:szCs w:val="22"/>
        </w:rPr>
        <w:t>transboundary footprint (foreign fleets in PPR patterns)</w:t>
      </w:r>
    </w:p>
    <w:p w:rsidR="00B10668" w:rsidRPr="00BF4AA8" w:rsidRDefault="00B10668" w:rsidP="00B10668">
      <w:pPr>
        <w:pStyle w:val="NormalWeb"/>
        <w:numPr>
          <w:ilvl w:val="0"/>
          <w:numId w:val="209"/>
        </w:numPr>
        <w:rPr>
          <w:rFonts w:ascii="Arial" w:hAnsi="Arial" w:cs="Arial"/>
          <w:sz w:val="22"/>
          <w:szCs w:val="22"/>
        </w:rPr>
      </w:pPr>
      <w:r w:rsidRPr="00BF4AA8">
        <w:rPr>
          <w:rFonts w:ascii="Arial" w:hAnsi="Arial" w:cs="Arial"/>
          <w:sz w:val="22"/>
          <w:szCs w:val="22"/>
        </w:rPr>
        <w:t>combined climate–fishing pressures</w:t>
      </w:r>
    </w:p>
    <w:p w:rsidR="002675E0" w:rsidRPr="00BF4AA8" w:rsidRDefault="002675E0" w:rsidP="00BF4AA8">
      <w:pPr>
        <w:pStyle w:val="Heading1"/>
      </w:pPr>
      <w:bookmarkStart w:id="41" w:name="_Toc216681468"/>
      <w:r w:rsidRPr="00BF4AA8">
        <w:t>Annex 6</w:t>
      </w:r>
      <w:bookmarkEnd w:id="41"/>
    </w:p>
    <w:p w:rsidR="0098718A" w:rsidRPr="00BF4AA8" w:rsidRDefault="0098718A" w:rsidP="00BF4AA8">
      <w:pPr>
        <w:pStyle w:val="Heading2"/>
        <w:keepNext/>
        <w:adjustRightInd w:val="0"/>
        <w:snapToGrid w:val="0"/>
        <w:spacing w:before="240" w:beforeAutospacing="0" w:after="120" w:afterAutospacing="0"/>
        <w:rPr>
          <w:rFonts w:ascii="Arial" w:hAnsi="Arial" w:cs="Arial"/>
          <w:color w:val="0070C0"/>
          <w:sz w:val="22"/>
          <w:szCs w:val="22"/>
        </w:rPr>
      </w:pPr>
      <w:bookmarkStart w:id="42" w:name="_Toc216681469"/>
      <w:r w:rsidRPr="00BF4AA8">
        <w:rPr>
          <w:rFonts w:ascii="Arial" w:hAnsi="Arial" w:cs="Arial"/>
          <w:color w:val="0070C0"/>
          <w:sz w:val="22"/>
          <w:szCs w:val="22"/>
        </w:rPr>
        <w:t>Annex 6-</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Annex_6-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1</w:t>
      </w:r>
      <w:r w:rsidRPr="00BF4AA8">
        <w:rPr>
          <w:rFonts w:ascii="Arial" w:hAnsi="Arial" w:cs="Arial"/>
          <w:color w:val="0070C0"/>
          <w:sz w:val="22"/>
          <w:szCs w:val="22"/>
        </w:rPr>
        <w:fldChar w:fldCharType="end"/>
      </w:r>
      <w:r w:rsidRPr="00BF4AA8">
        <w:rPr>
          <w:rFonts w:ascii="Arial" w:hAnsi="Arial" w:cs="Arial"/>
          <w:color w:val="0070C0"/>
          <w:sz w:val="22"/>
          <w:szCs w:val="22"/>
        </w:rPr>
        <w:t xml:space="preserve"> Data Sources, Metadata, Assessment Method, and Explanatory Text</w:t>
      </w:r>
      <w:bookmarkEnd w:id="42"/>
    </w:p>
    <w:p w:rsidR="0098718A" w:rsidRPr="00BF4AA8" w:rsidRDefault="0098718A" w:rsidP="00BF4AA8">
      <w:pPr>
        <w:pStyle w:val="TOCHeading"/>
      </w:pPr>
      <w:r w:rsidRPr="00BF4AA8">
        <w:t>A. Economic and Policy Drivers</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This annex summarizes the macro-economic and policy conditions that shape pressures on Cambodia’s coastal and marine environment as well as the country’s capacity to respond. It draws on long-term economic indicators from the World Bank WDI (2000–2024), national budget documents, and sustainable-finance initiatives to understand how GDP growth, investment flows, and fiscal space interact with coastal development trajectories. Particular attention </w:t>
      </w:r>
      <w:proofErr w:type="gramStart"/>
      <w:r w:rsidRPr="00BF4AA8">
        <w:rPr>
          <w:rFonts w:ascii="Arial" w:hAnsi="Arial" w:cs="Arial"/>
          <w:sz w:val="22"/>
          <w:szCs w:val="22"/>
        </w:rPr>
        <w:t>is given</w:t>
      </w:r>
      <w:proofErr w:type="gramEnd"/>
      <w:r w:rsidRPr="00BF4AA8">
        <w:rPr>
          <w:rFonts w:ascii="Arial" w:hAnsi="Arial" w:cs="Arial"/>
          <w:sz w:val="22"/>
          <w:szCs w:val="22"/>
        </w:rPr>
        <w:t xml:space="preserve"> to </w:t>
      </w:r>
      <w:r w:rsidRPr="00BF4AA8">
        <w:rPr>
          <w:rStyle w:val="Strong"/>
          <w:rFonts w:ascii="Arial" w:hAnsi="Arial" w:cs="Arial"/>
          <w:sz w:val="22"/>
          <w:szCs w:val="22"/>
        </w:rPr>
        <w:t>gross fixed capital formation (GFCF)</w:t>
      </w:r>
      <w:r w:rsidRPr="00BF4AA8">
        <w:rPr>
          <w:rFonts w:ascii="Arial" w:hAnsi="Arial" w:cs="Arial"/>
          <w:sz w:val="22"/>
          <w:szCs w:val="22"/>
        </w:rPr>
        <w:t xml:space="preserve"> and </w:t>
      </w:r>
      <w:r w:rsidRPr="00BF4AA8">
        <w:rPr>
          <w:rStyle w:val="Strong"/>
          <w:rFonts w:ascii="Arial" w:hAnsi="Arial" w:cs="Arial"/>
          <w:sz w:val="22"/>
          <w:szCs w:val="22"/>
        </w:rPr>
        <w:t>foreign direct investment (FDI)</w:t>
      </w:r>
      <w:r w:rsidRPr="00BF4AA8">
        <w:rPr>
          <w:rFonts w:ascii="Arial" w:hAnsi="Arial" w:cs="Arial"/>
          <w:sz w:val="22"/>
          <w:szCs w:val="22"/>
        </w:rPr>
        <w:t>, which influence construction-driven pressures in coastal zones, including SEZ expansion, port development, and tourism infrastructure.</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The annex also reviews Cambodia’s </w:t>
      </w:r>
      <w:r w:rsidRPr="00BF4AA8">
        <w:rPr>
          <w:rStyle w:val="Strong"/>
          <w:rFonts w:ascii="Arial" w:hAnsi="Arial" w:cs="Arial"/>
          <w:sz w:val="22"/>
          <w:szCs w:val="22"/>
        </w:rPr>
        <w:t>public financial architecture</w:t>
      </w:r>
      <w:r w:rsidRPr="00BF4AA8">
        <w:rPr>
          <w:rFonts w:ascii="Arial" w:hAnsi="Arial" w:cs="Arial"/>
          <w:sz w:val="22"/>
          <w:szCs w:val="22"/>
        </w:rPr>
        <w:t xml:space="preserve"> for environmental governance, including annual budget allocations to fisheries law enforcement, protected areas, and biodiversity conservation. These data help determine whether current fiscal commitments are adequate relative to the scale of ecological degradation. The </w:t>
      </w:r>
      <w:r w:rsidRPr="00BF4AA8">
        <w:rPr>
          <w:rStyle w:val="Strong"/>
          <w:rFonts w:ascii="Arial" w:hAnsi="Arial" w:cs="Arial"/>
          <w:sz w:val="22"/>
          <w:szCs w:val="22"/>
        </w:rPr>
        <w:t>MEF PPP pipeline</w:t>
      </w:r>
      <w:r w:rsidRPr="00BF4AA8">
        <w:rPr>
          <w:rFonts w:ascii="Arial" w:hAnsi="Arial" w:cs="Arial"/>
          <w:sz w:val="22"/>
          <w:szCs w:val="22"/>
        </w:rPr>
        <w:t xml:space="preserve"> </w:t>
      </w:r>
      <w:proofErr w:type="gramStart"/>
      <w:r w:rsidRPr="00BF4AA8">
        <w:rPr>
          <w:rFonts w:ascii="Arial" w:hAnsi="Arial" w:cs="Arial"/>
          <w:sz w:val="22"/>
          <w:szCs w:val="22"/>
        </w:rPr>
        <w:t>is evaluated</w:t>
      </w:r>
      <w:proofErr w:type="gramEnd"/>
      <w:r w:rsidRPr="00BF4AA8">
        <w:rPr>
          <w:rFonts w:ascii="Arial" w:hAnsi="Arial" w:cs="Arial"/>
          <w:sz w:val="22"/>
          <w:szCs w:val="22"/>
        </w:rPr>
        <w:t xml:space="preserve"> to understand the alignment of proposed and ongoing public–private partnerships with ICZM, marine spatial planning, EIA/SEA requirements, and sustainability safeguards.</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Finally, the annex integrates poverty headcount data and vulnerability metrics to identify how macroeconomic trends translate into distributional outcomes for coastal households. This is essential for assessing whether economic growth is increasing resilience or reinforcing livelihood precarity. Together, the indicators provide an evidence base for assessing Cambodia’s long-term readiness for </w:t>
      </w:r>
      <w:r w:rsidRPr="00BF4AA8">
        <w:rPr>
          <w:rStyle w:val="Strong"/>
          <w:rFonts w:ascii="Arial" w:hAnsi="Arial" w:cs="Arial"/>
          <w:sz w:val="22"/>
          <w:szCs w:val="22"/>
        </w:rPr>
        <w:t>blue-economy investment</w:t>
      </w:r>
      <w:r w:rsidRPr="00BF4AA8">
        <w:rPr>
          <w:rFonts w:ascii="Arial" w:hAnsi="Arial" w:cs="Arial"/>
          <w:sz w:val="22"/>
          <w:szCs w:val="22"/>
        </w:rPr>
        <w:t>, sustainable financing instruments, and equitable coastal development.</w:t>
      </w:r>
    </w:p>
    <w:p w:rsidR="0098718A" w:rsidRPr="00BF4AA8" w:rsidRDefault="0098718A" w:rsidP="0098718A">
      <w:pPr>
        <w:pStyle w:val="Caption"/>
        <w:rPr>
          <w:rFonts w:ascii="Arial" w:hAnsi="Arial" w:cs="Arial"/>
          <w:color w:val="002060"/>
          <w:sz w:val="22"/>
          <w:szCs w:val="22"/>
        </w:rPr>
      </w:pPr>
      <w:r w:rsidRPr="00BF4AA8">
        <w:rPr>
          <w:rFonts w:ascii="Arial" w:hAnsi="Arial" w:cs="Arial"/>
          <w:color w:val="002060"/>
          <w:sz w:val="22"/>
          <w:szCs w:val="22"/>
        </w:rPr>
        <w:t>Annex Table 6-</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Annex_Table_6-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1</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Economic and Policy Drivers: Data Sources, Metadata, and Assessment Method</w:t>
      </w:r>
    </w:p>
    <w:tbl>
      <w:tblPr>
        <w:tblStyle w:val="GridTable4-Accent5"/>
        <w:tblW w:w="0" w:type="auto"/>
        <w:tblLook w:val="04A0" w:firstRow="1" w:lastRow="0" w:firstColumn="1" w:lastColumn="0" w:noHBand="0" w:noVBand="1"/>
      </w:tblPr>
      <w:tblGrid>
        <w:gridCol w:w="1415"/>
        <w:gridCol w:w="7073"/>
      </w:tblGrid>
      <w:tr w:rsidR="0098718A"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hideMark/>
          </w:tcPr>
          <w:p w:rsidR="0098718A" w:rsidRPr="00BF4AA8" w:rsidRDefault="0098718A" w:rsidP="005F1F5C">
            <w:pPr>
              <w:jc w:val="center"/>
              <w:rPr>
                <w:rFonts w:ascii="Arial" w:hAnsi="Arial" w:cs="Arial"/>
                <w:sz w:val="22"/>
                <w:szCs w:val="22"/>
              </w:rPr>
            </w:pPr>
            <w:r w:rsidRPr="00BF4AA8">
              <w:rPr>
                <w:rStyle w:val="Strong"/>
                <w:rFonts w:ascii="Arial" w:hAnsi="Arial" w:cs="Arial"/>
                <w:sz w:val="22"/>
                <w:szCs w:val="22"/>
              </w:rPr>
              <w:t>Category</w:t>
            </w:r>
          </w:p>
        </w:tc>
        <w:tc>
          <w:tcPr>
            <w:tcW w:w="7597" w:type="dxa"/>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Details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hideMark/>
          </w:tcPr>
          <w:p w:rsidR="0098718A" w:rsidRPr="00BF4AA8" w:rsidRDefault="0098718A" w:rsidP="005F1F5C">
            <w:pPr>
              <w:rPr>
                <w:rFonts w:ascii="Arial" w:hAnsi="Arial" w:cs="Arial"/>
                <w:b w:val="0"/>
                <w:bCs w:val="0"/>
                <w:sz w:val="22"/>
                <w:szCs w:val="22"/>
              </w:rPr>
            </w:pPr>
            <w:r w:rsidRPr="00BF4AA8">
              <w:rPr>
                <w:rStyle w:val="Strong"/>
                <w:rFonts w:ascii="Arial" w:hAnsi="Arial" w:cs="Arial"/>
                <w:sz w:val="22"/>
                <w:szCs w:val="22"/>
              </w:rPr>
              <w:t>Data Sources</w:t>
            </w:r>
          </w:p>
        </w:tc>
        <w:tc>
          <w:tcPr>
            <w:tcW w:w="7597" w:type="dxa"/>
            <w:hideMark/>
          </w:tcPr>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World Bank WDI (GDP, GFCF, FDI, CA balance, inflation, unemployment) </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National budget documents (biodiversity, fisheries enforcement, NPASMP costing) </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MEF PPP pipeline (solicited/unsolicited projects, VGF status) </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Sustainable finance initiatives (CSFP, NBC–IFC taxonomy, CGCC guarantees)</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413" w:type="dxa"/>
            <w:hideMark/>
          </w:tcPr>
          <w:p w:rsidR="0098718A" w:rsidRPr="00BF4AA8" w:rsidRDefault="0098718A" w:rsidP="005F1F5C">
            <w:pPr>
              <w:rPr>
                <w:rFonts w:ascii="Arial" w:hAnsi="Arial" w:cs="Arial"/>
                <w:sz w:val="22"/>
                <w:szCs w:val="22"/>
              </w:rPr>
            </w:pPr>
            <w:r w:rsidRPr="00BF4AA8">
              <w:rPr>
                <w:rStyle w:val="Strong"/>
                <w:rFonts w:ascii="Arial" w:hAnsi="Arial" w:cs="Arial"/>
                <w:sz w:val="22"/>
                <w:szCs w:val="22"/>
              </w:rPr>
              <w:t>Metadata</w:t>
            </w:r>
          </w:p>
        </w:tc>
        <w:tc>
          <w:tcPr>
            <w:tcW w:w="7597" w:type="dxa"/>
            <w:hideMark/>
          </w:tcPr>
          <w:p w:rsidR="0098718A" w:rsidRPr="00BF4AA8" w:rsidRDefault="0098718A" w:rsidP="0098718A">
            <w:pPr>
              <w:pStyle w:val="ListParagraph"/>
              <w:numPr>
                <w:ilvl w:val="0"/>
                <w:numId w:val="126"/>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GDP (current US$, annual % change), 2000–2024 </w:t>
            </w:r>
          </w:p>
          <w:p w:rsidR="0098718A" w:rsidRPr="00BF4AA8" w:rsidRDefault="0098718A" w:rsidP="0098718A">
            <w:pPr>
              <w:pStyle w:val="ListParagraph"/>
              <w:numPr>
                <w:ilvl w:val="0"/>
                <w:numId w:val="126"/>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FDI inflows (current US$ and % GDP) • GFCF (current US$ and % GDP) </w:t>
            </w:r>
          </w:p>
          <w:p w:rsidR="0098718A" w:rsidRPr="00BF4AA8" w:rsidRDefault="0098718A" w:rsidP="0098718A">
            <w:pPr>
              <w:pStyle w:val="ListParagraph"/>
              <w:numPr>
                <w:ilvl w:val="0"/>
                <w:numId w:val="126"/>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Poverty headcount (national poverty lines and US$1.90/day) </w:t>
            </w:r>
          </w:p>
          <w:p w:rsidR="0098718A" w:rsidRPr="00BF4AA8" w:rsidRDefault="0098718A" w:rsidP="0098718A">
            <w:pPr>
              <w:pStyle w:val="ListParagraph"/>
              <w:numPr>
                <w:ilvl w:val="0"/>
                <w:numId w:val="126"/>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Budget allocations to fisheries, enforcement, and PA systems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hideMark/>
          </w:tcPr>
          <w:p w:rsidR="0098718A" w:rsidRPr="00BF4AA8" w:rsidRDefault="0098718A" w:rsidP="005F1F5C">
            <w:pPr>
              <w:rPr>
                <w:rFonts w:ascii="Arial" w:hAnsi="Arial" w:cs="Arial"/>
                <w:sz w:val="22"/>
                <w:szCs w:val="22"/>
              </w:rPr>
            </w:pPr>
            <w:r w:rsidRPr="00BF4AA8">
              <w:rPr>
                <w:rStyle w:val="Strong"/>
                <w:rFonts w:ascii="Arial" w:hAnsi="Arial" w:cs="Arial"/>
                <w:sz w:val="22"/>
                <w:szCs w:val="22"/>
              </w:rPr>
              <w:t>Assessment Method</w:t>
            </w:r>
          </w:p>
        </w:tc>
        <w:tc>
          <w:tcPr>
            <w:tcW w:w="7597" w:type="dxa"/>
            <w:hideMark/>
          </w:tcPr>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Evaluate macroeconomic conditions shaping coastal development pressures.</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Determine fiscal space and readiness for blue-economy financing. </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Assess alignment of PPP projects with ICZM, MSP, and EIA/SEA obligations.</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Link poverty and vulnerability data to coastal resilience and social-justice outcomes.</w:t>
            </w:r>
          </w:p>
        </w:tc>
      </w:tr>
    </w:tbl>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Cambodia’s macroeconomic drivers—strong GDP growth, high FDI concentration in coastal SEZs, and rising GFCF—continue to intensify land-use change, port expansion, and tourism pressure in coastal provinces. Limited fiscal space and modest allocations for fisheries and PA management constrain the transition toward sustainable blue-economy investment, while persistent poverty pockets reduce household adaptive capacity.</w:t>
      </w:r>
    </w:p>
    <w:p w:rsidR="0098718A" w:rsidRPr="00BF4AA8" w:rsidRDefault="0098718A" w:rsidP="0098718A">
      <w:pPr>
        <w:pStyle w:val="Caption"/>
        <w:keepNext/>
        <w:rPr>
          <w:rFonts w:ascii="Arial" w:hAnsi="Arial" w:cs="Arial"/>
          <w:color w:val="002060"/>
          <w:sz w:val="22"/>
          <w:szCs w:val="22"/>
        </w:rPr>
      </w:pPr>
      <w:bookmarkStart w:id="43" w:name="_Ref214964573"/>
      <w:r w:rsidRPr="00BF4AA8">
        <w:rPr>
          <w:rFonts w:ascii="Arial" w:hAnsi="Arial" w:cs="Arial"/>
          <w:color w:val="002060"/>
          <w:sz w:val="22"/>
          <w:szCs w:val="22"/>
        </w:rPr>
        <w:t>Annex Table 6-</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Annex_Table_6-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2</w:t>
      </w:r>
      <w:r w:rsidRPr="00BF4AA8">
        <w:rPr>
          <w:rFonts w:ascii="Arial" w:hAnsi="Arial" w:cs="Arial"/>
          <w:color w:val="002060"/>
          <w:sz w:val="22"/>
          <w:szCs w:val="22"/>
        </w:rPr>
        <w:fldChar w:fldCharType="end"/>
      </w:r>
      <w:bookmarkEnd w:id="43"/>
      <w:r w:rsidRPr="00BF4AA8">
        <w:rPr>
          <w:rFonts w:ascii="Arial" w:hAnsi="Arial" w:cs="Arial"/>
          <w:color w:val="002060"/>
          <w:sz w:val="22"/>
          <w:szCs w:val="22"/>
        </w:rPr>
        <w:t xml:space="preserve"> Summary of Cambodia’s key economic indicators (2020-most recent)</w:t>
      </w:r>
    </w:p>
    <w:tbl>
      <w:tblPr>
        <w:tblStyle w:val="GridTable4-Accent5"/>
        <w:tblW w:w="9209" w:type="dxa"/>
        <w:tblLayout w:type="fixed"/>
        <w:tblLook w:val="04A0" w:firstRow="1" w:lastRow="0" w:firstColumn="1" w:lastColumn="0" w:noHBand="0" w:noVBand="1"/>
      </w:tblPr>
      <w:tblGrid>
        <w:gridCol w:w="846"/>
        <w:gridCol w:w="1276"/>
        <w:gridCol w:w="1275"/>
        <w:gridCol w:w="1418"/>
        <w:gridCol w:w="1222"/>
        <w:gridCol w:w="1755"/>
        <w:gridCol w:w="1417"/>
      </w:tblGrid>
      <w:tr w:rsidR="0098718A" w:rsidRPr="00BF4AA8" w:rsidTr="005F1F5C">
        <w:trPr>
          <w:cnfStyle w:val="100000000000" w:firstRow="1" w:lastRow="0" w:firstColumn="0" w:lastColumn="0" w:oddVBand="0" w:evenVBand="0" w:oddHBand="0" w:evenHBand="0" w:firstRowFirstColumn="0" w:firstRowLastColumn="0" w:lastRowFirstColumn="0" w:lastRowLastColumn="0"/>
          <w:trHeight w:val="471"/>
        </w:trPr>
        <w:tc>
          <w:tcPr>
            <w:cnfStyle w:val="001000000000" w:firstRow="0" w:lastRow="0" w:firstColumn="1" w:lastColumn="0" w:oddVBand="0" w:evenVBand="0" w:oddHBand="0" w:evenHBand="0" w:firstRowFirstColumn="0" w:firstRowLastColumn="0" w:lastRowFirstColumn="0" w:lastRowLastColumn="0"/>
            <w:tcW w:w="846" w:type="dxa"/>
            <w:noWrap/>
            <w:vAlign w:val="center"/>
            <w:hideMark/>
          </w:tcPr>
          <w:p w:rsidR="0098718A" w:rsidRPr="00BF4AA8" w:rsidRDefault="0098718A" w:rsidP="005F1F5C">
            <w:pPr>
              <w:jc w:val="center"/>
              <w:rPr>
                <w:rFonts w:ascii="Arial" w:hAnsi="Arial" w:cs="Arial"/>
                <w:sz w:val="22"/>
                <w:szCs w:val="22"/>
              </w:rPr>
            </w:pPr>
            <w:r w:rsidRPr="00BF4AA8">
              <w:rPr>
                <w:rFonts w:ascii="Arial" w:hAnsi="Arial" w:cs="Arial"/>
                <w:sz w:val="22"/>
                <w:szCs w:val="22"/>
              </w:rPr>
              <w:t>Year</w:t>
            </w:r>
          </w:p>
        </w:tc>
        <w:tc>
          <w:tcPr>
            <w:tcW w:w="1276" w:type="dxa"/>
            <w:vAlign w:val="center"/>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GDP (current US$) - Billions</w:t>
            </w:r>
          </w:p>
        </w:tc>
        <w:tc>
          <w:tcPr>
            <w:tcW w:w="1275" w:type="dxa"/>
            <w:vAlign w:val="center"/>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GDP (annual % of change)</w:t>
            </w:r>
          </w:p>
        </w:tc>
        <w:tc>
          <w:tcPr>
            <w:tcW w:w="1418" w:type="dxa"/>
            <w:vAlign w:val="center"/>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GDP per capital (current US$)</w:t>
            </w:r>
          </w:p>
        </w:tc>
        <w:tc>
          <w:tcPr>
            <w:tcW w:w="1222" w:type="dxa"/>
            <w:vAlign w:val="center"/>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Inflation rate, (average consumer prices)</w:t>
            </w:r>
          </w:p>
        </w:tc>
        <w:tc>
          <w:tcPr>
            <w:tcW w:w="1755" w:type="dxa"/>
            <w:vAlign w:val="center"/>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Unemployment, total (% of total labor force) (modeled ILO estimate)</w:t>
            </w:r>
          </w:p>
        </w:tc>
        <w:tc>
          <w:tcPr>
            <w:tcW w:w="1417" w:type="dxa"/>
            <w:vAlign w:val="center"/>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Current account balance (% of GDP)</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sz w:val="22"/>
                <w:szCs w:val="22"/>
              </w:rPr>
            </w:pPr>
            <w:r w:rsidRPr="00BF4AA8">
              <w:rPr>
                <w:rFonts w:ascii="Arial" w:hAnsi="Arial" w:cs="Arial"/>
                <w:sz w:val="22"/>
                <w:szCs w:val="22"/>
              </w:rPr>
              <w:t>2000</w:t>
            </w:r>
          </w:p>
        </w:tc>
        <w:tc>
          <w:tcPr>
            <w:tcW w:w="1276"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3.69</w:t>
            </w:r>
          </w:p>
        </w:tc>
        <w:tc>
          <w:tcPr>
            <w:tcW w:w="127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9.99</w:t>
            </w:r>
          </w:p>
        </w:tc>
        <w:tc>
          <w:tcPr>
            <w:tcW w:w="141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296.43</w:t>
            </w:r>
          </w:p>
        </w:tc>
        <w:tc>
          <w:tcPr>
            <w:tcW w:w="1222"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-0.79</w:t>
            </w:r>
          </w:p>
        </w:tc>
        <w:tc>
          <w:tcPr>
            <w:tcW w:w="175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0.74</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-3.68</w:t>
            </w:r>
          </w:p>
        </w:tc>
      </w:tr>
      <w:tr w:rsidR="0098718A" w:rsidRPr="00BF4AA8" w:rsidTr="005F1F5C">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2001</w:t>
            </w:r>
          </w:p>
        </w:tc>
        <w:tc>
          <w:tcPr>
            <w:tcW w:w="1276"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4.15</w:t>
            </w:r>
          </w:p>
        </w:tc>
        <w:tc>
          <w:tcPr>
            <w:tcW w:w="127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7.39</w:t>
            </w:r>
          </w:p>
        </w:tc>
        <w:tc>
          <w:tcPr>
            <w:tcW w:w="141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327.50</w:t>
            </w:r>
          </w:p>
        </w:tc>
        <w:tc>
          <w:tcPr>
            <w:tcW w:w="1222"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-0.60</w:t>
            </w:r>
          </w:p>
        </w:tc>
        <w:tc>
          <w:tcPr>
            <w:tcW w:w="175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0.77</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-2.12</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2002</w:t>
            </w:r>
          </w:p>
        </w:tc>
        <w:tc>
          <w:tcPr>
            <w:tcW w:w="1276"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4.50</w:t>
            </w:r>
          </w:p>
        </w:tc>
        <w:tc>
          <w:tcPr>
            <w:tcW w:w="127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6.27</w:t>
            </w:r>
          </w:p>
        </w:tc>
        <w:tc>
          <w:tcPr>
            <w:tcW w:w="141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350.15</w:t>
            </w:r>
          </w:p>
        </w:tc>
        <w:tc>
          <w:tcPr>
            <w:tcW w:w="1222"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0.21</w:t>
            </w:r>
          </w:p>
        </w:tc>
        <w:tc>
          <w:tcPr>
            <w:tcW w:w="175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0.85</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-2.38</w:t>
            </w:r>
          </w:p>
        </w:tc>
      </w:tr>
      <w:tr w:rsidR="0098718A" w:rsidRPr="00BF4AA8" w:rsidTr="005F1F5C">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2003</w:t>
            </w:r>
          </w:p>
        </w:tc>
        <w:tc>
          <w:tcPr>
            <w:tcW w:w="1276"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5.05</w:t>
            </w:r>
          </w:p>
        </w:tc>
        <w:tc>
          <w:tcPr>
            <w:tcW w:w="127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10.28</w:t>
            </w:r>
          </w:p>
        </w:tc>
        <w:tc>
          <w:tcPr>
            <w:tcW w:w="141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386.69</w:t>
            </w:r>
          </w:p>
        </w:tc>
        <w:tc>
          <w:tcPr>
            <w:tcW w:w="1222"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0.94</w:t>
            </w:r>
          </w:p>
        </w:tc>
        <w:tc>
          <w:tcPr>
            <w:tcW w:w="175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0.91</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-4.63</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2004</w:t>
            </w:r>
          </w:p>
        </w:tc>
        <w:tc>
          <w:tcPr>
            <w:tcW w:w="1276"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5.88</w:t>
            </w:r>
          </w:p>
        </w:tc>
        <w:tc>
          <w:tcPr>
            <w:tcW w:w="127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9.46</w:t>
            </w:r>
          </w:p>
        </w:tc>
        <w:tc>
          <w:tcPr>
            <w:tcW w:w="141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444.20</w:t>
            </w:r>
          </w:p>
        </w:tc>
        <w:tc>
          <w:tcPr>
            <w:tcW w:w="1222"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4.32</w:t>
            </w:r>
          </w:p>
        </w:tc>
        <w:tc>
          <w:tcPr>
            <w:tcW w:w="175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1.00</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-3.11</w:t>
            </w:r>
          </w:p>
        </w:tc>
      </w:tr>
      <w:tr w:rsidR="0098718A" w:rsidRPr="00BF4AA8" w:rsidTr="005F1F5C">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2005</w:t>
            </w:r>
          </w:p>
        </w:tc>
        <w:tc>
          <w:tcPr>
            <w:tcW w:w="1276"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7.07</w:t>
            </w:r>
          </w:p>
        </w:tc>
        <w:tc>
          <w:tcPr>
            <w:tcW w:w="127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13.30</w:t>
            </w:r>
          </w:p>
        </w:tc>
        <w:tc>
          <w:tcPr>
            <w:tcW w:w="141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525.80</w:t>
            </w:r>
          </w:p>
        </w:tc>
        <w:tc>
          <w:tcPr>
            <w:tcW w:w="1222"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6.62</w:t>
            </w:r>
          </w:p>
        </w:tc>
        <w:tc>
          <w:tcPr>
            <w:tcW w:w="175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1.06</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-4.34</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2006</w:t>
            </w:r>
          </w:p>
        </w:tc>
        <w:tc>
          <w:tcPr>
            <w:tcW w:w="1276"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8.35</w:t>
            </w:r>
          </w:p>
        </w:tc>
        <w:tc>
          <w:tcPr>
            <w:tcW w:w="127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10.94</w:t>
            </w:r>
          </w:p>
        </w:tc>
        <w:tc>
          <w:tcPr>
            <w:tcW w:w="141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612.25</w:t>
            </w:r>
          </w:p>
        </w:tc>
        <w:tc>
          <w:tcPr>
            <w:tcW w:w="1222"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5.81</w:t>
            </w:r>
          </w:p>
        </w:tc>
        <w:tc>
          <w:tcPr>
            <w:tcW w:w="175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1.15</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-2.80</w:t>
            </w:r>
          </w:p>
        </w:tc>
      </w:tr>
      <w:tr w:rsidR="0098718A" w:rsidRPr="00BF4AA8" w:rsidTr="005F1F5C">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2007</w:t>
            </w:r>
          </w:p>
        </w:tc>
        <w:tc>
          <w:tcPr>
            <w:tcW w:w="1276"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10.13</w:t>
            </w:r>
          </w:p>
        </w:tc>
        <w:tc>
          <w:tcPr>
            <w:tcW w:w="127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10.40</w:t>
            </w:r>
          </w:p>
        </w:tc>
        <w:tc>
          <w:tcPr>
            <w:tcW w:w="141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731.69</w:t>
            </w:r>
          </w:p>
        </w:tc>
        <w:tc>
          <w:tcPr>
            <w:tcW w:w="1222"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8.71</w:t>
            </w:r>
          </w:p>
        </w:tc>
        <w:tc>
          <w:tcPr>
            <w:tcW w:w="175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1.26</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-4.18</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2008</w:t>
            </w:r>
          </w:p>
        </w:tc>
        <w:tc>
          <w:tcPr>
            <w:tcW w:w="1276"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12.17</w:t>
            </w:r>
          </w:p>
        </w:tc>
        <w:tc>
          <w:tcPr>
            <w:tcW w:w="127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7.48</w:t>
            </w:r>
          </w:p>
        </w:tc>
        <w:tc>
          <w:tcPr>
            <w:tcW w:w="141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866.28</w:t>
            </w:r>
          </w:p>
        </w:tc>
        <w:tc>
          <w:tcPr>
            <w:tcW w:w="1222"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24.10</w:t>
            </w:r>
          </w:p>
        </w:tc>
        <w:tc>
          <w:tcPr>
            <w:tcW w:w="175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0.83</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-6.74</w:t>
            </w:r>
          </w:p>
        </w:tc>
      </w:tr>
      <w:tr w:rsidR="0098718A" w:rsidRPr="00BF4AA8" w:rsidTr="005F1F5C">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2009</w:t>
            </w:r>
          </w:p>
        </w:tc>
        <w:tc>
          <w:tcPr>
            <w:tcW w:w="1276"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12.50</w:t>
            </w:r>
          </w:p>
        </w:tc>
        <w:tc>
          <w:tcPr>
            <w:tcW w:w="127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4.07</w:t>
            </w:r>
          </w:p>
        </w:tc>
        <w:tc>
          <w:tcPr>
            <w:tcW w:w="141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875.75</w:t>
            </w:r>
          </w:p>
        </w:tc>
        <w:tc>
          <w:tcPr>
            <w:tcW w:w="1222"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-1.24</w:t>
            </w:r>
          </w:p>
        </w:tc>
        <w:tc>
          <w:tcPr>
            <w:tcW w:w="175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0.58</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-5.93</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2010</w:t>
            </w:r>
          </w:p>
        </w:tc>
        <w:tc>
          <w:tcPr>
            <w:tcW w:w="1276"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13.81</w:t>
            </w:r>
          </w:p>
        </w:tc>
        <w:tc>
          <w:tcPr>
            <w:tcW w:w="127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5.08</w:t>
            </w:r>
          </w:p>
        </w:tc>
        <w:tc>
          <w:tcPr>
            <w:tcW w:w="141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952.27</w:t>
            </w:r>
          </w:p>
        </w:tc>
        <w:tc>
          <w:tcPr>
            <w:tcW w:w="1222"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4.00</w:t>
            </w:r>
          </w:p>
        </w:tc>
        <w:tc>
          <w:tcPr>
            <w:tcW w:w="175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0.77</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-7.10</w:t>
            </w:r>
          </w:p>
        </w:tc>
      </w:tr>
      <w:tr w:rsidR="0098718A" w:rsidRPr="00BF4AA8" w:rsidTr="005F1F5C">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2011</w:t>
            </w:r>
          </w:p>
        </w:tc>
        <w:tc>
          <w:tcPr>
            <w:tcW w:w="1276"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16.03</w:t>
            </w:r>
          </w:p>
        </w:tc>
        <w:tc>
          <w:tcPr>
            <w:tcW w:w="127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7.29</w:t>
            </w:r>
          </w:p>
        </w:tc>
        <w:tc>
          <w:tcPr>
            <w:tcW w:w="141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1088.98</w:t>
            </w:r>
          </w:p>
        </w:tc>
        <w:tc>
          <w:tcPr>
            <w:tcW w:w="1222"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5.48</w:t>
            </w:r>
          </w:p>
        </w:tc>
        <w:tc>
          <w:tcPr>
            <w:tcW w:w="175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0.58</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-6.40</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2012</w:t>
            </w:r>
          </w:p>
        </w:tc>
        <w:tc>
          <w:tcPr>
            <w:tcW w:w="1276"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17.83</w:t>
            </w:r>
          </w:p>
        </w:tc>
        <w:tc>
          <w:tcPr>
            <w:tcW w:w="127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7.65</w:t>
            </w:r>
          </w:p>
        </w:tc>
        <w:tc>
          <w:tcPr>
            <w:tcW w:w="141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1192.80</w:t>
            </w:r>
          </w:p>
        </w:tc>
        <w:tc>
          <w:tcPr>
            <w:tcW w:w="1222"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2.93</w:t>
            </w:r>
          </w:p>
        </w:tc>
        <w:tc>
          <w:tcPr>
            <w:tcW w:w="175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0.50</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-6.80</w:t>
            </w:r>
          </w:p>
        </w:tc>
      </w:tr>
      <w:tr w:rsidR="0098718A" w:rsidRPr="00BF4AA8" w:rsidTr="005F1F5C">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2013</w:t>
            </w:r>
          </w:p>
        </w:tc>
        <w:tc>
          <w:tcPr>
            <w:tcW w:w="1276"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19.81</w:t>
            </w:r>
          </w:p>
        </w:tc>
        <w:tc>
          <w:tcPr>
            <w:tcW w:w="127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7.86</w:t>
            </w:r>
          </w:p>
        </w:tc>
        <w:tc>
          <w:tcPr>
            <w:tcW w:w="141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1305.66</w:t>
            </w:r>
          </w:p>
        </w:tc>
        <w:tc>
          <w:tcPr>
            <w:tcW w:w="1222"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2.94</w:t>
            </w:r>
          </w:p>
        </w:tc>
        <w:tc>
          <w:tcPr>
            <w:tcW w:w="175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0.44</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-6.54</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2014</w:t>
            </w:r>
          </w:p>
        </w:tc>
        <w:tc>
          <w:tcPr>
            <w:tcW w:w="1276"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22.04</w:t>
            </w:r>
          </w:p>
        </w:tc>
        <w:tc>
          <w:tcPr>
            <w:tcW w:w="127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8.00</w:t>
            </w:r>
          </w:p>
        </w:tc>
        <w:tc>
          <w:tcPr>
            <w:tcW w:w="141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1431.56</w:t>
            </w:r>
          </w:p>
        </w:tc>
        <w:tc>
          <w:tcPr>
            <w:tcW w:w="1222"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3.86</w:t>
            </w:r>
          </w:p>
        </w:tc>
        <w:tc>
          <w:tcPr>
            <w:tcW w:w="175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0.69</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-6.55</w:t>
            </w:r>
          </w:p>
        </w:tc>
      </w:tr>
      <w:tr w:rsidR="0098718A" w:rsidRPr="00BF4AA8" w:rsidTr="005F1F5C">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2015</w:t>
            </w:r>
          </w:p>
        </w:tc>
        <w:tc>
          <w:tcPr>
            <w:tcW w:w="1276"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24.17</w:t>
            </w:r>
          </w:p>
        </w:tc>
        <w:tc>
          <w:tcPr>
            <w:tcW w:w="127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7.21</w:t>
            </w:r>
          </w:p>
        </w:tc>
        <w:tc>
          <w:tcPr>
            <w:tcW w:w="141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1547.32</w:t>
            </w:r>
          </w:p>
        </w:tc>
        <w:tc>
          <w:tcPr>
            <w:tcW w:w="1222"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1.22</w:t>
            </w:r>
          </w:p>
        </w:tc>
        <w:tc>
          <w:tcPr>
            <w:tcW w:w="175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0.39</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-6.61</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2016</w:t>
            </w:r>
          </w:p>
        </w:tc>
        <w:tc>
          <w:tcPr>
            <w:tcW w:w="1276"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26.56</w:t>
            </w:r>
          </w:p>
        </w:tc>
        <w:tc>
          <w:tcPr>
            <w:tcW w:w="127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7.91</w:t>
            </w:r>
          </w:p>
        </w:tc>
        <w:tc>
          <w:tcPr>
            <w:tcW w:w="141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1675.20</w:t>
            </w:r>
          </w:p>
        </w:tc>
        <w:tc>
          <w:tcPr>
            <w:tcW w:w="1222"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3.02</w:t>
            </w:r>
          </w:p>
        </w:tc>
        <w:tc>
          <w:tcPr>
            <w:tcW w:w="175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0.72</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-6.53</w:t>
            </w:r>
          </w:p>
        </w:tc>
      </w:tr>
      <w:tr w:rsidR="0098718A" w:rsidRPr="00BF4AA8" w:rsidTr="005F1F5C">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2017</w:t>
            </w:r>
          </w:p>
        </w:tc>
        <w:tc>
          <w:tcPr>
            <w:tcW w:w="1276"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29.36</w:t>
            </w:r>
          </w:p>
        </w:tc>
        <w:tc>
          <w:tcPr>
            <w:tcW w:w="127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8.08</w:t>
            </w:r>
          </w:p>
        </w:tc>
        <w:tc>
          <w:tcPr>
            <w:tcW w:w="141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1826.35</w:t>
            </w:r>
          </w:p>
        </w:tc>
        <w:tc>
          <w:tcPr>
            <w:tcW w:w="1222"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2.91</w:t>
            </w:r>
          </w:p>
        </w:tc>
        <w:tc>
          <w:tcPr>
            <w:tcW w:w="175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0.14</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-6.16</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2018</w:t>
            </w:r>
          </w:p>
        </w:tc>
        <w:tc>
          <w:tcPr>
            <w:tcW w:w="1276"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33.15</w:t>
            </w:r>
          </w:p>
        </w:tc>
        <w:tc>
          <w:tcPr>
            <w:tcW w:w="127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8.78</w:t>
            </w:r>
          </w:p>
        </w:tc>
        <w:tc>
          <w:tcPr>
            <w:tcW w:w="141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2036.67</w:t>
            </w:r>
          </w:p>
        </w:tc>
        <w:tc>
          <w:tcPr>
            <w:tcW w:w="1222"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2.46</w:t>
            </w:r>
          </w:p>
        </w:tc>
        <w:tc>
          <w:tcPr>
            <w:tcW w:w="175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0.13</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-8.74</w:t>
            </w:r>
          </w:p>
        </w:tc>
      </w:tr>
      <w:tr w:rsidR="0098718A" w:rsidRPr="00BF4AA8" w:rsidTr="005F1F5C">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2019</w:t>
            </w:r>
          </w:p>
        </w:tc>
        <w:tc>
          <w:tcPr>
            <w:tcW w:w="1276"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36.69</w:t>
            </w:r>
          </w:p>
        </w:tc>
        <w:tc>
          <w:tcPr>
            <w:tcW w:w="127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7.94</w:t>
            </w:r>
          </w:p>
        </w:tc>
        <w:tc>
          <w:tcPr>
            <w:tcW w:w="141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2225.88</w:t>
            </w:r>
          </w:p>
        </w:tc>
        <w:tc>
          <w:tcPr>
            <w:tcW w:w="1222"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1.94</w:t>
            </w:r>
          </w:p>
        </w:tc>
        <w:tc>
          <w:tcPr>
            <w:tcW w:w="175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0.12</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-8.00</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2020</w:t>
            </w:r>
          </w:p>
        </w:tc>
        <w:tc>
          <w:tcPr>
            <w:tcW w:w="1276"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34.82</w:t>
            </w:r>
          </w:p>
        </w:tc>
        <w:tc>
          <w:tcPr>
            <w:tcW w:w="127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-3.56</w:t>
            </w:r>
          </w:p>
        </w:tc>
        <w:tc>
          <w:tcPr>
            <w:tcW w:w="141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2081.74</w:t>
            </w:r>
          </w:p>
        </w:tc>
        <w:tc>
          <w:tcPr>
            <w:tcW w:w="1222"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2.94</w:t>
            </w:r>
          </w:p>
        </w:tc>
        <w:tc>
          <w:tcPr>
            <w:tcW w:w="175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0.17</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-1.00</w:t>
            </w:r>
          </w:p>
        </w:tc>
      </w:tr>
      <w:tr w:rsidR="0098718A" w:rsidRPr="00BF4AA8" w:rsidTr="005F1F5C">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2021</w:t>
            </w:r>
          </w:p>
        </w:tc>
        <w:tc>
          <w:tcPr>
            <w:tcW w:w="1276"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36.79</w:t>
            </w:r>
          </w:p>
        </w:tc>
        <w:tc>
          <w:tcPr>
            <w:tcW w:w="127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3.09</w:t>
            </w:r>
          </w:p>
        </w:tc>
        <w:tc>
          <w:tcPr>
            <w:tcW w:w="141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2167.40</w:t>
            </w:r>
          </w:p>
        </w:tc>
        <w:tc>
          <w:tcPr>
            <w:tcW w:w="1222"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2.92</w:t>
            </w:r>
          </w:p>
        </w:tc>
        <w:tc>
          <w:tcPr>
            <w:tcW w:w="175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0.40</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-29.61</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2022</w:t>
            </w:r>
          </w:p>
        </w:tc>
        <w:tc>
          <w:tcPr>
            <w:tcW w:w="1276"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39.99</w:t>
            </w:r>
          </w:p>
        </w:tc>
        <w:tc>
          <w:tcPr>
            <w:tcW w:w="127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5.13</w:t>
            </w:r>
          </w:p>
        </w:tc>
        <w:tc>
          <w:tcPr>
            <w:tcW w:w="141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2325.03</w:t>
            </w:r>
          </w:p>
        </w:tc>
        <w:tc>
          <w:tcPr>
            <w:tcW w:w="1222"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5.34</w:t>
            </w:r>
          </w:p>
        </w:tc>
        <w:tc>
          <w:tcPr>
            <w:tcW w:w="175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0.23</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-18.96</w:t>
            </w:r>
          </w:p>
        </w:tc>
      </w:tr>
      <w:tr w:rsidR="0098718A" w:rsidRPr="00BF4AA8" w:rsidTr="005F1F5C">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2023</w:t>
            </w:r>
          </w:p>
        </w:tc>
        <w:tc>
          <w:tcPr>
            <w:tcW w:w="1276"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42.34</w:t>
            </w:r>
          </w:p>
        </w:tc>
        <w:tc>
          <w:tcPr>
            <w:tcW w:w="127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5.01</w:t>
            </w:r>
          </w:p>
        </w:tc>
        <w:tc>
          <w:tcPr>
            <w:tcW w:w="141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2429.75</w:t>
            </w:r>
          </w:p>
        </w:tc>
        <w:tc>
          <w:tcPr>
            <w:tcW w:w="1222"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2.13</w:t>
            </w:r>
          </w:p>
        </w:tc>
        <w:tc>
          <w:tcPr>
            <w:tcW w:w="175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0.23</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1.30</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2024</w:t>
            </w:r>
          </w:p>
        </w:tc>
        <w:tc>
          <w:tcPr>
            <w:tcW w:w="1276"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46.35</w:t>
            </w:r>
          </w:p>
        </w:tc>
        <w:tc>
          <w:tcPr>
            <w:tcW w:w="127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6.02</w:t>
            </w:r>
          </w:p>
        </w:tc>
        <w:tc>
          <w:tcPr>
            <w:tcW w:w="141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2627.88</w:t>
            </w:r>
          </w:p>
        </w:tc>
        <w:tc>
          <w:tcPr>
            <w:tcW w:w="1222"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b/>
                <w:bCs/>
                <w:color w:val="0070C0"/>
                <w:sz w:val="22"/>
                <w:szCs w:val="22"/>
              </w:rPr>
            </w:pPr>
            <w:r w:rsidRPr="00BF4AA8">
              <w:rPr>
                <w:rFonts w:ascii="Arial" w:hAnsi="Arial" w:cs="Arial"/>
                <w:color w:val="000000" w:themeColor="text1"/>
                <w:sz w:val="22"/>
                <w:szCs w:val="22"/>
              </w:rPr>
              <w:t>…</w:t>
            </w:r>
          </w:p>
        </w:tc>
        <w:tc>
          <w:tcPr>
            <w:tcW w:w="1755"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0.27</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0.48</w:t>
            </w:r>
          </w:p>
        </w:tc>
      </w:tr>
      <w:tr w:rsidR="0098718A" w:rsidRPr="00BF4AA8" w:rsidTr="005F1F5C">
        <w:trPr>
          <w:trHeight w:val="352"/>
        </w:trPr>
        <w:tc>
          <w:tcPr>
            <w:cnfStyle w:val="001000000000" w:firstRow="0" w:lastRow="0" w:firstColumn="1" w:lastColumn="0" w:oddVBand="0" w:evenVBand="0" w:oddHBand="0" w:evenHBand="0" w:firstRowFirstColumn="0" w:firstRowLastColumn="0" w:lastRowFirstColumn="0" w:lastRowLastColumn="0"/>
            <w:tcW w:w="846" w:type="dxa"/>
            <w:vAlign w:val="center"/>
            <w:hideMark/>
          </w:tcPr>
          <w:p w:rsidR="0098718A" w:rsidRPr="00BF4AA8" w:rsidRDefault="0098718A" w:rsidP="005F1F5C">
            <w:pPr>
              <w:jc w:val="center"/>
              <w:rPr>
                <w:rFonts w:ascii="Arial" w:hAnsi="Arial" w:cs="Arial"/>
                <w:b w:val="0"/>
                <w:bCs w:val="0"/>
                <w:sz w:val="22"/>
                <w:szCs w:val="22"/>
              </w:rPr>
            </w:pPr>
            <w:r w:rsidRPr="00BF4AA8">
              <w:rPr>
                <w:rFonts w:ascii="Arial" w:hAnsi="Arial" w:cs="Arial"/>
                <w:b w:val="0"/>
                <w:bCs w:val="0"/>
                <w:sz w:val="22"/>
                <w:szCs w:val="22"/>
              </w:rPr>
              <w:t>2025</w:t>
            </w:r>
          </w:p>
        </w:tc>
        <w:tc>
          <w:tcPr>
            <w:tcW w:w="1276"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70C0"/>
                <w:sz w:val="22"/>
                <w:szCs w:val="22"/>
              </w:rPr>
            </w:pPr>
            <w:r w:rsidRPr="00BF4AA8">
              <w:rPr>
                <w:rFonts w:ascii="Arial" w:hAnsi="Arial" w:cs="Arial"/>
                <w:color w:val="000000" w:themeColor="text1"/>
                <w:sz w:val="22"/>
                <w:szCs w:val="22"/>
              </w:rPr>
              <w:t>…</w:t>
            </w:r>
          </w:p>
        </w:tc>
        <w:tc>
          <w:tcPr>
            <w:tcW w:w="127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2"/>
                <w:szCs w:val="22"/>
              </w:rPr>
            </w:pPr>
            <w:r w:rsidRPr="00BF4AA8">
              <w:rPr>
                <w:rFonts w:ascii="Arial" w:hAnsi="Arial" w:cs="Arial"/>
                <w:color w:val="000000"/>
                <w:sz w:val="22"/>
                <w:szCs w:val="22"/>
              </w:rPr>
              <w:t>4.00</w:t>
            </w:r>
          </w:p>
        </w:tc>
        <w:tc>
          <w:tcPr>
            <w:tcW w:w="141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color w:val="000000" w:themeColor="text1"/>
                <w:sz w:val="22"/>
                <w:szCs w:val="22"/>
              </w:rPr>
              <w:t>…</w:t>
            </w:r>
          </w:p>
        </w:tc>
        <w:tc>
          <w:tcPr>
            <w:tcW w:w="1222"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color w:val="000000" w:themeColor="text1"/>
                <w:sz w:val="22"/>
                <w:szCs w:val="22"/>
              </w:rPr>
              <w:t>…</w:t>
            </w:r>
          </w:p>
        </w:tc>
        <w:tc>
          <w:tcPr>
            <w:tcW w:w="1755"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color w:val="000000" w:themeColor="text1"/>
                <w:sz w:val="22"/>
                <w:szCs w:val="22"/>
              </w:rPr>
              <w:t>…</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color w:val="000000" w:themeColor="text1"/>
                <w:sz w:val="22"/>
                <w:szCs w:val="22"/>
              </w:rPr>
              <w:t>…</w:t>
            </w:r>
          </w:p>
        </w:tc>
      </w:tr>
    </w:tbl>
    <w:p w:rsidR="0098718A" w:rsidRPr="00BF4AA8" w:rsidRDefault="0098718A" w:rsidP="0098718A">
      <w:pPr>
        <w:pStyle w:val="NormalWeb"/>
        <w:adjustRightInd w:val="0"/>
        <w:snapToGrid w:val="0"/>
        <w:spacing w:before="0" w:beforeAutospacing="0" w:after="0" w:afterAutospacing="0"/>
        <w:rPr>
          <w:rFonts w:ascii="Arial" w:hAnsi="Arial" w:cs="Arial"/>
          <w:sz w:val="22"/>
          <w:szCs w:val="22"/>
        </w:rPr>
      </w:pPr>
      <w:r w:rsidRPr="00BF4AA8">
        <w:rPr>
          <w:rFonts w:ascii="Arial" w:hAnsi="Arial" w:cs="Arial"/>
          <w:b/>
          <w:bCs/>
          <w:sz w:val="22"/>
          <w:szCs w:val="22"/>
        </w:rPr>
        <w:t>Sources:</w:t>
      </w:r>
      <w:r w:rsidRPr="00BF4AA8">
        <w:rPr>
          <w:rFonts w:ascii="Arial" w:hAnsi="Arial" w:cs="Arial"/>
          <w:sz w:val="22"/>
          <w:szCs w:val="22"/>
        </w:rPr>
        <w:t xml:space="preserve"> World Bank Group, Cambodia Data (WDI). Accessed 2025. </w:t>
      </w:r>
    </w:p>
    <w:p w:rsidR="0098718A" w:rsidRPr="00BF4AA8" w:rsidRDefault="0098718A" w:rsidP="0098718A">
      <w:pPr>
        <w:pStyle w:val="NormalWeb"/>
        <w:adjustRightInd w:val="0"/>
        <w:snapToGrid w:val="0"/>
        <w:spacing w:before="0" w:beforeAutospacing="0" w:after="0" w:afterAutospacing="0"/>
        <w:rPr>
          <w:rFonts w:ascii="Arial" w:hAnsi="Arial" w:cs="Arial"/>
          <w:sz w:val="22"/>
          <w:szCs w:val="22"/>
        </w:rPr>
      </w:pPr>
    </w:p>
    <w:p w:rsidR="0098718A" w:rsidRPr="00BF4AA8" w:rsidRDefault="0098718A" w:rsidP="0098718A">
      <w:pPr>
        <w:pStyle w:val="Caption"/>
        <w:rPr>
          <w:rFonts w:ascii="Arial" w:hAnsi="Arial" w:cs="Arial"/>
          <w:color w:val="002060"/>
          <w:sz w:val="22"/>
          <w:szCs w:val="22"/>
        </w:rPr>
      </w:pPr>
      <w:bookmarkStart w:id="44" w:name="_Ref214893454"/>
      <w:r w:rsidRPr="00BF4AA8">
        <w:rPr>
          <w:rFonts w:ascii="Arial" w:hAnsi="Arial" w:cs="Arial"/>
          <w:color w:val="002060"/>
          <w:sz w:val="22"/>
          <w:szCs w:val="22"/>
        </w:rPr>
        <w:t>Annex Table 6-</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Annex_Table_6-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3</w:t>
      </w:r>
      <w:r w:rsidRPr="00BF4AA8">
        <w:rPr>
          <w:rFonts w:ascii="Arial" w:hAnsi="Arial" w:cs="Arial"/>
          <w:color w:val="002060"/>
          <w:sz w:val="22"/>
          <w:szCs w:val="22"/>
        </w:rPr>
        <w:fldChar w:fldCharType="end"/>
      </w:r>
      <w:bookmarkEnd w:id="44"/>
      <w:r w:rsidRPr="00BF4AA8">
        <w:rPr>
          <w:rFonts w:ascii="Arial" w:hAnsi="Arial" w:cs="Arial"/>
          <w:color w:val="002060"/>
          <w:sz w:val="22"/>
          <w:szCs w:val="22"/>
        </w:rPr>
        <w:t xml:space="preserve"> PPP Projects (Solicited &amp; Unsolicited Projects)</w:t>
      </w:r>
    </w:p>
    <w:tbl>
      <w:tblPr>
        <w:tblStyle w:val="GridTable4-Accent5"/>
        <w:tblW w:w="9090" w:type="dxa"/>
        <w:tblLayout w:type="fixed"/>
        <w:tblLook w:val="04A0" w:firstRow="1" w:lastRow="0" w:firstColumn="1" w:lastColumn="0" w:noHBand="0" w:noVBand="1"/>
      </w:tblPr>
      <w:tblGrid>
        <w:gridCol w:w="2689"/>
        <w:gridCol w:w="1559"/>
        <w:gridCol w:w="1417"/>
        <w:gridCol w:w="1714"/>
        <w:gridCol w:w="883"/>
        <w:gridCol w:w="828"/>
      </w:tblGrid>
      <w:tr w:rsidR="0098718A" w:rsidRPr="00BF4AA8" w:rsidTr="005F1F5C">
        <w:trPr>
          <w:cnfStyle w:val="100000000000" w:firstRow="1" w:lastRow="0" w:firstColumn="0" w:lastColumn="0" w:oddVBand="0" w:evenVBand="0" w:oddHBand="0"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98718A" w:rsidRPr="00BF4AA8" w:rsidRDefault="0098718A" w:rsidP="005F1F5C">
            <w:pPr>
              <w:jc w:val="center"/>
              <w:rPr>
                <w:rFonts w:ascii="Arial" w:hAnsi="Arial" w:cs="Arial"/>
                <w:sz w:val="22"/>
                <w:szCs w:val="22"/>
              </w:rPr>
            </w:pPr>
            <w:r w:rsidRPr="00BF4AA8">
              <w:rPr>
                <w:rFonts w:ascii="Arial" w:hAnsi="Arial" w:cs="Arial"/>
                <w:sz w:val="22"/>
                <w:szCs w:val="22"/>
              </w:rPr>
              <w:t>Project title</w:t>
            </w:r>
          </w:p>
        </w:tc>
        <w:tc>
          <w:tcPr>
            <w:tcW w:w="1559" w:type="dxa"/>
            <w:vAlign w:val="center"/>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Sector</w:t>
            </w:r>
          </w:p>
        </w:tc>
        <w:tc>
          <w:tcPr>
            <w:tcW w:w="1417" w:type="dxa"/>
            <w:vAlign w:val="center"/>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Implement agency</w:t>
            </w:r>
          </w:p>
        </w:tc>
        <w:tc>
          <w:tcPr>
            <w:tcW w:w="1714" w:type="dxa"/>
            <w:vAlign w:val="center"/>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Location</w:t>
            </w:r>
          </w:p>
        </w:tc>
        <w:tc>
          <w:tcPr>
            <w:tcW w:w="883" w:type="dxa"/>
            <w:vAlign w:val="center"/>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Cost (USD)</w:t>
            </w:r>
          </w:p>
        </w:tc>
        <w:tc>
          <w:tcPr>
            <w:tcW w:w="828" w:type="dxa"/>
            <w:vAlign w:val="center"/>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Status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9090" w:type="dxa"/>
            <w:gridSpan w:val="6"/>
            <w:shd w:val="clear" w:color="auto" w:fill="FBE4D5" w:themeFill="accent2" w:themeFillTint="33"/>
            <w:vAlign w:val="center"/>
          </w:tcPr>
          <w:p w:rsidR="0098718A" w:rsidRPr="00BF4AA8" w:rsidRDefault="0098718A" w:rsidP="005F1F5C">
            <w:pPr>
              <w:rPr>
                <w:rFonts w:ascii="Arial" w:hAnsi="Arial" w:cs="Arial"/>
                <w:b w:val="0"/>
                <w:bCs w:val="0"/>
                <w:color w:val="0070C0"/>
                <w:sz w:val="22"/>
                <w:szCs w:val="22"/>
              </w:rPr>
            </w:pPr>
            <w:r w:rsidRPr="00BF4AA8">
              <w:rPr>
                <w:rFonts w:ascii="Arial" w:hAnsi="Arial" w:cs="Arial"/>
                <w:color w:val="0070C0"/>
                <w:sz w:val="22"/>
                <w:szCs w:val="22"/>
              </w:rPr>
              <w:t>A) Solicited Projects</w:t>
            </w:r>
          </w:p>
        </w:tc>
      </w:tr>
      <w:tr w:rsidR="0098718A" w:rsidRPr="00BF4AA8" w:rsidTr="005F1F5C">
        <w:trPr>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 xml:space="preserve">Agro-Industrial Park (AIP) in </w:t>
            </w:r>
            <w:proofErr w:type="spellStart"/>
            <w:r w:rsidRPr="00BF4AA8">
              <w:rPr>
                <w:rFonts w:ascii="Arial" w:hAnsi="Arial" w:cs="Arial"/>
                <w:sz w:val="22"/>
                <w:szCs w:val="22"/>
              </w:rPr>
              <w:t>Kratie</w:t>
            </w:r>
            <w:proofErr w:type="spellEnd"/>
            <w:r w:rsidRPr="00BF4AA8">
              <w:rPr>
                <w:rFonts w:ascii="Arial" w:hAnsi="Arial" w:cs="Arial"/>
                <w:sz w:val="22"/>
                <w:szCs w:val="22"/>
              </w:rPr>
              <w:t xml:space="preserve"> Province</w:t>
            </w:r>
          </w:p>
        </w:tc>
        <w:tc>
          <w:tcPr>
            <w:tcW w:w="1559"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Agro-Industrial Park</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MEF</w:t>
            </w:r>
          </w:p>
        </w:tc>
        <w:tc>
          <w:tcPr>
            <w:tcW w:w="1714"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Kratié</w:t>
            </w:r>
            <w:proofErr w:type="spellEnd"/>
          </w:p>
        </w:tc>
        <w:tc>
          <w:tcPr>
            <w:tcW w:w="883"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170 million</w:t>
            </w:r>
          </w:p>
        </w:tc>
        <w:tc>
          <w:tcPr>
            <w:tcW w:w="82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Phase II</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 xml:space="preserve">Establishment of New </w:t>
            </w:r>
            <w:proofErr w:type="spellStart"/>
            <w:r w:rsidRPr="00BF4AA8">
              <w:rPr>
                <w:rFonts w:ascii="Arial" w:hAnsi="Arial" w:cs="Arial"/>
                <w:sz w:val="22"/>
                <w:szCs w:val="22"/>
              </w:rPr>
              <w:t>Ratanakiri</w:t>
            </w:r>
            <w:proofErr w:type="spellEnd"/>
            <w:r w:rsidRPr="00BF4AA8">
              <w:rPr>
                <w:rFonts w:ascii="Arial" w:hAnsi="Arial" w:cs="Arial"/>
                <w:sz w:val="22"/>
                <w:szCs w:val="22"/>
              </w:rPr>
              <w:t xml:space="preserve"> Airport</w:t>
            </w:r>
          </w:p>
        </w:tc>
        <w:tc>
          <w:tcPr>
            <w:tcW w:w="1559"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Aviation</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State Secretariat of Civil Aviation</w:t>
            </w:r>
          </w:p>
        </w:tc>
        <w:tc>
          <w:tcPr>
            <w:tcW w:w="1714"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Ratanakiri</w:t>
            </w:r>
            <w:proofErr w:type="spellEnd"/>
          </w:p>
        </w:tc>
        <w:tc>
          <w:tcPr>
            <w:tcW w:w="883"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96 million</w:t>
            </w:r>
          </w:p>
        </w:tc>
        <w:tc>
          <w:tcPr>
            <w:tcW w:w="82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Phase I</w:t>
            </w:r>
          </w:p>
        </w:tc>
      </w:tr>
      <w:tr w:rsidR="0098718A" w:rsidRPr="00BF4AA8" w:rsidTr="005F1F5C">
        <w:trPr>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Establishment of Wholesale Market in Cambodia</w:t>
            </w:r>
          </w:p>
        </w:tc>
        <w:tc>
          <w:tcPr>
            <w:tcW w:w="1559"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Trade</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Ministry of Commerce</w:t>
            </w:r>
          </w:p>
        </w:tc>
        <w:tc>
          <w:tcPr>
            <w:tcW w:w="1714"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Cambodia</w:t>
            </w:r>
          </w:p>
        </w:tc>
        <w:tc>
          <w:tcPr>
            <w:tcW w:w="883"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c>
          <w:tcPr>
            <w:tcW w:w="82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Phase I</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 xml:space="preserve">Mekong River Waterway Improvement Project from Kampong Cham to </w:t>
            </w:r>
            <w:proofErr w:type="spellStart"/>
            <w:r w:rsidRPr="00BF4AA8">
              <w:rPr>
                <w:rFonts w:ascii="Arial" w:hAnsi="Arial" w:cs="Arial"/>
                <w:sz w:val="22"/>
                <w:szCs w:val="22"/>
              </w:rPr>
              <w:t>Kratie</w:t>
            </w:r>
            <w:proofErr w:type="spellEnd"/>
          </w:p>
        </w:tc>
        <w:tc>
          <w:tcPr>
            <w:tcW w:w="1559"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Transportation</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MPWT</w:t>
            </w:r>
          </w:p>
        </w:tc>
        <w:tc>
          <w:tcPr>
            <w:tcW w:w="1714"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Kratié</w:t>
            </w:r>
            <w:proofErr w:type="spellEnd"/>
          </w:p>
        </w:tc>
        <w:tc>
          <w:tcPr>
            <w:tcW w:w="883"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c>
          <w:tcPr>
            <w:tcW w:w="82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Phase I</w:t>
            </w:r>
          </w:p>
        </w:tc>
      </w:tr>
      <w:tr w:rsidR="0098718A" w:rsidRPr="00BF4AA8" w:rsidTr="005F1F5C">
        <w:trPr>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 xml:space="preserve">Developing a </w:t>
            </w:r>
            <w:proofErr w:type="spellStart"/>
            <w:r w:rsidRPr="00BF4AA8">
              <w:rPr>
                <w:rFonts w:ascii="Arial" w:hAnsi="Arial" w:cs="Arial"/>
                <w:sz w:val="22"/>
                <w:szCs w:val="22"/>
              </w:rPr>
              <w:t>Chhlong</w:t>
            </w:r>
            <w:proofErr w:type="spellEnd"/>
            <w:r w:rsidRPr="00BF4AA8">
              <w:rPr>
                <w:rFonts w:ascii="Arial" w:hAnsi="Arial" w:cs="Arial"/>
                <w:sz w:val="22"/>
                <w:szCs w:val="22"/>
              </w:rPr>
              <w:t xml:space="preserve"> Tourism Port</w:t>
            </w:r>
          </w:p>
        </w:tc>
        <w:tc>
          <w:tcPr>
            <w:tcW w:w="1559"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Tourism</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MPWT</w:t>
            </w:r>
          </w:p>
        </w:tc>
        <w:tc>
          <w:tcPr>
            <w:tcW w:w="1714"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Kratié</w:t>
            </w:r>
            <w:proofErr w:type="spellEnd"/>
          </w:p>
        </w:tc>
        <w:tc>
          <w:tcPr>
            <w:tcW w:w="883"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c>
          <w:tcPr>
            <w:tcW w:w="82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Phase I</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Developing a Multi-Purpose Port</w:t>
            </w:r>
          </w:p>
        </w:tc>
        <w:tc>
          <w:tcPr>
            <w:tcW w:w="1559"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Transportation</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Phnom Penh Autonomous Port</w:t>
            </w:r>
          </w:p>
        </w:tc>
        <w:tc>
          <w:tcPr>
            <w:tcW w:w="1714"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Kratié</w:t>
            </w:r>
            <w:proofErr w:type="spellEnd"/>
          </w:p>
        </w:tc>
        <w:tc>
          <w:tcPr>
            <w:tcW w:w="883"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c>
          <w:tcPr>
            <w:tcW w:w="82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Phase I</w:t>
            </w:r>
          </w:p>
        </w:tc>
      </w:tr>
      <w:tr w:rsidR="0098718A" w:rsidRPr="00BF4AA8" w:rsidTr="005F1F5C">
        <w:trPr>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Green Special Economic Zone</w:t>
            </w:r>
          </w:p>
        </w:tc>
        <w:tc>
          <w:tcPr>
            <w:tcW w:w="1559"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Special Economic Zone</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MEF</w:t>
            </w:r>
          </w:p>
        </w:tc>
        <w:tc>
          <w:tcPr>
            <w:tcW w:w="1714"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Cambodia</w:t>
            </w:r>
          </w:p>
        </w:tc>
        <w:tc>
          <w:tcPr>
            <w:tcW w:w="883"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400 million</w:t>
            </w:r>
          </w:p>
        </w:tc>
        <w:tc>
          <w:tcPr>
            <w:tcW w:w="82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Phase II</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Sihanoukville Smart Parking</w:t>
            </w:r>
          </w:p>
        </w:tc>
        <w:tc>
          <w:tcPr>
            <w:tcW w:w="1559"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Transpotation</w:t>
            </w:r>
            <w:proofErr w:type="spellEnd"/>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Preah Sihanouk Administration</w:t>
            </w:r>
          </w:p>
        </w:tc>
        <w:tc>
          <w:tcPr>
            <w:tcW w:w="1714"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Preah Sihanouk</w:t>
            </w:r>
          </w:p>
        </w:tc>
        <w:tc>
          <w:tcPr>
            <w:tcW w:w="883"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11.8 million</w:t>
            </w:r>
          </w:p>
        </w:tc>
        <w:tc>
          <w:tcPr>
            <w:tcW w:w="82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Phase III</w:t>
            </w:r>
          </w:p>
        </w:tc>
      </w:tr>
      <w:tr w:rsidR="0098718A" w:rsidRPr="00BF4AA8" w:rsidTr="005F1F5C">
        <w:trPr>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98718A" w:rsidRPr="00BF4AA8" w:rsidRDefault="0098718A" w:rsidP="005F1F5C">
            <w:pPr>
              <w:rPr>
                <w:rFonts w:ascii="Arial" w:hAnsi="Arial" w:cs="Arial"/>
                <w:sz w:val="22"/>
                <w:szCs w:val="22"/>
              </w:rPr>
            </w:pPr>
            <w:proofErr w:type="spellStart"/>
            <w:r w:rsidRPr="00BF4AA8">
              <w:rPr>
                <w:rFonts w:ascii="Arial" w:hAnsi="Arial" w:cs="Arial"/>
                <w:sz w:val="22"/>
                <w:szCs w:val="22"/>
              </w:rPr>
              <w:t>Kampot</w:t>
            </w:r>
            <w:proofErr w:type="spellEnd"/>
            <w:r w:rsidRPr="00BF4AA8">
              <w:rPr>
                <w:rFonts w:ascii="Arial" w:hAnsi="Arial" w:cs="Arial"/>
                <w:sz w:val="22"/>
                <w:szCs w:val="22"/>
              </w:rPr>
              <w:t xml:space="preserve"> International Tourism Port</w:t>
            </w:r>
          </w:p>
        </w:tc>
        <w:tc>
          <w:tcPr>
            <w:tcW w:w="1559"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Tourism</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MPWT</w:t>
            </w:r>
          </w:p>
        </w:tc>
        <w:tc>
          <w:tcPr>
            <w:tcW w:w="1714"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Kampot</w:t>
            </w:r>
            <w:proofErr w:type="spellEnd"/>
          </w:p>
        </w:tc>
        <w:tc>
          <w:tcPr>
            <w:tcW w:w="883"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9.27 million</w:t>
            </w:r>
          </w:p>
        </w:tc>
        <w:tc>
          <w:tcPr>
            <w:tcW w:w="82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Phase V</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 xml:space="preserve">Electric Buses in </w:t>
            </w:r>
            <w:proofErr w:type="spellStart"/>
            <w:r w:rsidRPr="00BF4AA8">
              <w:rPr>
                <w:rFonts w:ascii="Arial" w:hAnsi="Arial" w:cs="Arial"/>
                <w:sz w:val="22"/>
                <w:szCs w:val="22"/>
              </w:rPr>
              <w:t>Siem</w:t>
            </w:r>
            <w:proofErr w:type="spellEnd"/>
            <w:r w:rsidRPr="00BF4AA8">
              <w:rPr>
                <w:rFonts w:ascii="Arial" w:hAnsi="Arial" w:cs="Arial"/>
                <w:sz w:val="22"/>
                <w:szCs w:val="22"/>
              </w:rPr>
              <w:t xml:space="preserve"> Reap City</w:t>
            </w:r>
          </w:p>
        </w:tc>
        <w:tc>
          <w:tcPr>
            <w:tcW w:w="1559"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Transportation</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MPWT</w:t>
            </w:r>
          </w:p>
        </w:tc>
        <w:tc>
          <w:tcPr>
            <w:tcW w:w="1714"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Siem</w:t>
            </w:r>
            <w:proofErr w:type="spellEnd"/>
            <w:r w:rsidRPr="00BF4AA8">
              <w:rPr>
                <w:rFonts w:ascii="Arial" w:hAnsi="Arial" w:cs="Arial"/>
                <w:sz w:val="22"/>
                <w:szCs w:val="22"/>
              </w:rPr>
              <w:t xml:space="preserve"> Reap</w:t>
            </w:r>
          </w:p>
        </w:tc>
        <w:tc>
          <w:tcPr>
            <w:tcW w:w="883"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26.8 million</w:t>
            </w:r>
          </w:p>
        </w:tc>
        <w:tc>
          <w:tcPr>
            <w:tcW w:w="82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Phase II</w:t>
            </w:r>
          </w:p>
        </w:tc>
      </w:tr>
      <w:tr w:rsidR="0098718A" w:rsidRPr="00BF4AA8" w:rsidTr="005F1F5C">
        <w:trPr>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 xml:space="preserve">Prey </w:t>
            </w:r>
            <w:proofErr w:type="spellStart"/>
            <w:r w:rsidRPr="00BF4AA8">
              <w:rPr>
                <w:rFonts w:ascii="Arial" w:hAnsi="Arial" w:cs="Arial"/>
                <w:sz w:val="22"/>
                <w:szCs w:val="22"/>
              </w:rPr>
              <w:t>Kabas</w:t>
            </w:r>
            <w:proofErr w:type="spellEnd"/>
            <w:r w:rsidRPr="00BF4AA8">
              <w:rPr>
                <w:rFonts w:ascii="Arial" w:hAnsi="Arial" w:cs="Arial"/>
                <w:sz w:val="22"/>
                <w:szCs w:val="22"/>
              </w:rPr>
              <w:t xml:space="preserve"> Irrigation Systems</w:t>
            </w:r>
          </w:p>
        </w:tc>
        <w:tc>
          <w:tcPr>
            <w:tcW w:w="1559"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Irrigation System</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Ministry of Water Resources and Meteorology</w:t>
            </w:r>
          </w:p>
        </w:tc>
        <w:tc>
          <w:tcPr>
            <w:tcW w:w="1714"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Kandal, Takeo</w:t>
            </w:r>
          </w:p>
        </w:tc>
        <w:tc>
          <w:tcPr>
            <w:tcW w:w="883"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11.4 million</w:t>
            </w:r>
          </w:p>
        </w:tc>
        <w:tc>
          <w:tcPr>
            <w:tcW w:w="82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Phase II</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Sihanoukville Logistics Complex</w:t>
            </w:r>
          </w:p>
        </w:tc>
        <w:tc>
          <w:tcPr>
            <w:tcW w:w="1559"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gramStart"/>
            <w:r w:rsidRPr="00BF4AA8">
              <w:rPr>
                <w:rFonts w:ascii="Arial" w:hAnsi="Arial" w:cs="Arial"/>
                <w:sz w:val="22"/>
                <w:szCs w:val="22"/>
              </w:rPr>
              <w:t>Logistics</w:t>
            </w:r>
            <w:proofErr w:type="gramEnd"/>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MPWT</w:t>
            </w:r>
          </w:p>
        </w:tc>
        <w:tc>
          <w:tcPr>
            <w:tcW w:w="1714"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Preah Sihanouk</w:t>
            </w:r>
          </w:p>
        </w:tc>
        <w:tc>
          <w:tcPr>
            <w:tcW w:w="883"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264 million</w:t>
            </w:r>
          </w:p>
        </w:tc>
        <w:tc>
          <w:tcPr>
            <w:tcW w:w="82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Phase II</w:t>
            </w:r>
          </w:p>
        </w:tc>
      </w:tr>
      <w:tr w:rsidR="0098718A" w:rsidRPr="00BF4AA8" w:rsidTr="005F1F5C">
        <w:trPr>
          <w:trHeight w:val="301"/>
        </w:trPr>
        <w:tc>
          <w:tcPr>
            <w:cnfStyle w:val="001000000000" w:firstRow="0" w:lastRow="0" w:firstColumn="1" w:lastColumn="0" w:oddVBand="0" w:evenVBand="0" w:oddHBand="0" w:evenHBand="0" w:firstRowFirstColumn="0" w:firstRowLastColumn="0" w:lastRowFirstColumn="0" w:lastRowLastColumn="0"/>
            <w:tcW w:w="9090" w:type="dxa"/>
            <w:gridSpan w:val="6"/>
            <w:shd w:val="clear" w:color="auto" w:fill="FBE4D5" w:themeFill="accent2" w:themeFillTint="33"/>
            <w:vAlign w:val="center"/>
          </w:tcPr>
          <w:p w:rsidR="0098718A" w:rsidRPr="00BF4AA8" w:rsidRDefault="0098718A" w:rsidP="005F1F5C">
            <w:pPr>
              <w:rPr>
                <w:rFonts w:ascii="Arial" w:hAnsi="Arial" w:cs="Arial"/>
                <w:color w:val="0070C0"/>
                <w:sz w:val="22"/>
                <w:szCs w:val="22"/>
              </w:rPr>
            </w:pPr>
            <w:r w:rsidRPr="00BF4AA8">
              <w:rPr>
                <w:rFonts w:ascii="Arial" w:hAnsi="Arial" w:cs="Arial"/>
                <w:color w:val="0070C0"/>
                <w:sz w:val="22"/>
                <w:szCs w:val="22"/>
              </w:rPr>
              <w:t>B) Unsolicited Project</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 xml:space="preserve">Funan </w:t>
            </w:r>
            <w:proofErr w:type="spellStart"/>
            <w:r w:rsidRPr="00BF4AA8">
              <w:rPr>
                <w:rFonts w:ascii="Arial" w:hAnsi="Arial" w:cs="Arial"/>
                <w:sz w:val="22"/>
                <w:szCs w:val="22"/>
              </w:rPr>
              <w:t>Techo</w:t>
            </w:r>
            <w:proofErr w:type="spellEnd"/>
            <w:r w:rsidRPr="00BF4AA8">
              <w:rPr>
                <w:rFonts w:ascii="Arial" w:hAnsi="Arial" w:cs="Arial"/>
                <w:sz w:val="22"/>
                <w:szCs w:val="22"/>
              </w:rPr>
              <w:t xml:space="preserve"> Canal</w:t>
            </w:r>
          </w:p>
        </w:tc>
        <w:tc>
          <w:tcPr>
            <w:tcW w:w="1559"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Transportation</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MPWT</w:t>
            </w:r>
          </w:p>
        </w:tc>
        <w:tc>
          <w:tcPr>
            <w:tcW w:w="1714"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Kandal, Takeo,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w:t>
            </w:r>
            <w:proofErr w:type="spellStart"/>
            <w:r w:rsidRPr="00BF4AA8">
              <w:rPr>
                <w:rFonts w:ascii="Arial" w:hAnsi="Arial" w:cs="Arial"/>
                <w:sz w:val="22"/>
                <w:szCs w:val="22"/>
              </w:rPr>
              <w:t>Kep</w:t>
            </w:r>
            <w:proofErr w:type="spellEnd"/>
          </w:p>
        </w:tc>
        <w:tc>
          <w:tcPr>
            <w:tcW w:w="883"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1,156 million</w:t>
            </w:r>
          </w:p>
        </w:tc>
        <w:tc>
          <w:tcPr>
            <w:tcW w:w="82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Phase V</w:t>
            </w:r>
          </w:p>
        </w:tc>
      </w:tr>
      <w:tr w:rsidR="0098718A" w:rsidRPr="00BF4AA8" w:rsidTr="005F1F5C">
        <w:trPr>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Phnom Penh-</w:t>
            </w:r>
            <w:proofErr w:type="spellStart"/>
            <w:r w:rsidRPr="00BF4AA8">
              <w:rPr>
                <w:rFonts w:ascii="Arial" w:hAnsi="Arial" w:cs="Arial"/>
                <w:sz w:val="22"/>
                <w:szCs w:val="22"/>
              </w:rPr>
              <w:t>Siem</w:t>
            </w:r>
            <w:proofErr w:type="spellEnd"/>
            <w:r w:rsidRPr="00BF4AA8">
              <w:rPr>
                <w:rFonts w:ascii="Arial" w:hAnsi="Arial" w:cs="Arial"/>
                <w:sz w:val="22"/>
                <w:szCs w:val="22"/>
              </w:rPr>
              <w:t xml:space="preserve"> Reap-Poi Pet Expressway</w:t>
            </w:r>
          </w:p>
        </w:tc>
        <w:tc>
          <w:tcPr>
            <w:tcW w:w="1559"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Transportation</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MPWT</w:t>
            </w:r>
          </w:p>
        </w:tc>
        <w:tc>
          <w:tcPr>
            <w:tcW w:w="1714"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Siem</w:t>
            </w:r>
            <w:proofErr w:type="spellEnd"/>
            <w:r w:rsidRPr="00BF4AA8">
              <w:rPr>
                <w:rFonts w:ascii="Arial" w:hAnsi="Arial" w:cs="Arial"/>
                <w:sz w:val="22"/>
                <w:szCs w:val="22"/>
              </w:rPr>
              <w:t xml:space="preserve"> Reap, Banteay Meanchey</w:t>
            </w:r>
          </w:p>
        </w:tc>
        <w:tc>
          <w:tcPr>
            <w:tcW w:w="883"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c>
          <w:tcPr>
            <w:tcW w:w="82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Phase III</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Provision of Aviation Security Services</w:t>
            </w:r>
          </w:p>
        </w:tc>
        <w:tc>
          <w:tcPr>
            <w:tcW w:w="1559"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Aviation</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State Secretariat of Civil Aviation</w:t>
            </w:r>
          </w:p>
        </w:tc>
        <w:tc>
          <w:tcPr>
            <w:tcW w:w="1714"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Cambodia</w:t>
            </w:r>
          </w:p>
        </w:tc>
        <w:tc>
          <w:tcPr>
            <w:tcW w:w="883"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 million</w:t>
            </w:r>
          </w:p>
        </w:tc>
        <w:tc>
          <w:tcPr>
            <w:tcW w:w="82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Phase V</w:t>
            </w:r>
          </w:p>
        </w:tc>
      </w:tr>
      <w:tr w:rsidR="0098718A" w:rsidRPr="00BF4AA8" w:rsidTr="005F1F5C">
        <w:trPr>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Phnom Penh Logistics Complex</w:t>
            </w:r>
          </w:p>
        </w:tc>
        <w:tc>
          <w:tcPr>
            <w:tcW w:w="1559"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gramStart"/>
            <w:r w:rsidRPr="00BF4AA8">
              <w:rPr>
                <w:rFonts w:ascii="Arial" w:hAnsi="Arial" w:cs="Arial"/>
                <w:sz w:val="22"/>
                <w:szCs w:val="22"/>
              </w:rPr>
              <w:t>Logistics</w:t>
            </w:r>
            <w:proofErr w:type="gramEnd"/>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MPWT</w:t>
            </w:r>
          </w:p>
        </w:tc>
        <w:tc>
          <w:tcPr>
            <w:tcW w:w="1714"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Phnom Penh</w:t>
            </w:r>
          </w:p>
        </w:tc>
        <w:tc>
          <w:tcPr>
            <w:tcW w:w="883"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340 million</w:t>
            </w:r>
          </w:p>
        </w:tc>
        <w:tc>
          <w:tcPr>
            <w:tcW w:w="82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Phase IV</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Phnom Penh-</w:t>
            </w:r>
            <w:proofErr w:type="spellStart"/>
            <w:r w:rsidRPr="00BF4AA8">
              <w:rPr>
                <w:rFonts w:ascii="Arial" w:hAnsi="Arial" w:cs="Arial"/>
                <w:sz w:val="22"/>
                <w:szCs w:val="22"/>
              </w:rPr>
              <w:t>Bavet</w:t>
            </w:r>
            <w:proofErr w:type="spellEnd"/>
            <w:r w:rsidRPr="00BF4AA8">
              <w:rPr>
                <w:rFonts w:ascii="Arial" w:hAnsi="Arial" w:cs="Arial"/>
                <w:sz w:val="22"/>
                <w:szCs w:val="22"/>
              </w:rPr>
              <w:t xml:space="preserve"> Expressway</w:t>
            </w:r>
          </w:p>
        </w:tc>
        <w:tc>
          <w:tcPr>
            <w:tcW w:w="1559"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Transportation</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MPWT</w:t>
            </w:r>
          </w:p>
        </w:tc>
        <w:tc>
          <w:tcPr>
            <w:tcW w:w="1714"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Kandal, Prey Veng, </w:t>
            </w:r>
            <w:proofErr w:type="spellStart"/>
            <w:r w:rsidRPr="00BF4AA8">
              <w:rPr>
                <w:rFonts w:ascii="Arial" w:hAnsi="Arial" w:cs="Arial"/>
                <w:sz w:val="22"/>
                <w:szCs w:val="22"/>
              </w:rPr>
              <w:t>Svay</w:t>
            </w:r>
            <w:proofErr w:type="spellEnd"/>
            <w:r w:rsidRPr="00BF4AA8">
              <w:rPr>
                <w:rFonts w:ascii="Arial" w:hAnsi="Arial" w:cs="Arial"/>
                <w:sz w:val="22"/>
                <w:szCs w:val="22"/>
              </w:rPr>
              <w:t xml:space="preserve"> </w:t>
            </w:r>
            <w:proofErr w:type="spellStart"/>
            <w:r w:rsidRPr="00BF4AA8">
              <w:rPr>
                <w:rFonts w:ascii="Arial" w:hAnsi="Arial" w:cs="Arial"/>
                <w:sz w:val="22"/>
                <w:szCs w:val="22"/>
              </w:rPr>
              <w:t>Rieng</w:t>
            </w:r>
            <w:proofErr w:type="spellEnd"/>
          </w:p>
        </w:tc>
        <w:tc>
          <w:tcPr>
            <w:tcW w:w="883"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1,380 million</w:t>
            </w:r>
          </w:p>
        </w:tc>
        <w:tc>
          <w:tcPr>
            <w:tcW w:w="82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Phase V</w:t>
            </w:r>
          </w:p>
        </w:tc>
      </w:tr>
      <w:tr w:rsidR="0098718A" w:rsidRPr="00BF4AA8" w:rsidTr="005F1F5C">
        <w:trPr>
          <w:trHeight w:val="30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 xml:space="preserve">Development of New </w:t>
            </w:r>
            <w:proofErr w:type="spellStart"/>
            <w:r w:rsidRPr="00BF4AA8">
              <w:rPr>
                <w:rFonts w:ascii="Arial" w:hAnsi="Arial" w:cs="Arial"/>
                <w:sz w:val="22"/>
                <w:szCs w:val="22"/>
              </w:rPr>
              <w:t>Mondulkiri</w:t>
            </w:r>
            <w:proofErr w:type="spellEnd"/>
            <w:r w:rsidRPr="00BF4AA8">
              <w:rPr>
                <w:rFonts w:ascii="Arial" w:hAnsi="Arial" w:cs="Arial"/>
                <w:sz w:val="22"/>
                <w:szCs w:val="22"/>
              </w:rPr>
              <w:t xml:space="preserve"> Airport</w:t>
            </w:r>
          </w:p>
        </w:tc>
        <w:tc>
          <w:tcPr>
            <w:tcW w:w="1559"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Aviation</w:t>
            </w:r>
          </w:p>
        </w:tc>
        <w:tc>
          <w:tcPr>
            <w:tcW w:w="1417"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State Secretariat of Civil Aviation</w:t>
            </w:r>
          </w:p>
        </w:tc>
        <w:tc>
          <w:tcPr>
            <w:tcW w:w="1714"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Mondulkiri</w:t>
            </w:r>
            <w:proofErr w:type="spellEnd"/>
          </w:p>
        </w:tc>
        <w:tc>
          <w:tcPr>
            <w:tcW w:w="883"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w:t>
            </w:r>
          </w:p>
        </w:tc>
        <w:tc>
          <w:tcPr>
            <w:tcW w:w="82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Phase III</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2689"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Phnom Penh-Sihanoukville Expressway</w:t>
            </w:r>
          </w:p>
        </w:tc>
        <w:tc>
          <w:tcPr>
            <w:tcW w:w="1559"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Transportation</w:t>
            </w:r>
          </w:p>
        </w:tc>
        <w:tc>
          <w:tcPr>
            <w:tcW w:w="1417"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MPWT</w:t>
            </w:r>
          </w:p>
        </w:tc>
        <w:tc>
          <w:tcPr>
            <w:tcW w:w="1714"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Kandal, Kampong </w:t>
            </w:r>
            <w:proofErr w:type="spellStart"/>
            <w:r w:rsidRPr="00BF4AA8">
              <w:rPr>
                <w:rFonts w:ascii="Arial" w:hAnsi="Arial" w:cs="Arial"/>
                <w:sz w:val="22"/>
                <w:szCs w:val="22"/>
              </w:rPr>
              <w:t>Speu</w:t>
            </w:r>
            <w:proofErr w:type="spellEnd"/>
            <w:r w:rsidRPr="00BF4AA8">
              <w:rPr>
                <w:rFonts w:ascii="Arial" w:hAnsi="Arial" w:cs="Arial"/>
                <w:sz w:val="22"/>
                <w:szCs w:val="22"/>
              </w:rPr>
              <w:t>, Koh Kong, Preah Sihanouk</w:t>
            </w:r>
          </w:p>
        </w:tc>
        <w:tc>
          <w:tcPr>
            <w:tcW w:w="883"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1,897 million</w:t>
            </w:r>
          </w:p>
        </w:tc>
        <w:tc>
          <w:tcPr>
            <w:tcW w:w="82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Phase V</w:t>
            </w:r>
          </w:p>
        </w:tc>
      </w:tr>
    </w:tbl>
    <w:p w:rsidR="0098718A" w:rsidRPr="00BF4AA8" w:rsidRDefault="0098718A" w:rsidP="0098718A">
      <w:pPr>
        <w:spacing w:after="100" w:afterAutospacing="1"/>
        <w:rPr>
          <w:rFonts w:ascii="Arial" w:hAnsi="Arial" w:cs="Arial"/>
          <w:b/>
          <w:bCs/>
          <w:sz w:val="22"/>
          <w:szCs w:val="22"/>
        </w:rPr>
      </w:pPr>
      <w:r w:rsidRPr="00BF4AA8">
        <w:rPr>
          <w:rFonts w:ascii="Arial" w:hAnsi="Arial" w:cs="Arial"/>
          <w:b/>
          <w:bCs/>
          <w:sz w:val="22"/>
          <w:szCs w:val="22"/>
        </w:rPr>
        <w:t xml:space="preserve">Source: </w:t>
      </w:r>
      <w:r w:rsidRPr="00BF4AA8">
        <w:rPr>
          <w:rFonts w:ascii="Arial" w:hAnsi="Arial" w:cs="Arial"/>
          <w:sz w:val="22"/>
          <w:szCs w:val="22"/>
        </w:rPr>
        <w:t xml:space="preserve">General Department of Public-Private Partnerships (GDPPP)/ MEF. </w:t>
      </w:r>
      <w:hyperlink r:id="rId9" w:history="1">
        <w:r w:rsidRPr="00BF4AA8">
          <w:rPr>
            <w:rStyle w:val="Hyperlink"/>
            <w:rFonts w:ascii="Arial" w:hAnsi="Arial" w:cs="Arial"/>
            <w:sz w:val="22"/>
            <w:szCs w:val="22"/>
          </w:rPr>
          <w:t>https://ppp.mef.gov.kh/projects/solicited-projects</w:t>
        </w:r>
      </w:hyperlink>
      <w:r w:rsidRPr="00BF4AA8">
        <w:rPr>
          <w:rFonts w:ascii="Arial" w:hAnsi="Arial" w:cs="Arial"/>
          <w:sz w:val="22"/>
          <w:szCs w:val="22"/>
        </w:rPr>
        <w:t xml:space="preserve">. </w:t>
      </w:r>
      <w:r w:rsidRPr="00BF4AA8">
        <w:rPr>
          <w:rFonts w:ascii="Arial" w:hAnsi="Arial" w:cs="Arial"/>
          <w:b/>
          <w:bCs/>
          <w:sz w:val="22"/>
          <w:szCs w:val="22"/>
        </w:rPr>
        <w:t>Note:</w:t>
      </w:r>
      <w:r w:rsidRPr="00BF4AA8">
        <w:rPr>
          <w:rFonts w:ascii="Arial" w:hAnsi="Arial" w:cs="Arial"/>
          <w:sz w:val="22"/>
          <w:szCs w:val="22"/>
        </w:rPr>
        <w:t xml:space="preserve"> </w:t>
      </w:r>
      <w:r w:rsidRPr="00BF4AA8">
        <w:rPr>
          <w:rFonts w:ascii="Arial" w:hAnsi="Arial" w:cs="Arial"/>
          <w:i/>
          <w:iCs/>
          <w:sz w:val="22"/>
          <w:szCs w:val="22"/>
        </w:rPr>
        <w:t>Phase I: Project Identification and Selection; Phase II: Project Preparation and Appraisal Phase III: Project Approval; Phase IV: Contracting Phase V: Management of PPP Contract.</w:t>
      </w:r>
    </w:p>
    <w:p w:rsidR="0098718A" w:rsidRPr="00BF4AA8" w:rsidRDefault="0098718A" w:rsidP="00BF4AA8">
      <w:pPr>
        <w:pStyle w:val="TOCHeading"/>
      </w:pPr>
      <w:r w:rsidRPr="00BF4AA8">
        <w:t>C. Institutional Setting</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This annex maps the institutional architecture governing Cambodia’s coastal and marine environment. It compiles the mandates of national bodies—such as NCSD, </w:t>
      </w:r>
      <w:proofErr w:type="spellStart"/>
      <w:r w:rsidRPr="00BF4AA8">
        <w:rPr>
          <w:rFonts w:ascii="Arial" w:hAnsi="Arial" w:cs="Arial"/>
          <w:sz w:val="22"/>
          <w:szCs w:val="22"/>
        </w:rPr>
        <w:t>MoE</w:t>
      </w:r>
      <w:proofErr w:type="spellEnd"/>
      <w:r w:rsidRPr="00BF4AA8">
        <w:rPr>
          <w:rFonts w:ascii="Arial" w:hAnsi="Arial" w:cs="Arial"/>
          <w:sz w:val="22"/>
          <w:szCs w:val="22"/>
        </w:rPr>
        <w:t xml:space="preserve">, </w:t>
      </w:r>
      <w:proofErr w:type="spellStart"/>
      <w:r w:rsidRPr="00BF4AA8">
        <w:rPr>
          <w:rFonts w:ascii="Arial" w:hAnsi="Arial" w:cs="Arial"/>
          <w:sz w:val="22"/>
          <w:szCs w:val="22"/>
        </w:rPr>
        <w:t>FiA</w:t>
      </w:r>
      <w:proofErr w:type="spellEnd"/>
      <w:r w:rsidRPr="00BF4AA8">
        <w:rPr>
          <w:rFonts w:ascii="Arial" w:hAnsi="Arial" w:cs="Arial"/>
          <w:sz w:val="22"/>
          <w:szCs w:val="22"/>
        </w:rPr>
        <w:t xml:space="preserve">/MAFF, MPWT, MLMUPC, MME, and </w:t>
      </w:r>
      <w:proofErr w:type="spellStart"/>
      <w:r w:rsidRPr="00BF4AA8">
        <w:rPr>
          <w:rFonts w:ascii="Arial" w:hAnsi="Arial" w:cs="Arial"/>
          <w:sz w:val="22"/>
          <w:szCs w:val="22"/>
        </w:rPr>
        <w:t>MoT</w:t>
      </w:r>
      <w:proofErr w:type="spellEnd"/>
      <w:r w:rsidRPr="00BF4AA8">
        <w:rPr>
          <w:rFonts w:ascii="Arial" w:hAnsi="Arial" w:cs="Arial"/>
          <w:sz w:val="22"/>
          <w:szCs w:val="22"/>
        </w:rPr>
        <w:t>—through relevant Royal Decrees and sectoral laws. The analysis assesses whether existing institutional arrangements collectively cover the full range of land–sea interface issues, including fisheries, biodiversity, pollution control, maritime transport, land-use planning, and disaster preparedness.</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A second dimension evaluates the </w:t>
      </w:r>
      <w:r w:rsidRPr="00BF4AA8">
        <w:rPr>
          <w:rStyle w:val="Strong"/>
          <w:rFonts w:ascii="Arial" w:hAnsi="Arial" w:cs="Arial"/>
          <w:sz w:val="22"/>
          <w:szCs w:val="22"/>
        </w:rPr>
        <w:t>degree of coordination</w:t>
      </w:r>
      <w:r w:rsidRPr="00BF4AA8">
        <w:rPr>
          <w:rFonts w:ascii="Arial" w:hAnsi="Arial" w:cs="Arial"/>
          <w:sz w:val="22"/>
          <w:szCs w:val="22"/>
        </w:rPr>
        <w:t>, both vertical (national–provincial–local) and lateral (across sectors). SDG indicators 6.5.1 and 6.5.2 provide benchmarks of integrated water resources management and transboundary cooperation. The annex also examines key regional platforms (COBSEA, PEMSEA/SDS-SEA, ASEAN DRR) to understand Cambodia’s participation in joint planning, marine litter action, and oil-spill contingency efforts.</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Operational capacity </w:t>
      </w:r>
      <w:proofErr w:type="gramStart"/>
      <w:r w:rsidRPr="00BF4AA8">
        <w:rPr>
          <w:rFonts w:ascii="Arial" w:hAnsi="Arial" w:cs="Arial"/>
          <w:sz w:val="22"/>
          <w:szCs w:val="22"/>
        </w:rPr>
        <w:t>is assessed</w:t>
      </w:r>
      <w:proofErr w:type="gramEnd"/>
      <w:r w:rsidRPr="00BF4AA8">
        <w:rPr>
          <w:rFonts w:ascii="Arial" w:hAnsi="Arial" w:cs="Arial"/>
          <w:sz w:val="22"/>
          <w:szCs w:val="22"/>
        </w:rPr>
        <w:t xml:space="preserve"> using </w:t>
      </w:r>
      <w:proofErr w:type="spellStart"/>
      <w:r w:rsidRPr="00BF4AA8">
        <w:rPr>
          <w:rFonts w:ascii="Arial" w:hAnsi="Arial" w:cs="Arial"/>
          <w:sz w:val="22"/>
          <w:szCs w:val="22"/>
        </w:rPr>
        <w:t>FiA</w:t>
      </w:r>
      <w:proofErr w:type="spellEnd"/>
      <w:r w:rsidRPr="00BF4AA8">
        <w:rPr>
          <w:rFonts w:ascii="Arial" w:hAnsi="Arial" w:cs="Arial"/>
          <w:sz w:val="22"/>
          <w:szCs w:val="22"/>
        </w:rPr>
        <w:t xml:space="preserve"> and PCCMD monitoring systems, patrol logs, MPA/ Marine Fisheries Management Area (MFMA) management data, and laboratory/equipment inventories. These indicators help clarify whether institutions have the financial, technical, and human resources necessary for effective coastal governance. The annex highlights remaining gaps, including limited MSP formalization, oil-spill response readiness, data integration, and sustained O&amp;M funding.</w:t>
      </w:r>
    </w:p>
    <w:p w:rsidR="0098718A" w:rsidRPr="00BF4AA8" w:rsidRDefault="0098718A" w:rsidP="0098718A">
      <w:pPr>
        <w:pStyle w:val="Caption"/>
        <w:keepNext/>
        <w:rPr>
          <w:rFonts w:ascii="Arial" w:hAnsi="Arial" w:cs="Arial"/>
          <w:color w:val="002060"/>
          <w:sz w:val="22"/>
          <w:szCs w:val="22"/>
        </w:rPr>
      </w:pPr>
      <w:r w:rsidRPr="00BF4AA8">
        <w:rPr>
          <w:rFonts w:ascii="Arial" w:hAnsi="Arial" w:cs="Arial"/>
          <w:color w:val="002060"/>
          <w:sz w:val="22"/>
          <w:szCs w:val="22"/>
        </w:rPr>
        <w:t>Annex Table 6-</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Annex_Table_6-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4</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Institutional setting: data sources, metadata, and assessment method</w:t>
      </w:r>
    </w:p>
    <w:tbl>
      <w:tblPr>
        <w:tblStyle w:val="GridTable4-Accent5"/>
        <w:tblW w:w="0" w:type="auto"/>
        <w:tblLook w:val="04A0" w:firstRow="1" w:lastRow="0" w:firstColumn="1" w:lastColumn="0" w:noHBand="0" w:noVBand="1"/>
      </w:tblPr>
      <w:tblGrid>
        <w:gridCol w:w="1415"/>
        <w:gridCol w:w="7073"/>
      </w:tblGrid>
      <w:tr w:rsidR="0098718A"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hideMark/>
          </w:tcPr>
          <w:p w:rsidR="0098718A" w:rsidRPr="00BF4AA8" w:rsidRDefault="0098718A" w:rsidP="005F1F5C">
            <w:pPr>
              <w:jc w:val="center"/>
              <w:rPr>
                <w:rFonts w:ascii="Arial" w:hAnsi="Arial" w:cs="Arial"/>
                <w:b w:val="0"/>
                <w:bCs w:val="0"/>
                <w:sz w:val="22"/>
                <w:szCs w:val="22"/>
              </w:rPr>
            </w:pPr>
            <w:r w:rsidRPr="00BF4AA8">
              <w:rPr>
                <w:rStyle w:val="Strong"/>
                <w:rFonts w:ascii="Arial" w:hAnsi="Arial" w:cs="Arial"/>
                <w:sz w:val="22"/>
                <w:szCs w:val="22"/>
              </w:rPr>
              <w:t>Category</w:t>
            </w:r>
          </w:p>
        </w:tc>
        <w:tc>
          <w:tcPr>
            <w:tcW w:w="7597" w:type="dxa"/>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Style w:val="Strong"/>
                <w:rFonts w:ascii="Arial" w:hAnsi="Arial" w:cs="Arial"/>
                <w:sz w:val="22"/>
                <w:szCs w:val="22"/>
              </w:rPr>
              <w:t>Details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hideMark/>
          </w:tcPr>
          <w:p w:rsidR="0098718A" w:rsidRPr="00BF4AA8" w:rsidRDefault="0098718A" w:rsidP="005F1F5C">
            <w:pPr>
              <w:rPr>
                <w:rFonts w:ascii="Arial" w:hAnsi="Arial" w:cs="Arial"/>
                <w:b w:val="0"/>
                <w:bCs w:val="0"/>
                <w:sz w:val="22"/>
                <w:szCs w:val="22"/>
              </w:rPr>
            </w:pPr>
            <w:r w:rsidRPr="00BF4AA8">
              <w:rPr>
                <w:rStyle w:val="Strong"/>
                <w:rFonts w:ascii="Arial" w:hAnsi="Arial" w:cs="Arial"/>
                <w:sz w:val="22"/>
                <w:szCs w:val="22"/>
              </w:rPr>
              <w:t>Data Sources</w:t>
            </w:r>
          </w:p>
        </w:tc>
        <w:tc>
          <w:tcPr>
            <w:tcW w:w="7597" w:type="dxa"/>
            <w:hideMark/>
          </w:tcPr>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NCCMD Royal Decree (2012); NCSD Royal Decree (2015)</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Line ministry mandates (</w:t>
            </w:r>
            <w:proofErr w:type="spellStart"/>
            <w:r w:rsidRPr="00BF4AA8">
              <w:rPr>
                <w:rFonts w:ascii="Arial" w:hAnsi="Arial" w:cs="Arial"/>
                <w:sz w:val="22"/>
                <w:szCs w:val="22"/>
              </w:rPr>
              <w:t>MoE</w:t>
            </w:r>
            <w:proofErr w:type="spellEnd"/>
            <w:r w:rsidRPr="00BF4AA8">
              <w:rPr>
                <w:rFonts w:ascii="Arial" w:hAnsi="Arial" w:cs="Arial"/>
                <w:sz w:val="22"/>
                <w:szCs w:val="22"/>
              </w:rPr>
              <w:t xml:space="preserve">, </w:t>
            </w:r>
            <w:proofErr w:type="spellStart"/>
            <w:r w:rsidRPr="00BF4AA8">
              <w:rPr>
                <w:rFonts w:ascii="Arial" w:hAnsi="Arial" w:cs="Arial"/>
                <w:sz w:val="22"/>
                <w:szCs w:val="22"/>
              </w:rPr>
              <w:t>FiA</w:t>
            </w:r>
            <w:proofErr w:type="spellEnd"/>
            <w:r w:rsidRPr="00BF4AA8">
              <w:rPr>
                <w:rFonts w:ascii="Arial" w:hAnsi="Arial" w:cs="Arial"/>
                <w:sz w:val="22"/>
                <w:szCs w:val="22"/>
              </w:rPr>
              <w:t xml:space="preserve">/MAFF, MPWT, MME, </w:t>
            </w:r>
            <w:proofErr w:type="spellStart"/>
            <w:r w:rsidRPr="00BF4AA8">
              <w:rPr>
                <w:rFonts w:ascii="Arial" w:hAnsi="Arial" w:cs="Arial"/>
                <w:sz w:val="22"/>
                <w:szCs w:val="22"/>
              </w:rPr>
              <w:t>MoT</w:t>
            </w:r>
            <w:proofErr w:type="spellEnd"/>
            <w:r w:rsidRPr="00BF4AA8">
              <w:rPr>
                <w:rFonts w:ascii="Arial" w:hAnsi="Arial" w:cs="Arial"/>
                <w:sz w:val="22"/>
                <w:szCs w:val="22"/>
              </w:rPr>
              <w:t>, MLMUPC)</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SDG 6.5.1 (IWRM 62% in 2023); SDG 6.5.2 (98% transboundary arrangements)</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Regional platforms: COBSEA, SDS-SEA/PEMSEA, ASEAN DRR</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FiA</w:t>
            </w:r>
            <w:proofErr w:type="spellEnd"/>
            <w:r w:rsidRPr="00BF4AA8">
              <w:rPr>
                <w:rFonts w:ascii="Arial" w:hAnsi="Arial" w:cs="Arial"/>
                <w:sz w:val="22"/>
                <w:szCs w:val="22"/>
              </w:rPr>
              <w:t xml:space="preserve"> monitoring systems and PCCMD operational data</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413" w:type="dxa"/>
            <w:hideMark/>
          </w:tcPr>
          <w:p w:rsidR="0098718A" w:rsidRPr="00BF4AA8" w:rsidRDefault="0098718A" w:rsidP="005F1F5C">
            <w:pPr>
              <w:rPr>
                <w:rFonts w:ascii="Arial" w:hAnsi="Arial" w:cs="Arial"/>
                <w:b w:val="0"/>
                <w:bCs w:val="0"/>
                <w:sz w:val="22"/>
                <w:szCs w:val="22"/>
              </w:rPr>
            </w:pPr>
            <w:r w:rsidRPr="00BF4AA8">
              <w:rPr>
                <w:rStyle w:val="Strong"/>
                <w:rFonts w:ascii="Arial" w:hAnsi="Arial" w:cs="Arial"/>
                <w:sz w:val="22"/>
                <w:szCs w:val="22"/>
              </w:rPr>
              <w:t>Metadata</w:t>
            </w:r>
          </w:p>
        </w:tc>
        <w:tc>
          <w:tcPr>
            <w:tcW w:w="7597" w:type="dxa"/>
            <w:hideMark/>
          </w:tcPr>
          <w:p w:rsidR="0098718A" w:rsidRPr="00BF4AA8" w:rsidRDefault="0098718A" w:rsidP="0098718A">
            <w:pPr>
              <w:pStyle w:val="ListParagraph"/>
              <w:numPr>
                <w:ilvl w:val="0"/>
                <w:numId w:val="126"/>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Institutional mandates and degree of formalization</w:t>
            </w:r>
          </w:p>
          <w:p w:rsidR="0098718A" w:rsidRPr="00BF4AA8" w:rsidRDefault="0098718A" w:rsidP="0098718A">
            <w:pPr>
              <w:pStyle w:val="ListParagraph"/>
              <w:numPr>
                <w:ilvl w:val="0"/>
                <w:numId w:val="126"/>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Existence of vertical and lateral coordination mechanisms</w:t>
            </w:r>
          </w:p>
          <w:p w:rsidR="0098718A" w:rsidRPr="00BF4AA8" w:rsidRDefault="0098718A" w:rsidP="0098718A">
            <w:pPr>
              <w:pStyle w:val="ListParagraph"/>
              <w:numPr>
                <w:ilvl w:val="0"/>
                <w:numId w:val="126"/>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Presence of monitoring systems (catch data, patrol logs, MPA/MFMA systems)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hideMark/>
          </w:tcPr>
          <w:p w:rsidR="0098718A" w:rsidRPr="00BF4AA8" w:rsidRDefault="0098718A" w:rsidP="005F1F5C">
            <w:pPr>
              <w:rPr>
                <w:rFonts w:ascii="Arial" w:hAnsi="Arial" w:cs="Arial"/>
                <w:b w:val="0"/>
                <w:bCs w:val="0"/>
                <w:sz w:val="22"/>
                <w:szCs w:val="22"/>
              </w:rPr>
            </w:pPr>
            <w:r w:rsidRPr="00BF4AA8">
              <w:rPr>
                <w:rStyle w:val="Strong"/>
                <w:rFonts w:ascii="Arial" w:hAnsi="Arial" w:cs="Arial"/>
                <w:sz w:val="22"/>
                <w:szCs w:val="22"/>
              </w:rPr>
              <w:t>Assessment Method</w:t>
            </w:r>
          </w:p>
        </w:tc>
        <w:tc>
          <w:tcPr>
            <w:tcW w:w="7597" w:type="dxa"/>
            <w:hideMark/>
          </w:tcPr>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Determine whether institutions cover all coastal–marine governance functions. </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Assess vertical (local–provincial–national) and lateral (sectoral) integration. </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Evaluate operational readiness (financing, O&amp;M, patrol assets, labs).</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Identify gaps in oil-spill contingency planning and MSP formalization.</w:t>
            </w:r>
          </w:p>
        </w:tc>
      </w:tr>
    </w:tbl>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The institutional landscape covers most marine–coastal issues but remains weakly integrated, with significant coordination gaps between national, provincial, and community levels. Operational readiness is uneven: </w:t>
      </w:r>
      <w:proofErr w:type="spellStart"/>
      <w:r w:rsidRPr="00BF4AA8">
        <w:rPr>
          <w:rFonts w:ascii="Arial" w:hAnsi="Arial" w:cs="Arial"/>
          <w:sz w:val="22"/>
          <w:szCs w:val="22"/>
        </w:rPr>
        <w:t>FiA</w:t>
      </w:r>
      <w:proofErr w:type="spellEnd"/>
      <w:r w:rsidRPr="00BF4AA8">
        <w:rPr>
          <w:rFonts w:ascii="Arial" w:hAnsi="Arial" w:cs="Arial"/>
          <w:sz w:val="22"/>
          <w:szCs w:val="22"/>
        </w:rPr>
        <w:t xml:space="preserve"> and </w:t>
      </w:r>
      <w:proofErr w:type="spellStart"/>
      <w:r w:rsidRPr="00BF4AA8">
        <w:rPr>
          <w:rFonts w:ascii="Arial" w:hAnsi="Arial" w:cs="Arial"/>
          <w:sz w:val="22"/>
          <w:szCs w:val="22"/>
        </w:rPr>
        <w:t>MoE</w:t>
      </w:r>
      <w:proofErr w:type="spellEnd"/>
      <w:r w:rsidRPr="00BF4AA8">
        <w:rPr>
          <w:rFonts w:ascii="Arial" w:hAnsi="Arial" w:cs="Arial"/>
          <w:sz w:val="22"/>
          <w:szCs w:val="22"/>
        </w:rPr>
        <w:t xml:space="preserve"> have structured mandates but lack sufficient financing, O&amp;M budgets, patrol assets, and laboratory capacity to deliver consistent enforcement and monitoring across all coastal provinces.</w:t>
      </w:r>
    </w:p>
    <w:p w:rsidR="0098718A" w:rsidRPr="00BF4AA8" w:rsidRDefault="0098718A" w:rsidP="00BF4AA8">
      <w:pPr>
        <w:pStyle w:val="TOCHeading"/>
      </w:pPr>
      <w:r w:rsidRPr="00BF4AA8">
        <w:t>C. Legal and Policy Setting</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This annex reviews Cambodia’s legal and policy frameworks governing environmental protection, natural resources management, climate change, and coastal development. It maps both international commitments (Basel, Stockholm, CBD, CITES, Ramsar, UNFCCC/Paris, BBNJ) and domestic legal instruments (Environment Code 2023, Fisheries Law, Protected Areas Law, Water Law, Land Law). The analysis clarifies ratification status, reporting obligations, and the degree of legal alignment with global standards.</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A central focus is whether Cambodia’s laws enable </w:t>
      </w:r>
      <w:r w:rsidRPr="00BF4AA8">
        <w:rPr>
          <w:rStyle w:val="Strong"/>
          <w:rFonts w:ascii="Arial" w:hAnsi="Arial" w:cs="Arial"/>
          <w:sz w:val="22"/>
          <w:szCs w:val="22"/>
        </w:rPr>
        <w:t>ecosystem-based management (EBM)</w:t>
      </w:r>
      <w:r w:rsidRPr="00BF4AA8">
        <w:rPr>
          <w:rFonts w:ascii="Arial" w:hAnsi="Arial" w:cs="Arial"/>
          <w:sz w:val="22"/>
          <w:szCs w:val="22"/>
        </w:rPr>
        <w:t xml:space="preserve">, </w:t>
      </w:r>
      <w:r w:rsidRPr="00BF4AA8">
        <w:rPr>
          <w:rStyle w:val="Strong"/>
          <w:rFonts w:ascii="Arial" w:hAnsi="Arial" w:cs="Arial"/>
          <w:sz w:val="22"/>
          <w:szCs w:val="22"/>
        </w:rPr>
        <w:t>marine spatial planning (MSP)</w:t>
      </w:r>
      <w:r w:rsidRPr="00BF4AA8">
        <w:rPr>
          <w:rFonts w:ascii="Arial" w:hAnsi="Arial" w:cs="Arial"/>
          <w:sz w:val="22"/>
          <w:szCs w:val="22"/>
        </w:rPr>
        <w:t>, and integrated land–sea approaches. This includes examining the completeness of policy cycles—from data collection and decision-making to implementation and review—and the effectiveness of key implementing regulations such as the EIA/SEA framework and coastal development circulars.</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The annex also evaluates the enforcement architecture: penalties and sanctions, licensing procedures, monitoring responsibilities, and the institutional ability to apply laws in practice. This helps identify gaps where legal instruments exist but lack operational mechanisms, or where emerging issues (e.g., marine litter, climate resilience, offshore activities, oil-spill responsibilities) </w:t>
      </w:r>
      <w:proofErr w:type="gramStart"/>
      <w:r w:rsidRPr="00BF4AA8">
        <w:rPr>
          <w:rFonts w:ascii="Arial" w:hAnsi="Arial" w:cs="Arial"/>
          <w:sz w:val="22"/>
          <w:szCs w:val="22"/>
        </w:rPr>
        <w:t>are not yet fully covered</w:t>
      </w:r>
      <w:proofErr w:type="gramEnd"/>
      <w:r w:rsidRPr="00BF4AA8">
        <w:rPr>
          <w:rFonts w:ascii="Arial" w:hAnsi="Arial" w:cs="Arial"/>
          <w:sz w:val="22"/>
          <w:szCs w:val="22"/>
        </w:rPr>
        <w:t>.</w:t>
      </w:r>
    </w:p>
    <w:p w:rsidR="0098718A" w:rsidRPr="00BF4AA8" w:rsidRDefault="0098718A" w:rsidP="0098718A">
      <w:pPr>
        <w:pStyle w:val="Caption"/>
        <w:keepNext/>
        <w:rPr>
          <w:rFonts w:ascii="Arial" w:hAnsi="Arial" w:cs="Arial"/>
          <w:color w:val="002060"/>
          <w:sz w:val="22"/>
          <w:szCs w:val="22"/>
        </w:rPr>
      </w:pPr>
      <w:bookmarkStart w:id="45" w:name="_Ref215341243"/>
      <w:r w:rsidRPr="00BF4AA8">
        <w:rPr>
          <w:rFonts w:ascii="Arial" w:hAnsi="Arial" w:cs="Arial"/>
          <w:color w:val="002060"/>
          <w:sz w:val="22"/>
          <w:szCs w:val="22"/>
        </w:rPr>
        <w:t>Annex Table 6-</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Annex_Table_6-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5</w:t>
      </w:r>
      <w:r w:rsidRPr="00BF4AA8">
        <w:rPr>
          <w:rFonts w:ascii="Arial" w:hAnsi="Arial" w:cs="Arial"/>
          <w:color w:val="002060"/>
          <w:sz w:val="22"/>
          <w:szCs w:val="22"/>
        </w:rPr>
        <w:fldChar w:fldCharType="end"/>
      </w:r>
      <w:bookmarkEnd w:id="45"/>
      <w:r w:rsidRPr="00BF4AA8">
        <w:rPr>
          <w:rFonts w:ascii="Arial" w:hAnsi="Arial" w:cs="Arial"/>
          <w:color w:val="002060"/>
          <w:sz w:val="22"/>
          <w:szCs w:val="22"/>
        </w:rPr>
        <w:t xml:space="preserve"> Legal and policy setting: data sources, metadata, and assessment method</w:t>
      </w:r>
    </w:p>
    <w:tbl>
      <w:tblPr>
        <w:tblStyle w:val="GridTable4-Accent5"/>
        <w:tblW w:w="0" w:type="auto"/>
        <w:tblLook w:val="04A0" w:firstRow="1" w:lastRow="0" w:firstColumn="1" w:lastColumn="0" w:noHBand="0" w:noVBand="1"/>
      </w:tblPr>
      <w:tblGrid>
        <w:gridCol w:w="1415"/>
        <w:gridCol w:w="7073"/>
      </w:tblGrid>
      <w:tr w:rsidR="0098718A"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hideMark/>
          </w:tcPr>
          <w:p w:rsidR="0098718A" w:rsidRPr="00BF4AA8" w:rsidRDefault="0098718A" w:rsidP="005F1F5C">
            <w:pPr>
              <w:jc w:val="center"/>
              <w:rPr>
                <w:rFonts w:ascii="Arial" w:hAnsi="Arial" w:cs="Arial"/>
                <w:sz w:val="22"/>
                <w:szCs w:val="22"/>
              </w:rPr>
            </w:pPr>
            <w:r w:rsidRPr="00BF4AA8">
              <w:rPr>
                <w:rStyle w:val="Strong"/>
                <w:rFonts w:ascii="Arial" w:hAnsi="Arial" w:cs="Arial"/>
                <w:sz w:val="22"/>
                <w:szCs w:val="22"/>
              </w:rPr>
              <w:t>Category</w:t>
            </w:r>
          </w:p>
        </w:tc>
        <w:tc>
          <w:tcPr>
            <w:tcW w:w="7739" w:type="dxa"/>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Details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hideMark/>
          </w:tcPr>
          <w:p w:rsidR="0098718A" w:rsidRPr="00BF4AA8" w:rsidRDefault="0098718A" w:rsidP="005F1F5C">
            <w:pPr>
              <w:rPr>
                <w:rFonts w:ascii="Arial" w:hAnsi="Arial" w:cs="Arial"/>
                <w:b w:val="0"/>
                <w:bCs w:val="0"/>
                <w:sz w:val="22"/>
                <w:szCs w:val="22"/>
              </w:rPr>
            </w:pPr>
            <w:r w:rsidRPr="00BF4AA8">
              <w:rPr>
                <w:rStyle w:val="Strong"/>
                <w:rFonts w:ascii="Arial" w:hAnsi="Arial" w:cs="Arial"/>
                <w:sz w:val="22"/>
                <w:szCs w:val="22"/>
              </w:rPr>
              <w:t>Data Sources</w:t>
            </w:r>
          </w:p>
        </w:tc>
        <w:tc>
          <w:tcPr>
            <w:tcW w:w="7739" w:type="dxa"/>
            <w:hideMark/>
          </w:tcPr>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International conventions: Basel, Rotterdam, Stockholm, CBD, CITES, UNFCCC, Kyoto, Paris, Ramsar, BBNJ</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Domestic laws: Environment Code (2023), Fisheries Law, Protected Areas Law, Water Law, Land Law</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plans: CCCSP 2024–2033, Circular Strategy on Environment, NPASMP, fisheries strategies</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EIA/SEA frameworks; Circular No. 01/2012 (coastal development)</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271" w:type="dxa"/>
            <w:hideMark/>
          </w:tcPr>
          <w:p w:rsidR="0098718A" w:rsidRPr="00BF4AA8" w:rsidRDefault="0098718A" w:rsidP="005F1F5C">
            <w:pPr>
              <w:rPr>
                <w:rFonts w:ascii="Arial" w:hAnsi="Arial" w:cs="Arial"/>
                <w:b w:val="0"/>
                <w:bCs w:val="0"/>
                <w:sz w:val="22"/>
                <w:szCs w:val="22"/>
              </w:rPr>
            </w:pPr>
            <w:r w:rsidRPr="00BF4AA8">
              <w:rPr>
                <w:rStyle w:val="Strong"/>
                <w:rFonts w:ascii="Arial" w:hAnsi="Arial" w:cs="Arial"/>
                <w:sz w:val="22"/>
                <w:szCs w:val="22"/>
              </w:rPr>
              <w:t>Metadata</w:t>
            </w:r>
          </w:p>
        </w:tc>
        <w:tc>
          <w:tcPr>
            <w:tcW w:w="7739" w:type="dxa"/>
            <w:hideMark/>
          </w:tcPr>
          <w:p w:rsidR="0098718A" w:rsidRPr="00BF4AA8" w:rsidRDefault="0098718A" w:rsidP="0098718A">
            <w:pPr>
              <w:pStyle w:val="ListParagraph"/>
              <w:numPr>
                <w:ilvl w:val="0"/>
                <w:numId w:val="126"/>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Ratification status and reporting obligations • Sectoral legislation and implementing regulations</w:t>
            </w:r>
          </w:p>
          <w:p w:rsidR="0098718A" w:rsidRPr="00BF4AA8" w:rsidRDefault="0098718A" w:rsidP="0098718A">
            <w:pPr>
              <w:pStyle w:val="ListParagraph"/>
              <w:numPr>
                <w:ilvl w:val="0"/>
                <w:numId w:val="126"/>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Degree of policy-cycle completeness (data → decision → implementation → review)</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1" w:type="dxa"/>
            <w:hideMark/>
          </w:tcPr>
          <w:p w:rsidR="0098718A" w:rsidRPr="00BF4AA8" w:rsidRDefault="0098718A" w:rsidP="005F1F5C">
            <w:pPr>
              <w:rPr>
                <w:rFonts w:ascii="Arial" w:hAnsi="Arial" w:cs="Arial"/>
                <w:b w:val="0"/>
                <w:bCs w:val="0"/>
                <w:sz w:val="22"/>
                <w:szCs w:val="22"/>
              </w:rPr>
            </w:pPr>
            <w:r w:rsidRPr="00BF4AA8">
              <w:rPr>
                <w:rStyle w:val="Strong"/>
                <w:rFonts w:ascii="Arial" w:hAnsi="Arial" w:cs="Arial"/>
                <w:sz w:val="22"/>
                <w:szCs w:val="22"/>
              </w:rPr>
              <w:t>Assessment Method</w:t>
            </w:r>
          </w:p>
        </w:tc>
        <w:tc>
          <w:tcPr>
            <w:tcW w:w="7739" w:type="dxa"/>
            <w:hideMark/>
          </w:tcPr>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Review alignment of domestic law with international commitments.</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Assess whether legislation enables EBM, MSP, and integrated coastal management.</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Evaluate strength of enforcement mechanisms and regulatory tools. </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Confirm regularity and effectiveness of policy reviews.</w:t>
            </w:r>
          </w:p>
        </w:tc>
      </w:tr>
    </w:tbl>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Cambodia has ratified most major environmental conventions and updated key domestic laws (Environment Code 2023, PA Law), but the enabling regulations and enforcement mechanisms needed for ecosystem-based management and MSP remain only partially implemented. Policy-cycle reviews are irregular, and areas such as marine litter, coastal zone planning, offshore activities, and oil-spill liability require clearer legal provisions and operational guidance.</w:t>
      </w:r>
    </w:p>
    <w:p w:rsidR="0098718A" w:rsidRPr="00BF4AA8" w:rsidRDefault="0098718A" w:rsidP="0098718A">
      <w:pPr>
        <w:pStyle w:val="Caption"/>
        <w:keepNext/>
        <w:rPr>
          <w:rFonts w:ascii="Arial" w:hAnsi="Arial" w:cs="Arial"/>
          <w:color w:val="002060"/>
          <w:sz w:val="22"/>
          <w:szCs w:val="22"/>
        </w:rPr>
      </w:pPr>
      <w:bookmarkStart w:id="46" w:name="_Ref214964159"/>
      <w:r w:rsidRPr="00BF4AA8">
        <w:rPr>
          <w:rFonts w:ascii="Arial" w:hAnsi="Arial" w:cs="Arial"/>
          <w:color w:val="002060"/>
          <w:sz w:val="22"/>
          <w:szCs w:val="22"/>
        </w:rPr>
        <w:t>Annex Table 6-</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Annex_Table_6-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6</w:t>
      </w:r>
      <w:r w:rsidRPr="00BF4AA8">
        <w:rPr>
          <w:rFonts w:ascii="Arial" w:hAnsi="Arial" w:cs="Arial"/>
          <w:color w:val="002060"/>
          <w:sz w:val="22"/>
          <w:szCs w:val="22"/>
        </w:rPr>
        <w:fldChar w:fldCharType="end"/>
      </w:r>
      <w:bookmarkEnd w:id="46"/>
      <w:r w:rsidRPr="00BF4AA8">
        <w:rPr>
          <w:rFonts w:ascii="Arial" w:hAnsi="Arial" w:cs="Arial"/>
          <w:color w:val="002060"/>
          <w:sz w:val="22"/>
          <w:szCs w:val="22"/>
        </w:rPr>
        <w:t xml:space="preserve"> Coastal–marine related legal and policy frameworks</w:t>
      </w:r>
    </w:p>
    <w:tbl>
      <w:tblPr>
        <w:tblStyle w:val="GridTable4-Accent5"/>
        <w:tblW w:w="9067" w:type="dxa"/>
        <w:tblLayout w:type="fixed"/>
        <w:tblLook w:val="04A0" w:firstRow="1" w:lastRow="0" w:firstColumn="1" w:lastColumn="0" w:noHBand="0" w:noVBand="1"/>
      </w:tblPr>
      <w:tblGrid>
        <w:gridCol w:w="1838"/>
        <w:gridCol w:w="1418"/>
        <w:gridCol w:w="1134"/>
        <w:gridCol w:w="2409"/>
        <w:gridCol w:w="2268"/>
      </w:tblGrid>
      <w:tr w:rsidR="0098718A"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98718A" w:rsidRPr="00BF4AA8" w:rsidRDefault="0098718A" w:rsidP="005F1F5C">
            <w:pPr>
              <w:jc w:val="center"/>
              <w:rPr>
                <w:rFonts w:ascii="Arial" w:hAnsi="Arial" w:cs="Arial"/>
                <w:sz w:val="22"/>
                <w:szCs w:val="22"/>
              </w:rPr>
            </w:pPr>
            <w:r w:rsidRPr="00BF4AA8">
              <w:rPr>
                <w:rFonts w:ascii="Arial" w:hAnsi="Arial" w:cs="Arial"/>
                <w:sz w:val="22"/>
                <w:szCs w:val="22"/>
              </w:rPr>
              <w:t>Instrument</w:t>
            </w:r>
          </w:p>
        </w:tc>
        <w:tc>
          <w:tcPr>
            <w:tcW w:w="1418" w:type="dxa"/>
            <w:vAlign w:val="center"/>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Status (year)</w:t>
            </w:r>
          </w:p>
        </w:tc>
        <w:tc>
          <w:tcPr>
            <w:tcW w:w="1134" w:type="dxa"/>
            <w:vAlign w:val="center"/>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Lead / Competent Authority</w:t>
            </w:r>
          </w:p>
        </w:tc>
        <w:tc>
          <w:tcPr>
            <w:tcW w:w="2409" w:type="dxa"/>
            <w:vAlign w:val="center"/>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Scope &amp; relevance to coastal–marine</w:t>
            </w:r>
          </w:p>
        </w:tc>
        <w:tc>
          <w:tcPr>
            <w:tcW w:w="2268" w:type="dxa"/>
            <w:vAlign w:val="center"/>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Implementation /notes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69"/>
        </w:trPr>
        <w:tc>
          <w:tcPr>
            <w:cnfStyle w:val="001000000000" w:firstRow="0" w:lastRow="0" w:firstColumn="1" w:lastColumn="0" w:oddVBand="0" w:evenVBand="0" w:oddHBand="0" w:evenHBand="0" w:firstRowFirstColumn="0" w:firstRowLastColumn="0" w:lastRowFirstColumn="0" w:lastRowLastColumn="0"/>
            <w:tcW w:w="9067" w:type="dxa"/>
            <w:gridSpan w:val="5"/>
            <w:shd w:val="clear" w:color="auto" w:fill="FBE4D5" w:themeFill="accent2" w:themeFillTint="33"/>
            <w:vAlign w:val="center"/>
          </w:tcPr>
          <w:p w:rsidR="0098718A" w:rsidRPr="00BF4AA8" w:rsidRDefault="0098718A" w:rsidP="005F1F5C">
            <w:pPr>
              <w:rPr>
                <w:rFonts w:ascii="Arial" w:hAnsi="Arial" w:cs="Arial"/>
                <w:b w:val="0"/>
                <w:bCs w:val="0"/>
                <w:sz w:val="22"/>
                <w:szCs w:val="22"/>
              </w:rPr>
            </w:pPr>
            <w:r w:rsidRPr="00BF4AA8">
              <w:rPr>
                <w:rFonts w:ascii="Arial" w:hAnsi="Arial" w:cs="Arial"/>
                <w:sz w:val="22"/>
                <w:szCs w:val="22"/>
              </w:rPr>
              <w:t>A) International Conventions &amp; Agreements</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Basel Convention</w:t>
            </w:r>
          </w:p>
        </w:tc>
        <w:tc>
          <w:tcPr>
            <w:tcW w:w="141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Party (2001)</w:t>
            </w:r>
          </w:p>
        </w:tc>
        <w:tc>
          <w:tcPr>
            <w:tcW w:w="1134"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xml:space="preserve"> (hazardous waste); Customs</w:t>
            </w:r>
          </w:p>
        </w:tc>
        <w:tc>
          <w:tcPr>
            <w:tcW w:w="2409" w:type="dxa"/>
            <w:vAlign w:val="center"/>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Control of transboundary movement/disposal of hazardous waste; prevents coastal dumping/legacy contamination</w:t>
            </w:r>
          </w:p>
        </w:tc>
        <w:tc>
          <w:tcPr>
            <w:tcW w:w="2268" w:type="dxa"/>
            <w:vAlign w:val="center"/>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EIA/permits reference Basel lists; supports port &amp; SEZ waste controls.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Rotterdam (PIC)</w:t>
            </w:r>
          </w:p>
        </w:tc>
        <w:tc>
          <w:tcPr>
            <w:tcW w:w="141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Party (2013)</w:t>
            </w:r>
          </w:p>
        </w:tc>
        <w:tc>
          <w:tcPr>
            <w:tcW w:w="1134"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MAFF</w:t>
            </w:r>
          </w:p>
        </w:tc>
        <w:tc>
          <w:tcPr>
            <w:tcW w:w="2409" w:type="dxa"/>
            <w:vAlign w:val="center"/>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Prior informed consent for hazardous chemicals/pesticides that reach coasts via rivers &amp; cities</w:t>
            </w:r>
          </w:p>
        </w:tc>
        <w:tc>
          <w:tcPr>
            <w:tcW w:w="2268" w:type="dxa"/>
            <w:vAlign w:val="center"/>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Underpins pesticide/chemical import control and coastal run-off management.</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Stockholm (POPs)</w:t>
            </w:r>
          </w:p>
        </w:tc>
        <w:tc>
          <w:tcPr>
            <w:tcW w:w="141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Party (2006)</w:t>
            </w:r>
          </w:p>
        </w:tc>
        <w:tc>
          <w:tcPr>
            <w:tcW w:w="1134"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p>
        </w:tc>
        <w:tc>
          <w:tcPr>
            <w:tcW w:w="2409" w:type="dxa"/>
            <w:vAlign w:val="center"/>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Phase-out of POPs that bioaccumulate in marine food webs</w:t>
            </w:r>
          </w:p>
        </w:tc>
        <w:tc>
          <w:tcPr>
            <w:tcW w:w="2268" w:type="dxa"/>
            <w:vAlign w:val="center"/>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plans target legacy POPs; relevance to seafood safety.</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CBD</w:t>
            </w:r>
          </w:p>
        </w:tc>
        <w:tc>
          <w:tcPr>
            <w:tcW w:w="141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Party (1995)</w:t>
            </w:r>
          </w:p>
        </w:tc>
        <w:tc>
          <w:tcPr>
            <w:tcW w:w="1134"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/NCSD</w:t>
            </w:r>
          </w:p>
        </w:tc>
        <w:tc>
          <w:tcPr>
            <w:tcW w:w="2409" w:type="dxa"/>
            <w:vAlign w:val="center"/>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biodiversity strategies, PA systems, ABS; applies to reefs, seagrass, mangroves</w:t>
            </w:r>
          </w:p>
        </w:tc>
        <w:tc>
          <w:tcPr>
            <w:tcW w:w="2268" w:type="dxa"/>
            <w:vAlign w:val="center"/>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Provides policy basis for MPAs &amp; species measures.</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CITES</w:t>
            </w:r>
          </w:p>
        </w:tc>
        <w:tc>
          <w:tcPr>
            <w:tcW w:w="141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Party (1997)</w:t>
            </w:r>
          </w:p>
        </w:tc>
        <w:tc>
          <w:tcPr>
            <w:tcW w:w="1134"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MAFF/</w:t>
            </w:r>
            <w:proofErr w:type="spellStart"/>
            <w:r w:rsidRPr="00BF4AA8">
              <w:rPr>
                <w:rFonts w:ascii="Arial" w:hAnsi="Arial" w:cs="Arial"/>
                <w:sz w:val="22"/>
                <w:szCs w:val="22"/>
              </w:rPr>
              <w:t>FiA</w:t>
            </w:r>
            <w:proofErr w:type="spellEnd"/>
            <w:r w:rsidRPr="00BF4AA8">
              <w:rPr>
                <w:rFonts w:ascii="Arial" w:hAnsi="Arial" w:cs="Arial"/>
                <w:sz w:val="22"/>
                <w:szCs w:val="22"/>
              </w:rPr>
              <w:t>; Customs</w:t>
            </w:r>
          </w:p>
        </w:tc>
        <w:tc>
          <w:tcPr>
            <w:tcW w:w="2409" w:type="dxa"/>
            <w:vAlign w:val="center"/>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Regulates trade in listed marine species (e.g., sharks, seahorses)</w:t>
            </w:r>
          </w:p>
        </w:tc>
        <w:tc>
          <w:tcPr>
            <w:tcW w:w="2268" w:type="dxa"/>
            <w:vAlign w:val="center"/>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Permits &amp; seizures guide; complements MFMA enforcement.</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UNFCCC &amp; Paris</w:t>
            </w:r>
          </w:p>
        </w:tc>
        <w:tc>
          <w:tcPr>
            <w:tcW w:w="141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Party (1995); Party (2017)</w:t>
            </w:r>
          </w:p>
        </w:tc>
        <w:tc>
          <w:tcPr>
            <w:tcW w:w="1134"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NCSD/</w:t>
            </w:r>
            <w:proofErr w:type="spellStart"/>
            <w:r w:rsidRPr="00BF4AA8">
              <w:rPr>
                <w:rFonts w:ascii="Arial" w:hAnsi="Arial" w:cs="Arial"/>
                <w:sz w:val="22"/>
                <w:szCs w:val="22"/>
              </w:rPr>
              <w:t>MoE</w:t>
            </w:r>
            <w:proofErr w:type="spellEnd"/>
          </w:p>
        </w:tc>
        <w:tc>
          <w:tcPr>
            <w:tcW w:w="2409" w:type="dxa"/>
            <w:vAlign w:val="center"/>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Climate mitigation/adaptation; coastal resilience finance</w:t>
            </w:r>
          </w:p>
        </w:tc>
        <w:tc>
          <w:tcPr>
            <w:tcW w:w="2268" w:type="dxa"/>
            <w:vAlign w:val="center"/>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Frames NDCs; enables coastal </w:t>
            </w:r>
            <w:proofErr w:type="spellStart"/>
            <w:r w:rsidRPr="00BF4AA8">
              <w:rPr>
                <w:rFonts w:ascii="Arial" w:hAnsi="Arial" w:cs="Arial"/>
                <w:sz w:val="22"/>
                <w:szCs w:val="22"/>
              </w:rPr>
              <w:t>NbS</w:t>
            </w:r>
            <w:proofErr w:type="spellEnd"/>
            <w:r w:rsidRPr="00BF4AA8">
              <w:rPr>
                <w:rFonts w:ascii="Arial" w:hAnsi="Arial" w:cs="Arial"/>
                <w:sz w:val="22"/>
                <w:szCs w:val="22"/>
              </w:rPr>
              <w:t xml:space="preserve"> &amp; resilient ports investment.</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Kyoto Protocol</w:t>
            </w:r>
          </w:p>
        </w:tc>
        <w:tc>
          <w:tcPr>
            <w:tcW w:w="141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Party (2002)</w:t>
            </w:r>
          </w:p>
        </w:tc>
        <w:tc>
          <w:tcPr>
            <w:tcW w:w="1134"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NCSD/</w:t>
            </w:r>
            <w:proofErr w:type="spellStart"/>
            <w:r w:rsidRPr="00BF4AA8">
              <w:rPr>
                <w:rFonts w:ascii="Arial" w:hAnsi="Arial" w:cs="Arial"/>
                <w:sz w:val="22"/>
                <w:szCs w:val="22"/>
              </w:rPr>
              <w:t>MoE</w:t>
            </w:r>
            <w:proofErr w:type="spellEnd"/>
          </w:p>
        </w:tc>
        <w:tc>
          <w:tcPr>
            <w:tcW w:w="2409" w:type="dxa"/>
            <w:vAlign w:val="center"/>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GHG commitments (legacy)</w:t>
            </w:r>
          </w:p>
        </w:tc>
        <w:tc>
          <w:tcPr>
            <w:tcW w:w="2268" w:type="dxa"/>
            <w:vAlign w:val="center"/>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Historical context for sector MRV.</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Ramsar</w:t>
            </w:r>
          </w:p>
        </w:tc>
        <w:tc>
          <w:tcPr>
            <w:tcW w:w="141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Party (1999)</w:t>
            </w:r>
          </w:p>
        </w:tc>
        <w:tc>
          <w:tcPr>
            <w:tcW w:w="1134"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p>
        </w:tc>
        <w:tc>
          <w:tcPr>
            <w:tcW w:w="2409" w:type="dxa"/>
            <w:vAlign w:val="center"/>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Wetlands of Intl. Importance (e.g., Koh </w:t>
            </w:r>
            <w:proofErr w:type="spellStart"/>
            <w:r w:rsidRPr="00BF4AA8">
              <w:rPr>
                <w:rFonts w:ascii="Arial" w:hAnsi="Arial" w:cs="Arial"/>
                <w:sz w:val="22"/>
                <w:szCs w:val="22"/>
              </w:rPr>
              <w:t>Kapik</w:t>
            </w:r>
            <w:proofErr w:type="spellEnd"/>
            <w:r w:rsidRPr="00BF4AA8">
              <w:rPr>
                <w:rFonts w:ascii="Arial" w:hAnsi="Arial" w:cs="Arial"/>
                <w:sz w:val="22"/>
                <w:szCs w:val="22"/>
              </w:rPr>
              <w:t>)</w:t>
            </w:r>
          </w:p>
        </w:tc>
        <w:tc>
          <w:tcPr>
            <w:tcW w:w="2268" w:type="dxa"/>
            <w:vAlign w:val="center"/>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Legal hook for mangrove conservation and restoration.</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UNCLOS</w:t>
            </w:r>
          </w:p>
        </w:tc>
        <w:tc>
          <w:tcPr>
            <w:tcW w:w="1418"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Signature (1983); domestic ratification incomplete</w:t>
            </w:r>
          </w:p>
        </w:tc>
        <w:tc>
          <w:tcPr>
            <w:tcW w:w="1134" w:type="dxa"/>
            <w:vAlign w:val="center"/>
            <w:hideMark/>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MFAIC with line ministries</w:t>
            </w:r>
          </w:p>
        </w:tc>
        <w:tc>
          <w:tcPr>
            <w:tcW w:w="2409" w:type="dxa"/>
            <w:vAlign w:val="center"/>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Maritime zones/rights, marine environment obligations</w:t>
            </w:r>
          </w:p>
        </w:tc>
        <w:tc>
          <w:tcPr>
            <w:tcW w:w="2268" w:type="dxa"/>
            <w:vAlign w:val="center"/>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Legal gap noted in diagnostics; priority for completion.</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BBNJ (High Seas Treaty)</w:t>
            </w:r>
          </w:p>
        </w:tc>
        <w:tc>
          <w:tcPr>
            <w:tcW w:w="1418"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Signed 9 Jun 2025; Ratified 6 Sep 2025</w:t>
            </w:r>
          </w:p>
        </w:tc>
        <w:tc>
          <w:tcPr>
            <w:tcW w:w="1134" w:type="dxa"/>
            <w:vAlign w:val="center"/>
            <w:hideMark/>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MFAIC/NCSD/</w:t>
            </w:r>
            <w:proofErr w:type="spellStart"/>
            <w:r w:rsidRPr="00BF4AA8">
              <w:rPr>
                <w:rFonts w:ascii="Arial" w:hAnsi="Arial" w:cs="Arial"/>
                <w:sz w:val="22"/>
                <w:szCs w:val="22"/>
              </w:rPr>
              <w:t>MoE</w:t>
            </w:r>
            <w:proofErr w:type="spellEnd"/>
          </w:p>
        </w:tc>
        <w:tc>
          <w:tcPr>
            <w:tcW w:w="2409" w:type="dxa"/>
            <w:vAlign w:val="center"/>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ABNJ area-based tools, EIA, MGR benefit sharing</w:t>
            </w:r>
          </w:p>
        </w:tc>
        <w:tc>
          <w:tcPr>
            <w:tcW w:w="2268" w:type="dxa"/>
            <w:vAlign w:val="center"/>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Signals global ocean governance engagement.</w:t>
            </w:r>
          </w:p>
        </w:tc>
      </w:tr>
      <w:tr w:rsidR="0098718A" w:rsidRPr="00BF4AA8" w:rsidTr="005F1F5C">
        <w:trPr>
          <w:trHeight w:val="408"/>
        </w:trPr>
        <w:tc>
          <w:tcPr>
            <w:cnfStyle w:val="001000000000" w:firstRow="0" w:lastRow="0" w:firstColumn="1" w:lastColumn="0" w:oddVBand="0" w:evenVBand="0" w:oddHBand="0" w:evenHBand="0" w:firstRowFirstColumn="0" w:firstRowLastColumn="0" w:lastRowFirstColumn="0" w:lastRowLastColumn="0"/>
            <w:tcW w:w="9067" w:type="dxa"/>
            <w:gridSpan w:val="5"/>
            <w:shd w:val="clear" w:color="auto" w:fill="FBE4D5" w:themeFill="accent2" w:themeFillTint="33"/>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B) Regional Cooperation &amp; Frameworks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b w:val="0"/>
                <w:bCs w:val="0"/>
                <w:sz w:val="22"/>
                <w:szCs w:val="22"/>
              </w:rPr>
            </w:pPr>
            <w:r w:rsidRPr="00BF4AA8">
              <w:rPr>
                <w:rFonts w:ascii="Arial" w:hAnsi="Arial" w:cs="Arial"/>
                <w:b w:val="0"/>
                <w:bCs w:val="0"/>
                <w:sz w:val="22"/>
                <w:szCs w:val="22"/>
              </w:rPr>
              <w:t>PEMSEA SDS-SEA &amp; ICM</w:t>
            </w:r>
          </w:p>
        </w:tc>
        <w:tc>
          <w:tcPr>
            <w:tcW w:w="1418"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Ongoing program</w:t>
            </w:r>
          </w:p>
        </w:tc>
        <w:tc>
          <w:tcPr>
            <w:tcW w:w="1134"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xml:space="preserve">/PEMSEA </w:t>
            </w:r>
            <w:proofErr w:type="spellStart"/>
            <w:r w:rsidRPr="00BF4AA8">
              <w:rPr>
                <w:rFonts w:ascii="Arial" w:hAnsi="Arial" w:cs="Arial"/>
                <w:sz w:val="22"/>
                <w:szCs w:val="22"/>
              </w:rPr>
              <w:t>Nat’l</w:t>
            </w:r>
            <w:proofErr w:type="spellEnd"/>
            <w:r w:rsidRPr="00BF4AA8">
              <w:rPr>
                <w:rFonts w:ascii="Arial" w:hAnsi="Arial" w:cs="Arial"/>
                <w:sz w:val="22"/>
                <w:szCs w:val="22"/>
              </w:rPr>
              <w:t xml:space="preserve"> Focal</w:t>
            </w:r>
          </w:p>
        </w:tc>
        <w:tc>
          <w:tcPr>
            <w:tcW w:w="2409"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ICM across entire 435-km coastline; SDS-SEA 2023–2027 priorities (pollution, biodiversity, climate)</w:t>
            </w:r>
          </w:p>
        </w:tc>
        <w:tc>
          <w:tcPr>
            <w:tcW w:w="226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Platform for MSP/ICM peer support &amp; training.</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COBSEA RAP-MALI</w:t>
            </w:r>
          </w:p>
        </w:tc>
        <w:tc>
          <w:tcPr>
            <w:tcW w:w="1418"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Regional action plan (2019–)</w:t>
            </w:r>
          </w:p>
        </w:tc>
        <w:tc>
          <w:tcPr>
            <w:tcW w:w="1134"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/NCSD</w:t>
            </w:r>
          </w:p>
        </w:tc>
        <w:tc>
          <w:tcPr>
            <w:tcW w:w="2409"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Marine litter prevention, control, cooperation</w:t>
            </w:r>
          </w:p>
        </w:tc>
        <w:tc>
          <w:tcPr>
            <w:tcW w:w="226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Aligns with national anti-plastic campaigns; port reception.</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COBSEA Marine &amp; Coastal Ecosystems Framework / Strategic Directions 2023–27</w:t>
            </w:r>
          </w:p>
        </w:tc>
        <w:tc>
          <w:tcPr>
            <w:tcW w:w="1418"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Guidance &amp; workplan</w:t>
            </w:r>
          </w:p>
        </w:tc>
        <w:tc>
          <w:tcPr>
            <w:tcW w:w="1134"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/line agencies</w:t>
            </w:r>
          </w:p>
        </w:tc>
        <w:tc>
          <w:tcPr>
            <w:tcW w:w="2409"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Ecosystem conservation, governance, cross-cutting enablers</w:t>
            </w:r>
          </w:p>
        </w:tc>
        <w:tc>
          <w:tcPr>
            <w:tcW w:w="226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Reference for regional best practice &amp; projects.</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Gulf of Thailand Oil Spill Framework</w:t>
            </w:r>
          </w:p>
        </w:tc>
        <w:tc>
          <w:tcPr>
            <w:tcW w:w="1418"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Cooperative mechanism</w:t>
            </w:r>
          </w:p>
        </w:tc>
        <w:tc>
          <w:tcPr>
            <w:tcW w:w="1134"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MPWT (competent authority)</w:t>
            </w:r>
          </w:p>
        </w:tc>
        <w:tc>
          <w:tcPr>
            <w:tcW w:w="2409"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Joint preparedness &amp; response</w:t>
            </w:r>
          </w:p>
        </w:tc>
        <w:tc>
          <w:tcPr>
            <w:tcW w:w="226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Complements national contingency plan (draft).</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ASEAN MoU on Joint Oil Spill Preparedness &amp; Response (2014)</w:t>
            </w:r>
          </w:p>
        </w:tc>
        <w:tc>
          <w:tcPr>
            <w:tcW w:w="1418"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ASEAN mechanism</w:t>
            </w:r>
          </w:p>
        </w:tc>
        <w:tc>
          <w:tcPr>
            <w:tcW w:w="1134"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MPWT</w:t>
            </w:r>
          </w:p>
        </w:tc>
        <w:tc>
          <w:tcPr>
            <w:tcW w:w="2409"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Regional mutual aid and drills</w:t>
            </w:r>
          </w:p>
        </w:tc>
        <w:tc>
          <w:tcPr>
            <w:tcW w:w="226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Supports tiered response readiness.</w:t>
            </w:r>
          </w:p>
        </w:tc>
      </w:tr>
      <w:tr w:rsidR="0098718A" w:rsidRPr="00BF4AA8" w:rsidTr="005F1F5C">
        <w:trPr>
          <w:trHeight w:val="401"/>
        </w:trPr>
        <w:tc>
          <w:tcPr>
            <w:cnfStyle w:val="001000000000" w:firstRow="0" w:lastRow="0" w:firstColumn="1" w:lastColumn="0" w:oddVBand="0" w:evenVBand="0" w:oddHBand="0" w:evenHBand="0" w:firstRowFirstColumn="0" w:firstRowLastColumn="0" w:lastRowFirstColumn="0" w:lastRowLastColumn="0"/>
            <w:tcW w:w="9067" w:type="dxa"/>
            <w:gridSpan w:val="5"/>
            <w:shd w:val="clear" w:color="auto" w:fill="FBE4D5" w:themeFill="accent2" w:themeFillTint="33"/>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C) National Laws &amp; Core Regulations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Code on Environment &amp; Natural Resources</w:t>
            </w:r>
          </w:p>
        </w:tc>
        <w:tc>
          <w:tcPr>
            <w:tcW w:w="1418"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In force (2023)</w:t>
            </w:r>
          </w:p>
        </w:tc>
        <w:tc>
          <w:tcPr>
            <w:tcW w:w="1134"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p>
        </w:tc>
        <w:tc>
          <w:tcPr>
            <w:tcW w:w="2409"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Modernizes EIA/SEA, participation, compliance; cross-sector environmental governance</w:t>
            </w:r>
          </w:p>
        </w:tc>
        <w:tc>
          <w:tcPr>
            <w:tcW w:w="226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Foundational for MSP, marine pollution control, disclosure.</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Law on Fisheries</w:t>
            </w:r>
          </w:p>
        </w:tc>
        <w:tc>
          <w:tcPr>
            <w:tcW w:w="1418"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In force (2006; with later amendment)</w:t>
            </w:r>
          </w:p>
        </w:tc>
        <w:tc>
          <w:tcPr>
            <w:tcW w:w="1134"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MAFF/</w:t>
            </w:r>
            <w:proofErr w:type="spellStart"/>
            <w:r w:rsidRPr="00BF4AA8">
              <w:rPr>
                <w:rFonts w:ascii="Arial" w:hAnsi="Arial" w:cs="Arial"/>
                <w:sz w:val="22"/>
                <w:szCs w:val="22"/>
              </w:rPr>
              <w:t>FiA</w:t>
            </w:r>
            <w:proofErr w:type="spellEnd"/>
          </w:p>
        </w:tc>
        <w:tc>
          <w:tcPr>
            <w:tcW w:w="2409"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Fisheries management; </w:t>
            </w:r>
            <w:proofErr w:type="spellStart"/>
            <w:r w:rsidRPr="00BF4AA8">
              <w:rPr>
                <w:rFonts w:ascii="Arial" w:hAnsi="Arial" w:cs="Arial"/>
                <w:sz w:val="22"/>
                <w:szCs w:val="22"/>
              </w:rPr>
              <w:t>CFis</w:t>
            </w:r>
            <w:proofErr w:type="spellEnd"/>
            <w:r w:rsidRPr="00BF4AA8">
              <w:rPr>
                <w:rFonts w:ascii="Arial" w:hAnsi="Arial" w:cs="Arial"/>
                <w:sz w:val="22"/>
                <w:szCs w:val="22"/>
              </w:rPr>
              <w:t>; MFMAs; enforcement</w:t>
            </w:r>
          </w:p>
        </w:tc>
        <w:tc>
          <w:tcPr>
            <w:tcW w:w="226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Legal basis for MFMA network &amp; co-management.</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Protected Areas Law</w:t>
            </w:r>
          </w:p>
        </w:tc>
        <w:tc>
          <w:tcPr>
            <w:tcW w:w="1418"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In force (2008)</w:t>
            </w:r>
          </w:p>
        </w:tc>
        <w:tc>
          <w:tcPr>
            <w:tcW w:w="1134"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p>
        </w:tc>
        <w:tc>
          <w:tcPr>
            <w:tcW w:w="2409"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PA system, zoning, management</w:t>
            </w:r>
          </w:p>
        </w:tc>
        <w:tc>
          <w:tcPr>
            <w:tcW w:w="226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Applied to Koh Rong MNP &amp; coastal PAs.</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Water Resources Law</w:t>
            </w:r>
          </w:p>
        </w:tc>
        <w:tc>
          <w:tcPr>
            <w:tcW w:w="1418"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In force (2007)</w:t>
            </w:r>
          </w:p>
        </w:tc>
        <w:tc>
          <w:tcPr>
            <w:tcW w:w="1134"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MOWRAM</w:t>
            </w:r>
          </w:p>
        </w:tc>
        <w:tc>
          <w:tcPr>
            <w:tcW w:w="2409"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Basin/IWRM principles affecting land–sea flows</w:t>
            </w:r>
          </w:p>
        </w:tc>
        <w:tc>
          <w:tcPr>
            <w:tcW w:w="226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Links to SDG 6.5.1 progress.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Forestry Law</w:t>
            </w:r>
          </w:p>
        </w:tc>
        <w:tc>
          <w:tcPr>
            <w:tcW w:w="1418"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In force (2002)</w:t>
            </w:r>
          </w:p>
        </w:tc>
        <w:tc>
          <w:tcPr>
            <w:tcW w:w="1134"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MAFF/FA</w:t>
            </w:r>
          </w:p>
        </w:tc>
        <w:tc>
          <w:tcPr>
            <w:tcW w:w="2409"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Mangrove/forest governance</w:t>
            </w:r>
          </w:p>
        </w:tc>
        <w:tc>
          <w:tcPr>
            <w:tcW w:w="226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Relevant to coastal mangrove belts.</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Land Law</w:t>
            </w:r>
          </w:p>
        </w:tc>
        <w:tc>
          <w:tcPr>
            <w:tcW w:w="1418"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In force (2001)</w:t>
            </w:r>
          </w:p>
        </w:tc>
        <w:tc>
          <w:tcPr>
            <w:tcW w:w="1134"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MLMUPC</w:t>
            </w:r>
          </w:p>
        </w:tc>
        <w:tc>
          <w:tcPr>
            <w:tcW w:w="2409"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Tenure/registration incl. coastal lands</w:t>
            </w:r>
          </w:p>
        </w:tc>
        <w:tc>
          <w:tcPr>
            <w:tcW w:w="226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Interface with PA/MFMA zoning &amp; concessions.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Royal Decree – NCCMD</w:t>
            </w:r>
          </w:p>
        </w:tc>
        <w:tc>
          <w:tcPr>
            <w:tcW w:w="1418"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In force (2012)</w:t>
            </w:r>
          </w:p>
        </w:tc>
        <w:tc>
          <w:tcPr>
            <w:tcW w:w="1134"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MLMUPC (Chair)</w:t>
            </w:r>
          </w:p>
        </w:tc>
        <w:tc>
          <w:tcPr>
            <w:tcW w:w="2409"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coastal coordination/ICM</w:t>
            </w:r>
          </w:p>
        </w:tc>
        <w:tc>
          <w:tcPr>
            <w:tcW w:w="226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Sub-decree under preparation to extend to marine waters.</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Royal Decree – NCSD</w:t>
            </w:r>
          </w:p>
        </w:tc>
        <w:tc>
          <w:tcPr>
            <w:tcW w:w="1418"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In force (2015)</w:t>
            </w:r>
          </w:p>
        </w:tc>
        <w:tc>
          <w:tcPr>
            <w:tcW w:w="1134"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NCSD</w:t>
            </w:r>
          </w:p>
        </w:tc>
        <w:tc>
          <w:tcPr>
            <w:tcW w:w="2409"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Cross-gov’t sustainability &amp; reporting</w:t>
            </w:r>
          </w:p>
        </w:tc>
        <w:tc>
          <w:tcPr>
            <w:tcW w:w="226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Coordinates NDC/NBSAP and SDG reporting.</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94"/>
        </w:trPr>
        <w:tc>
          <w:tcPr>
            <w:cnfStyle w:val="001000000000" w:firstRow="0" w:lastRow="0" w:firstColumn="1" w:lastColumn="0" w:oddVBand="0" w:evenVBand="0" w:oddHBand="0" w:evenHBand="0" w:firstRowFirstColumn="0" w:firstRowLastColumn="0" w:lastRowFirstColumn="0" w:lastRowLastColumn="0"/>
            <w:tcW w:w="9067" w:type="dxa"/>
            <w:gridSpan w:val="5"/>
            <w:shd w:val="clear" w:color="auto" w:fill="FBE4D5" w:themeFill="accent2" w:themeFillTint="33"/>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D) Site-Specific Marine/Coastal Instruments (EAFM/MPA)</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Koh Rong Archipelago MFMA</w:t>
            </w:r>
          </w:p>
        </w:tc>
        <w:tc>
          <w:tcPr>
            <w:tcW w:w="1418"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Prakas</w:t>
            </w:r>
            <w:proofErr w:type="spellEnd"/>
            <w:r w:rsidRPr="00BF4AA8">
              <w:rPr>
                <w:rFonts w:ascii="Arial" w:hAnsi="Arial" w:cs="Arial"/>
                <w:sz w:val="22"/>
                <w:szCs w:val="22"/>
              </w:rPr>
              <w:t xml:space="preserve"> No. 364 (2016)</w:t>
            </w:r>
          </w:p>
        </w:tc>
        <w:tc>
          <w:tcPr>
            <w:tcW w:w="1134"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FiA</w:t>
            </w:r>
            <w:proofErr w:type="spellEnd"/>
            <w:r w:rsidRPr="00BF4AA8">
              <w:rPr>
                <w:rFonts w:ascii="Arial" w:hAnsi="Arial" w:cs="Arial"/>
                <w:sz w:val="22"/>
                <w:szCs w:val="22"/>
              </w:rPr>
              <w:t>/MAFF</w:t>
            </w:r>
          </w:p>
        </w:tc>
        <w:tc>
          <w:tcPr>
            <w:tcW w:w="2409"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First large MFMA (~405 km²) around Koh Rong/</w:t>
            </w:r>
            <w:proofErr w:type="spellStart"/>
            <w:r w:rsidRPr="00BF4AA8">
              <w:rPr>
                <w:rFonts w:ascii="Arial" w:hAnsi="Arial" w:cs="Arial"/>
                <w:sz w:val="22"/>
                <w:szCs w:val="22"/>
              </w:rPr>
              <w:t>Samloem</w:t>
            </w:r>
            <w:proofErr w:type="spellEnd"/>
          </w:p>
        </w:tc>
        <w:tc>
          <w:tcPr>
            <w:tcW w:w="226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Co-management; basis for gear/zone controls.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Koh Rong Marine National Park</w:t>
            </w:r>
          </w:p>
        </w:tc>
        <w:tc>
          <w:tcPr>
            <w:tcW w:w="1418"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Sub-Decree No. 14 (2018)</w:t>
            </w:r>
          </w:p>
        </w:tc>
        <w:tc>
          <w:tcPr>
            <w:tcW w:w="1134"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p>
        </w:tc>
        <w:tc>
          <w:tcPr>
            <w:tcW w:w="2409"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52,498 ha (inshore + offshore)</w:t>
            </w:r>
          </w:p>
        </w:tc>
        <w:tc>
          <w:tcPr>
            <w:tcW w:w="226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Active management; METT improving.</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proofErr w:type="spellStart"/>
            <w:r w:rsidRPr="00BF4AA8">
              <w:rPr>
                <w:rFonts w:ascii="Arial" w:hAnsi="Arial" w:cs="Arial"/>
                <w:sz w:val="22"/>
                <w:szCs w:val="22"/>
              </w:rPr>
              <w:t>Kep</w:t>
            </w:r>
            <w:proofErr w:type="spellEnd"/>
            <w:r w:rsidRPr="00BF4AA8">
              <w:rPr>
                <w:rFonts w:ascii="Arial" w:hAnsi="Arial" w:cs="Arial"/>
                <w:sz w:val="22"/>
                <w:szCs w:val="22"/>
              </w:rPr>
              <w:t xml:space="preserve">: Koh Po &amp; Koh </w:t>
            </w:r>
            <w:proofErr w:type="spellStart"/>
            <w:r w:rsidRPr="00BF4AA8">
              <w:rPr>
                <w:rFonts w:ascii="Arial" w:hAnsi="Arial" w:cs="Arial"/>
                <w:sz w:val="22"/>
                <w:szCs w:val="22"/>
              </w:rPr>
              <w:t>Tonsay</w:t>
            </w:r>
            <w:proofErr w:type="spellEnd"/>
            <w:r w:rsidRPr="00BF4AA8">
              <w:rPr>
                <w:rFonts w:ascii="Arial" w:hAnsi="Arial" w:cs="Arial"/>
                <w:sz w:val="22"/>
                <w:szCs w:val="22"/>
              </w:rPr>
              <w:t xml:space="preserve"> MFMA</w:t>
            </w:r>
          </w:p>
        </w:tc>
        <w:tc>
          <w:tcPr>
            <w:tcW w:w="1418"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Prakas</w:t>
            </w:r>
            <w:proofErr w:type="spellEnd"/>
            <w:r w:rsidRPr="00BF4AA8">
              <w:rPr>
                <w:rFonts w:ascii="Arial" w:hAnsi="Arial" w:cs="Arial"/>
                <w:sz w:val="22"/>
                <w:szCs w:val="22"/>
              </w:rPr>
              <w:t xml:space="preserve"> (2018)</w:t>
            </w:r>
          </w:p>
        </w:tc>
        <w:tc>
          <w:tcPr>
            <w:tcW w:w="1134"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FiA</w:t>
            </w:r>
            <w:proofErr w:type="spellEnd"/>
          </w:p>
        </w:tc>
        <w:tc>
          <w:tcPr>
            <w:tcW w:w="2409"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Habitat &amp; fisheries protection</w:t>
            </w:r>
          </w:p>
        </w:tc>
        <w:tc>
          <w:tcPr>
            <w:tcW w:w="226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Supports small-scale fisheries &amp; tourism.</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proofErr w:type="spellStart"/>
            <w:r w:rsidRPr="00BF4AA8">
              <w:rPr>
                <w:rFonts w:ascii="Arial" w:hAnsi="Arial" w:cs="Arial"/>
                <w:sz w:val="22"/>
                <w:szCs w:val="22"/>
              </w:rPr>
              <w:t>Prek</w:t>
            </w:r>
            <w:proofErr w:type="spellEnd"/>
            <w:r w:rsidRPr="00BF4AA8">
              <w:rPr>
                <w:rFonts w:ascii="Arial" w:hAnsi="Arial" w:cs="Arial"/>
                <w:sz w:val="22"/>
                <w:szCs w:val="22"/>
              </w:rPr>
              <w:t xml:space="preserve"> Kampong </w:t>
            </w:r>
            <w:proofErr w:type="spellStart"/>
            <w:r w:rsidRPr="00BF4AA8">
              <w:rPr>
                <w:rFonts w:ascii="Arial" w:hAnsi="Arial" w:cs="Arial"/>
                <w:sz w:val="22"/>
                <w:szCs w:val="22"/>
              </w:rPr>
              <w:t>Smach</w:t>
            </w:r>
            <w:proofErr w:type="spellEnd"/>
            <w:r w:rsidRPr="00BF4AA8">
              <w:rPr>
                <w:rFonts w:ascii="Arial" w:hAnsi="Arial" w:cs="Arial"/>
                <w:sz w:val="22"/>
                <w:szCs w:val="22"/>
              </w:rPr>
              <w:t xml:space="preserve"> MFMA (P. Sihanouk)</w:t>
            </w:r>
          </w:p>
        </w:tc>
        <w:tc>
          <w:tcPr>
            <w:tcW w:w="1418"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Prakas</w:t>
            </w:r>
            <w:proofErr w:type="spellEnd"/>
            <w:r w:rsidRPr="00BF4AA8">
              <w:rPr>
                <w:rFonts w:ascii="Arial" w:hAnsi="Arial" w:cs="Arial"/>
                <w:sz w:val="22"/>
                <w:szCs w:val="22"/>
              </w:rPr>
              <w:t xml:space="preserve"> (2022)</w:t>
            </w:r>
          </w:p>
        </w:tc>
        <w:tc>
          <w:tcPr>
            <w:tcW w:w="1134"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FiA</w:t>
            </w:r>
            <w:proofErr w:type="spellEnd"/>
          </w:p>
        </w:tc>
        <w:tc>
          <w:tcPr>
            <w:tcW w:w="2409"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10,923 ha</w:t>
            </w:r>
          </w:p>
        </w:tc>
        <w:tc>
          <w:tcPr>
            <w:tcW w:w="226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Expands coastal coverage; needs enforcement resourcing.</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proofErr w:type="spellStart"/>
            <w:r w:rsidRPr="00BF4AA8">
              <w:rPr>
                <w:rFonts w:ascii="Arial" w:hAnsi="Arial" w:cs="Arial"/>
                <w:sz w:val="22"/>
                <w:szCs w:val="22"/>
              </w:rPr>
              <w:t>Peam</w:t>
            </w:r>
            <w:proofErr w:type="spellEnd"/>
            <w:r w:rsidRPr="00BF4AA8">
              <w:rPr>
                <w:rFonts w:ascii="Arial" w:hAnsi="Arial" w:cs="Arial"/>
                <w:sz w:val="22"/>
                <w:szCs w:val="22"/>
              </w:rPr>
              <w:t xml:space="preserve"> </w:t>
            </w:r>
            <w:proofErr w:type="spellStart"/>
            <w:r w:rsidRPr="00BF4AA8">
              <w:rPr>
                <w:rFonts w:ascii="Arial" w:hAnsi="Arial" w:cs="Arial"/>
                <w:sz w:val="22"/>
                <w:szCs w:val="22"/>
              </w:rPr>
              <w:t>Krasop</w:t>
            </w:r>
            <w:proofErr w:type="spellEnd"/>
            <w:r w:rsidRPr="00BF4AA8">
              <w:rPr>
                <w:rFonts w:ascii="Arial" w:hAnsi="Arial" w:cs="Arial"/>
                <w:sz w:val="22"/>
                <w:szCs w:val="22"/>
              </w:rPr>
              <w:t xml:space="preserve"> Wildlife Sanctuary zoning</w:t>
            </w:r>
          </w:p>
        </w:tc>
        <w:tc>
          <w:tcPr>
            <w:tcW w:w="1418"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Sub-Decree 179 (2011)</w:t>
            </w:r>
          </w:p>
        </w:tc>
        <w:tc>
          <w:tcPr>
            <w:tcW w:w="1134"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p>
        </w:tc>
        <w:tc>
          <w:tcPr>
            <w:tcW w:w="2409"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Zonation (core, conservation, SUZ, community)</w:t>
            </w:r>
          </w:p>
        </w:tc>
        <w:tc>
          <w:tcPr>
            <w:tcW w:w="226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Mangrove nursery protection and community use.</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 xml:space="preserve">Koh </w:t>
            </w:r>
            <w:proofErr w:type="spellStart"/>
            <w:r w:rsidRPr="00BF4AA8">
              <w:rPr>
                <w:rFonts w:ascii="Arial" w:hAnsi="Arial" w:cs="Arial"/>
                <w:sz w:val="22"/>
                <w:szCs w:val="22"/>
              </w:rPr>
              <w:t>Kapik</w:t>
            </w:r>
            <w:proofErr w:type="spellEnd"/>
            <w:r w:rsidRPr="00BF4AA8">
              <w:rPr>
                <w:rFonts w:ascii="Arial" w:hAnsi="Arial" w:cs="Arial"/>
                <w:sz w:val="22"/>
                <w:szCs w:val="22"/>
              </w:rPr>
              <w:t xml:space="preserve"> &amp; Associated Islets</w:t>
            </w:r>
          </w:p>
        </w:tc>
        <w:tc>
          <w:tcPr>
            <w:tcW w:w="1418"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Ramsar Site (1999)</w:t>
            </w:r>
          </w:p>
        </w:tc>
        <w:tc>
          <w:tcPr>
            <w:tcW w:w="1134"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p>
        </w:tc>
        <w:tc>
          <w:tcPr>
            <w:tcW w:w="2409"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12,000 ha mangrove-delta</w:t>
            </w:r>
          </w:p>
        </w:tc>
        <w:tc>
          <w:tcPr>
            <w:tcW w:w="226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International protection &amp; restoration anchor.</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 xml:space="preserve">Proposed: Koh </w:t>
            </w:r>
            <w:proofErr w:type="spellStart"/>
            <w:r w:rsidRPr="00BF4AA8">
              <w:rPr>
                <w:rFonts w:ascii="Arial" w:hAnsi="Arial" w:cs="Arial"/>
                <w:sz w:val="22"/>
                <w:szCs w:val="22"/>
              </w:rPr>
              <w:t>Sdach</w:t>
            </w:r>
            <w:proofErr w:type="spellEnd"/>
            <w:r w:rsidRPr="00BF4AA8">
              <w:rPr>
                <w:rFonts w:ascii="Arial" w:hAnsi="Arial" w:cs="Arial"/>
                <w:sz w:val="22"/>
                <w:szCs w:val="22"/>
              </w:rPr>
              <w:t xml:space="preserve"> MFMA</w:t>
            </w:r>
          </w:p>
        </w:tc>
        <w:tc>
          <w:tcPr>
            <w:tcW w:w="1418"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In designation process</w:t>
            </w:r>
          </w:p>
        </w:tc>
        <w:tc>
          <w:tcPr>
            <w:tcW w:w="1134"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FiA</w:t>
            </w:r>
            <w:proofErr w:type="spellEnd"/>
            <w:r w:rsidRPr="00BF4AA8">
              <w:rPr>
                <w:rFonts w:ascii="Arial" w:hAnsi="Arial" w:cs="Arial"/>
                <w:sz w:val="22"/>
                <w:szCs w:val="22"/>
              </w:rPr>
              <w:t xml:space="preserve"> + FFI</w:t>
            </w:r>
          </w:p>
        </w:tc>
        <w:tc>
          <w:tcPr>
            <w:tcW w:w="2409"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16,158 ha biodiversity &amp; fishing grounds</w:t>
            </w:r>
          </w:p>
        </w:tc>
        <w:tc>
          <w:tcPr>
            <w:tcW w:w="226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Requires formal gazettal &amp; budget.</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 xml:space="preserve">Proposed: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MFMA</w:t>
            </w:r>
          </w:p>
        </w:tc>
        <w:tc>
          <w:tcPr>
            <w:tcW w:w="1418"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Concept with WEA/MCC/</w:t>
            </w:r>
            <w:proofErr w:type="spellStart"/>
            <w:r w:rsidRPr="00BF4AA8">
              <w:rPr>
                <w:rFonts w:ascii="Arial" w:hAnsi="Arial" w:cs="Arial"/>
                <w:sz w:val="22"/>
                <w:szCs w:val="22"/>
              </w:rPr>
              <w:t>CFis</w:t>
            </w:r>
            <w:proofErr w:type="spellEnd"/>
          </w:p>
        </w:tc>
        <w:tc>
          <w:tcPr>
            <w:tcW w:w="1134"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FiA</w:t>
            </w:r>
            <w:proofErr w:type="spellEnd"/>
            <w:r w:rsidRPr="00BF4AA8">
              <w:rPr>
                <w:rFonts w:ascii="Arial" w:hAnsi="Arial" w:cs="Arial"/>
                <w:sz w:val="22"/>
                <w:szCs w:val="22"/>
              </w:rPr>
              <w:t xml:space="preserve"> + partners</w:t>
            </w:r>
          </w:p>
        </w:tc>
        <w:tc>
          <w:tcPr>
            <w:tcW w:w="2409"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Seagrass, coral, marine mammals</w:t>
            </w:r>
          </w:p>
        </w:tc>
        <w:tc>
          <w:tcPr>
            <w:tcW w:w="226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Threats: reclamation, IUU; proposal under review.</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 xml:space="preserve">Proposed: Koh Kong </w:t>
            </w:r>
            <w:proofErr w:type="spellStart"/>
            <w:r w:rsidRPr="00BF4AA8">
              <w:rPr>
                <w:rFonts w:ascii="Arial" w:hAnsi="Arial" w:cs="Arial"/>
                <w:sz w:val="22"/>
                <w:szCs w:val="22"/>
              </w:rPr>
              <w:t>Krao</w:t>
            </w:r>
            <w:proofErr w:type="spellEnd"/>
            <w:r w:rsidRPr="00BF4AA8">
              <w:rPr>
                <w:rFonts w:ascii="Arial" w:hAnsi="Arial" w:cs="Arial"/>
                <w:sz w:val="22"/>
                <w:szCs w:val="22"/>
              </w:rPr>
              <w:t xml:space="preserve"> MNP</w:t>
            </w:r>
          </w:p>
        </w:tc>
        <w:tc>
          <w:tcPr>
            <w:tcW w:w="1418"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Concept</w:t>
            </w:r>
          </w:p>
        </w:tc>
        <w:tc>
          <w:tcPr>
            <w:tcW w:w="1134"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xml:space="preserve"> + FFI</w:t>
            </w:r>
          </w:p>
        </w:tc>
        <w:tc>
          <w:tcPr>
            <w:tcW w:w="2409"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gramStart"/>
            <w:r w:rsidRPr="00BF4AA8">
              <w:rPr>
                <w:rFonts w:ascii="Arial" w:hAnsi="Arial" w:cs="Arial"/>
                <w:sz w:val="22"/>
                <w:szCs w:val="22"/>
              </w:rPr>
              <w:t>Largest Cambodian island</w:t>
            </w:r>
            <w:proofErr w:type="gramEnd"/>
            <w:r w:rsidRPr="00BF4AA8">
              <w:rPr>
                <w:rFonts w:ascii="Arial" w:hAnsi="Arial" w:cs="Arial"/>
                <w:sz w:val="22"/>
                <w:szCs w:val="22"/>
              </w:rPr>
              <w:t xml:space="preserve"> &amp; coastal complex</w:t>
            </w:r>
          </w:p>
        </w:tc>
        <w:tc>
          <w:tcPr>
            <w:tcW w:w="226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Studies commissioned; progress slow.</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363"/>
        </w:trPr>
        <w:tc>
          <w:tcPr>
            <w:cnfStyle w:val="001000000000" w:firstRow="0" w:lastRow="0" w:firstColumn="1" w:lastColumn="0" w:oddVBand="0" w:evenVBand="0" w:oddHBand="0" w:evenHBand="0" w:firstRowFirstColumn="0" w:firstRowLastColumn="0" w:lastRowFirstColumn="0" w:lastRowLastColumn="0"/>
            <w:tcW w:w="9067" w:type="dxa"/>
            <w:gridSpan w:val="5"/>
            <w:shd w:val="clear" w:color="auto" w:fill="FBE4D5" w:themeFill="accent2" w:themeFillTint="33"/>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E) Policies, Plans &amp; Circulars</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National Protected Area Strategic Management Plan</w:t>
            </w:r>
          </w:p>
        </w:tc>
        <w:tc>
          <w:tcPr>
            <w:tcW w:w="1418"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2017–2031</w:t>
            </w:r>
          </w:p>
        </w:tc>
        <w:tc>
          <w:tcPr>
            <w:tcW w:w="1134"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p>
        </w:tc>
        <w:tc>
          <w:tcPr>
            <w:tcW w:w="2409"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System-wide PA management targets (incl. coastal parks)</w:t>
            </w:r>
          </w:p>
        </w:tc>
        <w:tc>
          <w:tcPr>
            <w:tcW w:w="226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Costed actions; needs sustained financing.</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Strategic Planning Framework for Fisheries (update)</w:t>
            </w:r>
          </w:p>
        </w:tc>
        <w:tc>
          <w:tcPr>
            <w:tcW w:w="1418"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2015–2024</w:t>
            </w:r>
          </w:p>
        </w:tc>
        <w:tc>
          <w:tcPr>
            <w:tcW w:w="1134"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FiA</w:t>
            </w:r>
            <w:proofErr w:type="spellEnd"/>
            <w:r w:rsidRPr="00BF4AA8">
              <w:rPr>
                <w:rFonts w:ascii="Arial" w:hAnsi="Arial" w:cs="Arial"/>
                <w:sz w:val="22"/>
                <w:szCs w:val="22"/>
              </w:rPr>
              <w:t>/MAFF</w:t>
            </w:r>
          </w:p>
        </w:tc>
        <w:tc>
          <w:tcPr>
            <w:tcW w:w="2409"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Sector strategy incl. conservation, </w:t>
            </w:r>
            <w:proofErr w:type="spellStart"/>
            <w:r w:rsidRPr="00BF4AA8">
              <w:rPr>
                <w:rFonts w:ascii="Arial" w:hAnsi="Arial" w:cs="Arial"/>
                <w:sz w:val="22"/>
                <w:szCs w:val="22"/>
              </w:rPr>
              <w:t>CFis</w:t>
            </w:r>
            <w:proofErr w:type="spellEnd"/>
            <w:r w:rsidRPr="00BF4AA8">
              <w:rPr>
                <w:rFonts w:ascii="Arial" w:hAnsi="Arial" w:cs="Arial"/>
                <w:sz w:val="22"/>
                <w:szCs w:val="22"/>
              </w:rPr>
              <w:t>, value chains</w:t>
            </w:r>
          </w:p>
        </w:tc>
        <w:tc>
          <w:tcPr>
            <w:tcW w:w="226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Basis for MFMA rollout &amp; enforcement priorities.</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Action Plan for Sea Turtles</w:t>
            </w:r>
          </w:p>
        </w:tc>
        <w:tc>
          <w:tcPr>
            <w:tcW w:w="1418"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2016–2026</w:t>
            </w:r>
          </w:p>
        </w:tc>
        <w:tc>
          <w:tcPr>
            <w:tcW w:w="1134"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FiA</w:t>
            </w:r>
            <w:proofErr w:type="spellEnd"/>
            <w:r w:rsidRPr="00BF4AA8">
              <w:rPr>
                <w:rFonts w:ascii="Arial" w:hAnsi="Arial" w:cs="Arial"/>
                <w:sz w:val="22"/>
                <w:szCs w:val="22"/>
              </w:rPr>
              <w:t>/partners</w:t>
            </w:r>
          </w:p>
        </w:tc>
        <w:tc>
          <w:tcPr>
            <w:tcW w:w="2409"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Species &amp; habitat protection in coastal waters</w:t>
            </w:r>
          </w:p>
        </w:tc>
        <w:tc>
          <w:tcPr>
            <w:tcW w:w="226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Education, by-catch mitigation.</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Circular No. 01 on Coastal Development</w:t>
            </w:r>
          </w:p>
        </w:tc>
        <w:tc>
          <w:tcPr>
            <w:tcW w:w="1418"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2012</w:t>
            </w:r>
          </w:p>
        </w:tc>
        <w:tc>
          <w:tcPr>
            <w:tcW w:w="1134"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RGC (MLMUPC-led)</w:t>
            </w:r>
          </w:p>
        </w:tc>
        <w:tc>
          <w:tcPr>
            <w:tcW w:w="2409"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Principles for coordinated coastal planning</w:t>
            </w:r>
          </w:p>
        </w:tc>
        <w:tc>
          <w:tcPr>
            <w:tcW w:w="226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Guidance without strong enforcement “teeth.”</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Circular Strategy on Environment</w:t>
            </w:r>
          </w:p>
        </w:tc>
        <w:tc>
          <w:tcPr>
            <w:tcW w:w="1418"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2023–2028</w:t>
            </w:r>
          </w:p>
        </w:tc>
        <w:tc>
          <w:tcPr>
            <w:tcW w:w="1134"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NCSD/</w:t>
            </w:r>
            <w:proofErr w:type="spellStart"/>
            <w:r w:rsidRPr="00BF4AA8">
              <w:rPr>
                <w:rFonts w:ascii="Arial" w:hAnsi="Arial" w:cs="Arial"/>
                <w:sz w:val="22"/>
                <w:szCs w:val="22"/>
              </w:rPr>
              <w:t>MoE</w:t>
            </w:r>
            <w:proofErr w:type="spellEnd"/>
          </w:p>
        </w:tc>
        <w:tc>
          <w:tcPr>
            <w:tcW w:w="2409"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Cross-gov’t environmental priorities; circular economy</w:t>
            </w:r>
          </w:p>
        </w:tc>
        <w:tc>
          <w:tcPr>
            <w:tcW w:w="226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Aligns with Pentagonal Strategy Phase 1.</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Cambodia Climate Change Strategic Plan</w:t>
            </w:r>
          </w:p>
        </w:tc>
        <w:tc>
          <w:tcPr>
            <w:tcW w:w="1418"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2024–2033</w:t>
            </w:r>
          </w:p>
        </w:tc>
        <w:tc>
          <w:tcPr>
            <w:tcW w:w="1134"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NCSD/</w:t>
            </w:r>
            <w:proofErr w:type="spellStart"/>
            <w:r w:rsidRPr="00BF4AA8">
              <w:rPr>
                <w:rFonts w:ascii="Arial" w:hAnsi="Arial" w:cs="Arial"/>
                <w:sz w:val="22"/>
                <w:szCs w:val="22"/>
              </w:rPr>
              <w:t>MoE</w:t>
            </w:r>
            <w:proofErr w:type="spellEnd"/>
          </w:p>
        </w:tc>
        <w:tc>
          <w:tcPr>
            <w:tcW w:w="2409"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Adaptation/mitigation incl. coastal resilience</w:t>
            </w:r>
          </w:p>
        </w:tc>
        <w:tc>
          <w:tcPr>
            <w:tcW w:w="226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Framework for NDC3.0 delivery.</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NDC 3.0</w:t>
            </w:r>
          </w:p>
        </w:tc>
        <w:tc>
          <w:tcPr>
            <w:tcW w:w="1418"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Latest submission</w:t>
            </w:r>
          </w:p>
        </w:tc>
        <w:tc>
          <w:tcPr>
            <w:tcW w:w="1134"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NCSD/</w:t>
            </w:r>
            <w:proofErr w:type="spellStart"/>
            <w:r w:rsidRPr="00BF4AA8">
              <w:rPr>
                <w:rFonts w:ascii="Arial" w:hAnsi="Arial" w:cs="Arial"/>
                <w:sz w:val="22"/>
                <w:szCs w:val="22"/>
              </w:rPr>
              <w:t>MoE</w:t>
            </w:r>
            <w:proofErr w:type="spellEnd"/>
          </w:p>
        </w:tc>
        <w:tc>
          <w:tcPr>
            <w:tcW w:w="2409"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Raises ambition; adaptation for coasts</w:t>
            </w:r>
          </w:p>
        </w:tc>
        <w:tc>
          <w:tcPr>
            <w:tcW w:w="226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Guides finance pipelines (</w:t>
            </w:r>
            <w:proofErr w:type="spellStart"/>
            <w:r w:rsidRPr="00BF4AA8">
              <w:rPr>
                <w:rFonts w:ascii="Arial" w:hAnsi="Arial" w:cs="Arial"/>
                <w:sz w:val="22"/>
                <w:szCs w:val="22"/>
              </w:rPr>
              <w:t>NbS</w:t>
            </w:r>
            <w:proofErr w:type="spellEnd"/>
            <w:r w:rsidRPr="00BF4AA8">
              <w:rPr>
                <w:rFonts w:ascii="Arial" w:hAnsi="Arial" w:cs="Arial"/>
                <w:sz w:val="22"/>
                <w:szCs w:val="22"/>
              </w:rPr>
              <w:t>, wastewater, ports).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Draft Marine Spatial Plan (EEZ)</w:t>
            </w:r>
          </w:p>
        </w:tc>
        <w:tc>
          <w:tcPr>
            <w:tcW w:w="1418"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Drafting stage</w:t>
            </w:r>
          </w:p>
        </w:tc>
        <w:tc>
          <w:tcPr>
            <w:tcW w:w="1134"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xml:space="preserve"> (with NCCMD)</w:t>
            </w:r>
          </w:p>
        </w:tc>
        <w:tc>
          <w:tcPr>
            <w:tcW w:w="2409"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Spatial zoning of uses/pressures</w:t>
            </w:r>
          </w:p>
        </w:tc>
        <w:tc>
          <w:tcPr>
            <w:tcW w:w="226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Referenced in national &amp; PEMSEA reports.</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National Oil-Spill Arrangements &amp; Dispersant Guideline</w:t>
            </w:r>
          </w:p>
        </w:tc>
        <w:tc>
          <w:tcPr>
            <w:tcW w:w="1418"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Drafting stage</w:t>
            </w:r>
          </w:p>
        </w:tc>
        <w:tc>
          <w:tcPr>
            <w:tcW w:w="1134"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MPWT (competent); </w:t>
            </w:r>
            <w:proofErr w:type="spellStart"/>
            <w:r w:rsidRPr="00BF4AA8">
              <w:rPr>
                <w:rFonts w:ascii="Arial" w:hAnsi="Arial" w:cs="Arial"/>
                <w:sz w:val="22"/>
                <w:szCs w:val="22"/>
              </w:rPr>
              <w:t>MoE</w:t>
            </w:r>
            <w:proofErr w:type="spellEnd"/>
          </w:p>
        </w:tc>
        <w:tc>
          <w:tcPr>
            <w:tcW w:w="2409"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Preparedness/response; port reception</w:t>
            </w:r>
          </w:p>
        </w:tc>
        <w:tc>
          <w:tcPr>
            <w:tcW w:w="226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Technical workshops done; formal adoption pending.</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Statement No. 01 – Marine Fisheries Principles</w:t>
            </w:r>
          </w:p>
        </w:tc>
        <w:tc>
          <w:tcPr>
            <w:tcW w:w="1418"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2019</w:t>
            </w:r>
          </w:p>
        </w:tc>
        <w:tc>
          <w:tcPr>
            <w:tcW w:w="1134"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RGC</w:t>
            </w:r>
          </w:p>
        </w:tc>
        <w:tc>
          <w:tcPr>
            <w:tcW w:w="2409"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Vision for sustainable small-scale fisheries</w:t>
            </w:r>
          </w:p>
        </w:tc>
        <w:tc>
          <w:tcPr>
            <w:tcW w:w="226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Policy signal for MFMA and equity focus.</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b w:val="0"/>
                <w:bCs w:val="0"/>
                <w:sz w:val="22"/>
                <w:szCs w:val="22"/>
              </w:rPr>
            </w:pPr>
            <w:r w:rsidRPr="00BF4AA8">
              <w:rPr>
                <w:rStyle w:val="Strong"/>
                <w:rFonts w:ascii="Arial" w:hAnsi="Arial" w:cs="Arial"/>
                <w:b/>
                <w:bCs/>
                <w:sz w:val="22"/>
                <w:szCs w:val="22"/>
              </w:rPr>
              <w:t>Sub-Decree on Water Pollution Control (No. 27)</w:t>
            </w:r>
          </w:p>
        </w:tc>
        <w:tc>
          <w:tcPr>
            <w:tcW w:w="141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1999</w:t>
            </w:r>
          </w:p>
        </w:tc>
        <w:tc>
          <w:tcPr>
            <w:tcW w:w="1134"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p>
        </w:tc>
        <w:tc>
          <w:tcPr>
            <w:tcW w:w="2409"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Establishes discharge standards, permitting and monitoring requirements for wastewater and effluent</w:t>
            </w:r>
          </w:p>
        </w:tc>
        <w:tc>
          <w:tcPr>
            <w:tcW w:w="226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Foundational instrument for controlling industrial, </w:t>
            </w:r>
            <w:proofErr w:type="gramStart"/>
            <w:r w:rsidRPr="00BF4AA8">
              <w:rPr>
                <w:rFonts w:ascii="Arial" w:hAnsi="Arial" w:cs="Arial"/>
                <w:sz w:val="22"/>
                <w:szCs w:val="22"/>
              </w:rPr>
              <w:t>municipal</w:t>
            </w:r>
            <w:proofErr w:type="gramEnd"/>
            <w:r w:rsidRPr="00BF4AA8">
              <w:rPr>
                <w:rFonts w:ascii="Arial" w:hAnsi="Arial" w:cs="Arial"/>
                <w:sz w:val="22"/>
                <w:szCs w:val="22"/>
              </w:rPr>
              <w:t xml:space="preserve"> and port-related discharges; enforcement capacity remains uneven.</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Style w:val="Strong"/>
                <w:rFonts w:ascii="Arial" w:hAnsi="Arial" w:cs="Arial"/>
                <w:sz w:val="22"/>
                <w:szCs w:val="22"/>
              </w:rPr>
              <w:t>Sub-Decree on Solid Waste Management (No. 113)</w:t>
            </w:r>
          </w:p>
        </w:tc>
        <w:tc>
          <w:tcPr>
            <w:tcW w:w="141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2015</w:t>
            </w:r>
          </w:p>
        </w:tc>
        <w:tc>
          <w:tcPr>
            <w:tcW w:w="1134"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p>
        </w:tc>
        <w:tc>
          <w:tcPr>
            <w:tcW w:w="2409"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Regulates solid waste generation, collection, </w:t>
            </w:r>
            <w:proofErr w:type="gramStart"/>
            <w:r w:rsidRPr="00BF4AA8">
              <w:rPr>
                <w:rFonts w:ascii="Arial" w:hAnsi="Arial" w:cs="Arial"/>
                <w:sz w:val="22"/>
                <w:szCs w:val="22"/>
              </w:rPr>
              <w:t>transport</w:t>
            </w:r>
            <w:proofErr w:type="gramEnd"/>
            <w:r w:rsidRPr="00BF4AA8">
              <w:rPr>
                <w:rFonts w:ascii="Arial" w:hAnsi="Arial" w:cs="Arial"/>
                <w:sz w:val="22"/>
                <w:szCs w:val="22"/>
              </w:rPr>
              <w:t xml:space="preserve"> and disposal</w:t>
            </w:r>
          </w:p>
        </w:tc>
        <w:tc>
          <w:tcPr>
            <w:tcW w:w="226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Provides legal basis for municipal and industrial waste management; challenges persist in coastal towns and tourism areas.</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Style w:val="Strong"/>
                <w:rFonts w:ascii="Arial" w:hAnsi="Arial" w:cs="Arial"/>
                <w:sz w:val="22"/>
                <w:szCs w:val="22"/>
              </w:rPr>
              <w:t>National Policy on Waste Management</w:t>
            </w:r>
          </w:p>
        </w:tc>
        <w:tc>
          <w:tcPr>
            <w:tcW w:w="141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2018</w:t>
            </w:r>
          </w:p>
        </w:tc>
        <w:tc>
          <w:tcPr>
            <w:tcW w:w="1134"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p>
        </w:tc>
        <w:tc>
          <w:tcPr>
            <w:tcW w:w="2409"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Sets national direction for integrated solid waste management</w:t>
            </w:r>
          </w:p>
        </w:tc>
        <w:tc>
          <w:tcPr>
            <w:tcW w:w="226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Supports improved collection, </w:t>
            </w:r>
            <w:proofErr w:type="gramStart"/>
            <w:r w:rsidRPr="00BF4AA8">
              <w:rPr>
                <w:rFonts w:ascii="Arial" w:hAnsi="Arial" w:cs="Arial"/>
                <w:sz w:val="22"/>
                <w:szCs w:val="22"/>
              </w:rPr>
              <w:t>disposal</w:t>
            </w:r>
            <w:proofErr w:type="gramEnd"/>
            <w:r w:rsidRPr="00BF4AA8">
              <w:rPr>
                <w:rFonts w:ascii="Arial" w:hAnsi="Arial" w:cs="Arial"/>
                <w:sz w:val="22"/>
                <w:szCs w:val="22"/>
              </w:rPr>
              <w:t xml:space="preserve"> and reduction of leakage to rivers and coastal waters.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Style w:val="Strong"/>
                <w:rFonts w:ascii="Arial" w:hAnsi="Arial" w:cs="Arial"/>
                <w:sz w:val="22"/>
                <w:szCs w:val="22"/>
              </w:rPr>
              <w:t>National Action Plan for Marine Plastic Waste Management</w:t>
            </w:r>
          </w:p>
        </w:tc>
        <w:tc>
          <w:tcPr>
            <w:tcW w:w="141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2023–2030</w:t>
            </w:r>
          </w:p>
        </w:tc>
        <w:tc>
          <w:tcPr>
            <w:tcW w:w="1134"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 xml:space="preserve"> / NCSD</w:t>
            </w:r>
          </w:p>
        </w:tc>
        <w:tc>
          <w:tcPr>
            <w:tcW w:w="2409"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Targets reduction of plastic leakage into marine and coastal environments</w:t>
            </w:r>
          </w:p>
        </w:tc>
        <w:tc>
          <w:tcPr>
            <w:tcW w:w="226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Emphasises</w:t>
            </w:r>
            <w:proofErr w:type="spellEnd"/>
            <w:r w:rsidRPr="00BF4AA8">
              <w:rPr>
                <w:rFonts w:ascii="Arial" w:hAnsi="Arial" w:cs="Arial"/>
                <w:sz w:val="22"/>
                <w:szCs w:val="22"/>
              </w:rPr>
              <w:t xml:space="preserve"> source reduction, awareness, </w:t>
            </w:r>
            <w:proofErr w:type="gramStart"/>
            <w:r w:rsidRPr="00BF4AA8">
              <w:rPr>
                <w:rFonts w:ascii="Arial" w:hAnsi="Arial" w:cs="Arial"/>
                <w:sz w:val="22"/>
                <w:szCs w:val="22"/>
              </w:rPr>
              <w:t>recycling</w:t>
            </w:r>
            <w:proofErr w:type="gramEnd"/>
            <w:r w:rsidRPr="00BF4AA8">
              <w:rPr>
                <w:rFonts w:ascii="Arial" w:hAnsi="Arial" w:cs="Arial"/>
                <w:sz w:val="22"/>
                <w:szCs w:val="22"/>
              </w:rPr>
              <w:t xml:space="preserve"> and inter-agency coordination; aligns with regional marine debris initiatives.</w:t>
            </w:r>
          </w:p>
        </w:tc>
      </w:tr>
      <w:tr w:rsidR="0098718A" w:rsidRPr="00BF4AA8" w:rsidTr="005F1F5C">
        <w:trPr>
          <w:trHeight w:val="434"/>
        </w:trPr>
        <w:tc>
          <w:tcPr>
            <w:cnfStyle w:val="001000000000" w:firstRow="0" w:lastRow="0" w:firstColumn="1" w:lastColumn="0" w:oddVBand="0" w:evenVBand="0" w:oddHBand="0" w:evenHBand="0" w:firstRowFirstColumn="0" w:firstRowLastColumn="0" w:lastRowFirstColumn="0" w:lastRowLastColumn="0"/>
            <w:tcW w:w="9067" w:type="dxa"/>
            <w:gridSpan w:val="5"/>
            <w:shd w:val="clear" w:color="auto" w:fill="FBE4D5" w:themeFill="accent2" w:themeFillTint="33"/>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F) Data Systems, Monitoring &amp; SDG Governance Indicators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proofErr w:type="spellStart"/>
            <w:r w:rsidRPr="00BF4AA8">
              <w:rPr>
                <w:rFonts w:ascii="Arial" w:hAnsi="Arial" w:cs="Arial"/>
                <w:sz w:val="22"/>
                <w:szCs w:val="22"/>
              </w:rPr>
              <w:t>FiA</w:t>
            </w:r>
            <w:proofErr w:type="spellEnd"/>
            <w:r w:rsidRPr="00BF4AA8">
              <w:rPr>
                <w:rFonts w:ascii="Arial" w:hAnsi="Arial" w:cs="Arial"/>
                <w:sz w:val="22"/>
                <w:szCs w:val="22"/>
              </w:rPr>
              <w:t xml:space="preserve"> Marine Catch Monitoring (landing sites)</w:t>
            </w:r>
          </w:p>
        </w:tc>
        <w:tc>
          <w:tcPr>
            <w:tcW w:w="1418"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Operational since 2021</w:t>
            </w:r>
          </w:p>
        </w:tc>
        <w:tc>
          <w:tcPr>
            <w:tcW w:w="1134"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FiA</w:t>
            </w:r>
            <w:proofErr w:type="spellEnd"/>
            <w:r w:rsidRPr="00BF4AA8">
              <w:rPr>
                <w:rFonts w:ascii="Arial" w:hAnsi="Arial" w:cs="Arial"/>
                <w:sz w:val="22"/>
                <w:szCs w:val="22"/>
              </w:rPr>
              <w:t>/MAFF</w:t>
            </w:r>
          </w:p>
        </w:tc>
        <w:tc>
          <w:tcPr>
            <w:tcW w:w="2409"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Monthly CPUE, effort, species, value for </w:t>
            </w:r>
            <w:proofErr w:type="spellStart"/>
            <w:r w:rsidRPr="00BF4AA8">
              <w:rPr>
                <w:rFonts w:ascii="Arial" w:hAnsi="Arial" w:cs="Arial"/>
                <w:sz w:val="22"/>
                <w:szCs w:val="22"/>
              </w:rPr>
              <w:t>Kampot</w:t>
            </w:r>
            <w:proofErr w:type="spellEnd"/>
            <w:r w:rsidRPr="00BF4AA8">
              <w:rPr>
                <w:rFonts w:ascii="Arial" w:hAnsi="Arial" w:cs="Arial"/>
                <w:sz w:val="22"/>
                <w:szCs w:val="22"/>
              </w:rPr>
              <w:t xml:space="preserve">, </w:t>
            </w:r>
            <w:proofErr w:type="spellStart"/>
            <w:r w:rsidRPr="00BF4AA8">
              <w:rPr>
                <w:rFonts w:ascii="Arial" w:hAnsi="Arial" w:cs="Arial"/>
                <w:sz w:val="22"/>
                <w:szCs w:val="22"/>
              </w:rPr>
              <w:t>Kep</w:t>
            </w:r>
            <w:proofErr w:type="spellEnd"/>
            <w:r w:rsidRPr="00BF4AA8">
              <w:rPr>
                <w:rFonts w:ascii="Arial" w:hAnsi="Arial" w:cs="Arial"/>
                <w:sz w:val="22"/>
                <w:szCs w:val="22"/>
              </w:rPr>
              <w:t>, Koh Kong, Preah Sihanouk</w:t>
            </w:r>
          </w:p>
        </w:tc>
        <w:tc>
          <w:tcPr>
            <w:tcW w:w="226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Inputs to EAFM, stock assessments, MFMA zoning.</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SDG 14.6.1 (IUU instruments)</w:t>
            </w:r>
          </w:p>
        </w:tc>
        <w:tc>
          <w:tcPr>
            <w:tcW w:w="1418"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FAO scoring</w:t>
            </w:r>
          </w:p>
        </w:tc>
        <w:tc>
          <w:tcPr>
            <w:tcW w:w="1134"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FiA</w:t>
            </w:r>
            <w:proofErr w:type="spellEnd"/>
            <w:r w:rsidRPr="00BF4AA8">
              <w:rPr>
                <w:rFonts w:ascii="Arial" w:hAnsi="Arial" w:cs="Arial"/>
                <w:sz w:val="22"/>
                <w:szCs w:val="22"/>
              </w:rPr>
              <w:t xml:space="preserve">/MAFF, </w:t>
            </w:r>
            <w:proofErr w:type="spellStart"/>
            <w:r w:rsidRPr="00BF4AA8">
              <w:rPr>
                <w:rFonts w:ascii="Arial" w:hAnsi="Arial" w:cs="Arial"/>
                <w:sz w:val="22"/>
                <w:szCs w:val="22"/>
              </w:rPr>
              <w:t>MoJ</w:t>
            </w:r>
            <w:proofErr w:type="spellEnd"/>
            <w:r w:rsidRPr="00BF4AA8">
              <w:rPr>
                <w:rFonts w:ascii="Arial" w:hAnsi="Arial" w:cs="Arial"/>
                <w:sz w:val="22"/>
                <w:szCs w:val="22"/>
              </w:rPr>
              <w:t>, Navy/NCMS</w:t>
            </w:r>
          </w:p>
        </w:tc>
        <w:tc>
          <w:tcPr>
            <w:tcW w:w="2409"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Tracks adoption/enforcement of IUU tools</w:t>
            </w:r>
          </w:p>
        </w:tc>
        <w:tc>
          <w:tcPr>
            <w:tcW w:w="226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Use FAO portal &amp; UN metadata bands 1–5.</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SDG 14.2.1 (Ecosystem-based approaches)</w:t>
            </w:r>
          </w:p>
        </w:tc>
        <w:tc>
          <w:tcPr>
            <w:tcW w:w="1418"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Qualitative evidence</w:t>
            </w:r>
          </w:p>
        </w:tc>
        <w:tc>
          <w:tcPr>
            <w:tcW w:w="1134" w:type="dxa"/>
            <w:vAlign w:val="center"/>
          </w:tcPr>
          <w:p w:rsidR="0098718A" w:rsidRPr="00BF4AA8" w:rsidRDefault="0098718A" w:rsidP="005F1F5C">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w:t>
            </w:r>
            <w:proofErr w:type="spellStart"/>
            <w:r w:rsidRPr="00BF4AA8">
              <w:rPr>
                <w:rFonts w:ascii="Arial" w:hAnsi="Arial" w:cs="Arial"/>
                <w:sz w:val="22"/>
                <w:szCs w:val="22"/>
              </w:rPr>
              <w:t>FiA</w:t>
            </w:r>
            <w:proofErr w:type="spellEnd"/>
            <w:r w:rsidRPr="00BF4AA8">
              <w:rPr>
                <w:rFonts w:ascii="Arial" w:hAnsi="Arial" w:cs="Arial"/>
                <w:sz w:val="22"/>
                <w:szCs w:val="22"/>
              </w:rPr>
              <w:t>/NCCMD</w:t>
            </w:r>
          </w:p>
        </w:tc>
        <w:tc>
          <w:tcPr>
            <w:tcW w:w="2409"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Recognizes EAFM/MPAs/ICM as EBAs</w:t>
            </w:r>
          </w:p>
        </w:tc>
        <w:tc>
          <w:tcPr>
            <w:tcW w:w="2268" w:type="dxa"/>
            <w:vAlign w:val="center"/>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Aggregate from MFMA/PA/ICM instruments.</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838" w:type="dxa"/>
            <w:vAlign w:val="center"/>
          </w:tcPr>
          <w:p w:rsidR="0098718A" w:rsidRPr="00BF4AA8" w:rsidRDefault="0098718A" w:rsidP="005F1F5C">
            <w:pPr>
              <w:rPr>
                <w:rFonts w:ascii="Arial" w:hAnsi="Arial" w:cs="Arial"/>
                <w:sz w:val="22"/>
                <w:szCs w:val="22"/>
              </w:rPr>
            </w:pPr>
            <w:r w:rsidRPr="00BF4AA8">
              <w:rPr>
                <w:rFonts w:ascii="Arial" w:hAnsi="Arial" w:cs="Arial"/>
                <w:sz w:val="22"/>
                <w:szCs w:val="22"/>
              </w:rPr>
              <w:t>SDG 6.5.1 / 6.5.2 (IWRM &amp; transboundary)</w:t>
            </w:r>
          </w:p>
        </w:tc>
        <w:tc>
          <w:tcPr>
            <w:tcW w:w="1418"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62% (2023) / 98% coverage</w:t>
            </w:r>
          </w:p>
        </w:tc>
        <w:tc>
          <w:tcPr>
            <w:tcW w:w="1134" w:type="dxa"/>
            <w:vAlign w:val="center"/>
          </w:tcPr>
          <w:p w:rsidR="0098718A" w:rsidRPr="00BF4AA8" w:rsidRDefault="0098718A" w:rsidP="005F1F5C">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MOWRAM/NCSD</w:t>
            </w:r>
          </w:p>
        </w:tc>
        <w:tc>
          <w:tcPr>
            <w:tcW w:w="2409"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Land–sea planning, Mekong cooperation</w:t>
            </w:r>
          </w:p>
        </w:tc>
        <w:tc>
          <w:tcPr>
            <w:tcW w:w="2268" w:type="dxa"/>
            <w:vAlign w:val="center"/>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Indicates enabling environment but finance/capacity gaps.</w:t>
            </w:r>
          </w:p>
        </w:tc>
      </w:tr>
    </w:tbl>
    <w:p w:rsidR="0098718A" w:rsidRPr="00BF4AA8" w:rsidRDefault="0098718A" w:rsidP="00BF4AA8">
      <w:pPr>
        <w:pStyle w:val="TOCHeading"/>
      </w:pPr>
      <w:r w:rsidRPr="00BF4AA8">
        <w:t>D. Civil Society, Stakeholders and Participation</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This annex </w:t>
      </w:r>
      <w:proofErr w:type="spellStart"/>
      <w:r w:rsidRPr="00BF4AA8">
        <w:rPr>
          <w:rFonts w:ascii="Arial" w:hAnsi="Arial" w:cs="Arial"/>
          <w:sz w:val="22"/>
          <w:szCs w:val="22"/>
        </w:rPr>
        <w:t>synthesises</w:t>
      </w:r>
      <w:proofErr w:type="spellEnd"/>
      <w:r w:rsidRPr="00BF4AA8">
        <w:rPr>
          <w:rFonts w:ascii="Arial" w:hAnsi="Arial" w:cs="Arial"/>
          <w:sz w:val="22"/>
          <w:szCs w:val="22"/>
        </w:rPr>
        <w:t xml:space="preserve"> the roles and contributions of civil society </w:t>
      </w:r>
      <w:proofErr w:type="spellStart"/>
      <w:r w:rsidRPr="00BF4AA8">
        <w:rPr>
          <w:rFonts w:ascii="Arial" w:hAnsi="Arial" w:cs="Arial"/>
          <w:sz w:val="22"/>
          <w:szCs w:val="22"/>
        </w:rPr>
        <w:t>organisations</w:t>
      </w:r>
      <w:proofErr w:type="spellEnd"/>
      <w:r w:rsidRPr="00BF4AA8">
        <w:rPr>
          <w:rFonts w:ascii="Arial" w:hAnsi="Arial" w:cs="Arial"/>
          <w:sz w:val="22"/>
          <w:szCs w:val="22"/>
        </w:rPr>
        <w:t xml:space="preserve">, community groups, and other stakeholders in coastal and marine governance. It draws on NGO conservation program documents (FFI, MCC, WEA, WCS, IUCN), co-management agreements, SMART/Kobo field monitoring, and participation records from PCCMD, </w:t>
      </w:r>
      <w:proofErr w:type="spellStart"/>
      <w:r w:rsidRPr="00BF4AA8">
        <w:rPr>
          <w:rFonts w:ascii="Arial" w:hAnsi="Arial" w:cs="Arial"/>
          <w:sz w:val="22"/>
          <w:szCs w:val="22"/>
        </w:rPr>
        <w:t>FiA</w:t>
      </w:r>
      <w:proofErr w:type="spellEnd"/>
      <w:r w:rsidRPr="00BF4AA8">
        <w:rPr>
          <w:rFonts w:ascii="Arial" w:hAnsi="Arial" w:cs="Arial"/>
          <w:sz w:val="22"/>
          <w:szCs w:val="22"/>
        </w:rPr>
        <w:t xml:space="preserve">, and </w:t>
      </w:r>
      <w:proofErr w:type="spellStart"/>
      <w:r w:rsidRPr="00BF4AA8">
        <w:rPr>
          <w:rFonts w:ascii="Arial" w:hAnsi="Arial" w:cs="Arial"/>
          <w:sz w:val="22"/>
          <w:szCs w:val="22"/>
        </w:rPr>
        <w:t>MoE</w:t>
      </w:r>
      <w:proofErr w:type="spellEnd"/>
      <w:r w:rsidRPr="00BF4AA8">
        <w:rPr>
          <w:rFonts w:ascii="Arial" w:hAnsi="Arial" w:cs="Arial"/>
          <w:sz w:val="22"/>
          <w:szCs w:val="22"/>
        </w:rPr>
        <w:t xml:space="preserve"> processes.</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The analysis assesses the </w:t>
      </w:r>
      <w:r w:rsidRPr="00BF4AA8">
        <w:rPr>
          <w:rStyle w:val="Strong"/>
          <w:rFonts w:ascii="Arial" w:hAnsi="Arial" w:cs="Arial"/>
          <w:sz w:val="22"/>
          <w:szCs w:val="22"/>
        </w:rPr>
        <w:t>breadth and depth of engagement</w:t>
      </w:r>
      <w:r w:rsidRPr="00BF4AA8">
        <w:rPr>
          <w:rFonts w:ascii="Arial" w:hAnsi="Arial" w:cs="Arial"/>
          <w:sz w:val="22"/>
          <w:szCs w:val="22"/>
        </w:rPr>
        <w:t xml:space="preserve">, mapping how many actors are involved, in what capacity, and with what degree of influence over planning and enforcement. Special attention </w:t>
      </w:r>
      <w:proofErr w:type="gramStart"/>
      <w:r w:rsidRPr="00BF4AA8">
        <w:rPr>
          <w:rFonts w:ascii="Arial" w:hAnsi="Arial" w:cs="Arial"/>
          <w:sz w:val="22"/>
          <w:szCs w:val="22"/>
        </w:rPr>
        <w:t>is paid</w:t>
      </w:r>
      <w:proofErr w:type="gramEnd"/>
      <w:r w:rsidRPr="00BF4AA8">
        <w:rPr>
          <w:rFonts w:ascii="Arial" w:hAnsi="Arial" w:cs="Arial"/>
          <w:sz w:val="22"/>
          <w:szCs w:val="22"/>
        </w:rPr>
        <w:t xml:space="preserve"> to </w:t>
      </w:r>
      <w:r w:rsidRPr="00BF4AA8">
        <w:rPr>
          <w:rStyle w:val="Strong"/>
          <w:rFonts w:ascii="Arial" w:hAnsi="Arial" w:cs="Arial"/>
          <w:sz w:val="22"/>
          <w:szCs w:val="22"/>
        </w:rPr>
        <w:t>inclusion and social equity</w:t>
      </w:r>
      <w:r w:rsidRPr="00BF4AA8">
        <w:rPr>
          <w:rFonts w:ascii="Arial" w:hAnsi="Arial" w:cs="Arial"/>
          <w:sz w:val="22"/>
          <w:szCs w:val="22"/>
        </w:rPr>
        <w:t>—specifically, the extent to which women, youth, Indigenous people, and marginalized households participate in marine resource decision-making.</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The annex evaluates the functioning of co-management structures (</w:t>
      </w:r>
      <w:proofErr w:type="spellStart"/>
      <w:r w:rsidRPr="00BF4AA8">
        <w:rPr>
          <w:rFonts w:ascii="Arial" w:hAnsi="Arial" w:cs="Arial"/>
          <w:sz w:val="22"/>
          <w:szCs w:val="22"/>
        </w:rPr>
        <w:t>CFi</w:t>
      </w:r>
      <w:proofErr w:type="spellEnd"/>
      <w:r w:rsidRPr="00BF4AA8">
        <w:rPr>
          <w:rFonts w:ascii="Arial" w:hAnsi="Arial" w:cs="Arial"/>
          <w:sz w:val="22"/>
          <w:szCs w:val="22"/>
        </w:rPr>
        <w:t xml:space="preserve">, CPA, MFMA committees), their geographic coverage, resourcing, and effectiveness in improving compliance and stewardship. It also reviews the presence of grievance mechanisms, benefit-sharing arrangements, and transparency practices, all of which are critical for building legitimacy and trust. Finally, it checks for evidence of </w:t>
      </w:r>
      <w:proofErr w:type="spellStart"/>
      <w:r w:rsidRPr="00BF4AA8">
        <w:rPr>
          <w:rFonts w:ascii="Arial" w:hAnsi="Arial" w:cs="Arial"/>
          <w:sz w:val="22"/>
          <w:szCs w:val="22"/>
        </w:rPr>
        <w:t>behavioural</w:t>
      </w:r>
      <w:proofErr w:type="spellEnd"/>
      <w:r w:rsidRPr="00BF4AA8">
        <w:rPr>
          <w:rFonts w:ascii="Arial" w:hAnsi="Arial" w:cs="Arial"/>
          <w:sz w:val="22"/>
          <w:szCs w:val="22"/>
        </w:rPr>
        <w:t xml:space="preserve"> change, such as improved compliance, reduced destructive fishing, or adoption of sustainable practices.</w:t>
      </w:r>
    </w:p>
    <w:p w:rsidR="0098718A" w:rsidRPr="00BF4AA8" w:rsidRDefault="0098718A" w:rsidP="0098718A">
      <w:pPr>
        <w:pStyle w:val="Caption"/>
        <w:keepNext/>
        <w:rPr>
          <w:rFonts w:ascii="Arial" w:hAnsi="Arial" w:cs="Arial"/>
          <w:color w:val="002060"/>
          <w:sz w:val="22"/>
          <w:szCs w:val="22"/>
        </w:rPr>
      </w:pPr>
      <w:r w:rsidRPr="00BF4AA8">
        <w:rPr>
          <w:rFonts w:ascii="Arial" w:hAnsi="Arial" w:cs="Arial"/>
          <w:color w:val="002060"/>
          <w:sz w:val="22"/>
          <w:szCs w:val="22"/>
        </w:rPr>
        <w:t>Annex Table 6-</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Annex_Table_6-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7</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Stakeholder participation: data sources, metadata, and assessment method</w:t>
      </w:r>
    </w:p>
    <w:tbl>
      <w:tblPr>
        <w:tblStyle w:val="GridTable4-Accent5"/>
        <w:tblW w:w="0" w:type="auto"/>
        <w:tblLook w:val="04A0" w:firstRow="1" w:lastRow="0" w:firstColumn="1" w:lastColumn="0" w:noHBand="0" w:noVBand="1"/>
      </w:tblPr>
      <w:tblGrid>
        <w:gridCol w:w="1939"/>
        <w:gridCol w:w="6549"/>
      </w:tblGrid>
      <w:tr w:rsidR="0098718A"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8718A" w:rsidRPr="00BF4AA8" w:rsidRDefault="0098718A" w:rsidP="005F1F5C">
            <w:pPr>
              <w:jc w:val="center"/>
              <w:rPr>
                <w:rFonts w:ascii="Arial" w:hAnsi="Arial" w:cs="Arial"/>
                <w:sz w:val="22"/>
                <w:szCs w:val="22"/>
              </w:rPr>
            </w:pPr>
            <w:r w:rsidRPr="00BF4AA8">
              <w:rPr>
                <w:rStyle w:val="Strong"/>
                <w:rFonts w:ascii="Arial" w:hAnsi="Arial" w:cs="Arial"/>
                <w:sz w:val="22"/>
                <w:szCs w:val="22"/>
              </w:rPr>
              <w:t>Category</w:t>
            </w:r>
          </w:p>
        </w:tc>
        <w:tc>
          <w:tcPr>
            <w:tcW w:w="0" w:type="auto"/>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Details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8718A" w:rsidRPr="00BF4AA8" w:rsidRDefault="0098718A" w:rsidP="005F1F5C">
            <w:pPr>
              <w:rPr>
                <w:rFonts w:ascii="Arial" w:hAnsi="Arial" w:cs="Arial"/>
                <w:b w:val="0"/>
                <w:bCs w:val="0"/>
                <w:sz w:val="22"/>
                <w:szCs w:val="22"/>
              </w:rPr>
            </w:pPr>
            <w:r w:rsidRPr="00BF4AA8">
              <w:rPr>
                <w:rStyle w:val="Strong"/>
                <w:rFonts w:ascii="Arial" w:hAnsi="Arial" w:cs="Arial"/>
                <w:sz w:val="22"/>
                <w:szCs w:val="22"/>
              </w:rPr>
              <w:t>Data Sources</w:t>
            </w:r>
          </w:p>
        </w:tc>
        <w:tc>
          <w:tcPr>
            <w:tcW w:w="0" w:type="auto"/>
            <w:hideMark/>
          </w:tcPr>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NGO programs (FFI, MCC, WEA, WCS; IUCN)</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Co-management agreements and CPA/</w:t>
            </w:r>
            <w:proofErr w:type="spellStart"/>
            <w:r w:rsidRPr="00BF4AA8">
              <w:rPr>
                <w:rFonts w:ascii="Arial" w:hAnsi="Arial" w:cs="Arial"/>
                <w:sz w:val="22"/>
                <w:szCs w:val="22"/>
              </w:rPr>
              <w:t>CFi</w:t>
            </w:r>
            <w:proofErr w:type="spellEnd"/>
            <w:r w:rsidRPr="00BF4AA8">
              <w:rPr>
                <w:rFonts w:ascii="Arial" w:hAnsi="Arial" w:cs="Arial"/>
                <w:sz w:val="22"/>
                <w:szCs w:val="22"/>
              </w:rPr>
              <w:t xml:space="preserve"> by-laws</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SMART/Kobo monitoring datasets</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Public awareness programs (</w:t>
            </w:r>
            <w:proofErr w:type="spellStart"/>
            <w:r w:rsidRPr="00BF4AA8">
              <w:rPr>
                <w:rFonts w:ascii="Arial" w:hAnsi="Arial" w:cs="Arial"/>
                <w:sz w:val="22"/>
                <w:szCs w:val="22"/>
              </w:rPr>
              <w:t>MoE</w:t>
            </w:r>
            <w:proofErr w:type="spellEnd"/>
            <w:r w:rsidRPr="00BF4AA8">
              <w:rPr>
                <w:rFonts w:ascii="Arial" w:hAnsi="Arial" w:cs="Arial"/>
                <w:sz w:val="22"/>
                <w:szCs w:val="22"/>
              </w:rPr>
              <w:t xml:space="preserve">, UN-PAGE) </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PCCMD/</w:t>
            </w:r>
            <w:proofErr w:type="spellStart"/>
            <w:r w:rsidRPr="00BF4AA8">
              <w:rPr>
                <w:rFonts w:ascii="Arial" w:hAnsi="Arial" w:cs="Arial"/>
                <w:sz w:val="22"/>
                <w:szCs w:val="22"/>
              </w:rPr>
              <w:t>FiA</w:t>
            </w:r>
            <w:proofErr w:type="spellEnd"/>
            <w:r w:rsidRPr="00BF4AA8">
              <w:rPr>
                <w:rFonts w:ascii="Arial" w:hAnsi="Arial" w:cs="Arial"/>
                <w:sz w:val="22"/>
                <w:szCs w:val="22"/>
              </w:rPr>
              <w:t>/</w:t>
            </w:r>
            <w:proofErr w:type="spellStart"/>
            <w:r w:rsidRPr="00BF4AA8">
              <w:rPr>
                <w:rFonts w:ascii="Arial" w:hAnsi="Arial" w:cs="Arial"/>
                <w:sz w:val="22"/>
                <w:szCs w:val="22"/>
              </w:rPr>
              <w:t>MoE</w:t>
            </w:r>
            <w:proofErr w:type="spellEnd"/>
            <w:r w:rsidRPr="00BF4AA8">
              <w:rPr>
                <w:rFonts w:ascii="Arial" w:hAnsi="Arial" w:cs="Arial"/>
                <w:sz w:val="22"/>
                <w:szCs w:val="22"/>
              </w:rPr>
              <w:t xml:space="preserve"> stakeholder participation records</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0" w:type="auto"/>
            <w:hideMark/>
          </w:tcPr>
          <w:p w:rsidR="0098718A" w:rsidRPr="00BF4AA8" w:rsidRDefault="0098718A" w:rsidP="005F1F5C">
            <w:pPr>
              <w:rPr>
                <w:rFonts w:ascii="Arial" w:hAnsi="Arial" w:cs="Arial"/>
                <w:sz w:val="22"/>
                <w:szCs w:val="22"/>
              </w:rPr>
            </w:pPr>
            <w:r w:rsidRPr="00BF4AA8">
              <w:rPr>
                <w:rStyle w:val="Strong"/>
                <w:rFonts w:ascii="Arial" w:hAnsi="Arial" w:cs="Arial"/>
                <w:sz w:val="22"/>
                <w:szCs w:val="22"/>
              </w:rPr>
              <w:t>Metadata</w:t>
            </w:r>
          </w:p>
        </w:tc>
        <w:tc>
          <w:tcPr>
            <w:tcW w:w="0" w:type="auto"/>
            <w:hideMark/>
          </w:tcPr>
          <w:p w:rsidR="0098718A" w:rsidRPr="00BF4AA8" w:rsidRDefault="0098718A" w:rsidP="0098718A">
            <w:pPr>
              <w:pStyle w:val="ListParagraph"/>
              <w:numPr>
                <w:ilvl w:val="0"/>
                <w:numId w:val="126"/>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Number and diversity of stakeholders engaged</w:t>
            </w:r>
          </w:p>
          <w:p w:rsidR="0098718A" w:rsidRPr="00BF4AA8" w:rsidRDefault="0098718A" w:rsidP="0098718A">
            <w:pPr>
              <w:pStyle w:val="ListParagraph"/>
              <w:numPr>
                <w:ilvl w:val="0"/>
                <w:numId w:val="126"/>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Inclusion of women, youth, Indigenous and marginalized groups</w:t>
            </w:r>
          </w:p>
          <w:p w:rsidR="0098718A" w:rsidRPr="00BF4AA8" w:rsidRDefault="0098718A" w:rsidP="0098718A">
            <w:pPr>
              <w:pStyle w:val="ListParagraph"/>
              <w:numPr>
                <w:ilvl w:val="0"/>
                <w:numId w:val="126"/>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Geographic coverage and resourcing of co-management units</w:t>
            </w:r>
          </w:p>
          <w:p w:rsidR="0098718A" w:rsidRPr="00BF4AA8" w:rsidRDefault="0098718A" w:rsidP="0098718A">
            <w:pPr>
              <w:pStyle w:val="ListParagraph"/>
              <w:numPr>
                <w:ilvl w:val="0"/>
                <w:numId w:val="126"/>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Existence of grievance-handling and benefit-sharing systems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8718A" w:rsidRPr="00BF4AA8" w:rsidRDefault="0098718A" w:rsidP="005F1F5C">
            <w:pPr>
              <w:rPr>
                <w:rFonts w:ascii="Arial" w:hAnsi="Arial" w:cs="Arial"/>
                <w:sz w:val="22"/>
                <w:szCs w:val="22"/>
              </w:rPr>
            </w:pPr>
            <w:r w:rsidRPr="00BF4AA8">
              <w:rPr>
                <w:rStyle w:val="Strong"/>
                <w:rFonts w:ascii="Arial" w:hAnsi="Arial" w:cs="Arial"/>
                <w:sz w:val="22"/>
                <w:szCs w:val="22"/>
              </w:rPr>
              <w:t>Assessment Method</w:t>
            </w:r>
          </w:p>
        </w:tc>
        <w:tc>
          <w:tcPr>
            <w:tcW w:w="0" w:type="auto"/>
            <w:hideMark/>
          </w:tcPr>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Evaluate effectiveness and meaningfulness of stakeholder engagement. </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Assess dependence on project-based participation versus </w:t>
            </w:r>
            <w:proofErr w:type="spellStart"/>
            <w:r w:rsidRPr="00BF4AA8">
              <w:rPr>
                <w:rFonts w:ascii="Arial" w:hAnsi="Arial" w:cs="Arial"/>
                <w:sz w:val="22"/>
                <w:szCs w:val="22"/>
              </w:rPr>
              <w:t>institutionalised</w:t>
            </w:r>
            <w:proofErr w:type="spellEnd"/>
            <w:r w:rsidRPr="00BF4AA8">
              <w:rPr>
                <w:rFonts w:ascii="Arial" w:hAnsi="Arial" w:cs="Arial"/>
                <w:sz w:val="22"/>
                <w:szCs w:val="22"/>
              </w:rPr>
              <w:t xml:space="preserve"> processes.</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Identify evidence of </w:t>
            </w:r>
            <w:proofErr w:type="spellStart"/>
            <w:r w:rsidRPr="00BF4AA8">
              <w:rPr>
                <w:rFonts w:ascii="Arial" w:hAnsi="Arial" w:cs="Arial"/>
                <w:sz w:val="22"/>
                <w:szCs w:val="22"/>
              </w:rPr>
              <w:t>behavioural</w:t>
            </w:r>
            <w:proofErr w:type="spellEnd"/>
            <w:r w:rsidRPr="00BF4AA8">
              <w:rPr>
                <w:rFonts w:ascii="Arial" w:hAnsi="Arial" w:cs="Arial"/>
                <w:sz w:val="22"/>
                <w:szCs w:val="22"/>
              </w:rPr>
              <w:t xml:space="preserve"> change from outreach/co-management. </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Identify gaps in grievance handling, benefit-sharing, and transparency.</w:t>
            </w:r>
          </w:p>
        </w:tc>
      </w:tr>
    </w:tbl>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Civil society </w:t>
      </w:r>
      <w:proofErr w:type="spellStart"/>
      <w:r w:rsidRPr="00BF4AA8">
        <w:rPr>
          <w:rFonts w:ascii="Arial" w:hAnsi="Arial" w:cs="Arial"/>
          <w:sz w:val="22"/>
          <w:szCs w:val="22"/>
        </w:rPr>
        <w:t>organisations</w:t>
      </w:r>
      <w:proofErr w:type="spellEnd"/>
      <w:r w:rsidRPr="00BF4AA8">
        <w:rPr>
          <w:rFonts w:ascii="Arial" w:hAnsi="Arial" w:cs="Arial"/>
          <w:sz w:val="22"/>
          <w:szCs w:val="22"/>
        </w:rPr>
        <w:t xml:space="preserve"> and co-management groups play a critical bridging role in monitoring, patrol support, and community engagement, yet participation remains project-dependent and uneven across provinces. While women and youth engagement </w:t>
      </w:r>
      <w:proofErr w:type="gramStart"/>
      <w:r w:rsidRPr="00BF4AA8">
        <w:rPr>
          <w:rFonts w:ascii="Arial" w:hAnsi="Arial" w:cs="Arial"/>
          <w:sz w:val="22"/>
          <w:szCs w:val="22"/>
        </w:rPr>
        <w:t>is</w:t>
      </w:r>
      <w:proofErr w:type="gramEnd"/>
      <w:r w:rsidRPr="00BF4AA8">
        <w:rPr>
          <w:rFonts w:ascii="Arial" w:hAnsi="Arial" w:cs="Arial"/>
          <w:sz w:val="22"/>
          <w:szCs w:val="22"/>
        </w:rPr>
        <w:t xml:space="preserve"> improving, gaps persist in grievance handling, transparent benefit-sharing, and long-term resourcing for </w:t>
      </w:r>
      <w:proofErr w:type="spellStart"/>
      <w:r w:rsidRPr="00BF4AA8">
        <w:rPr>
          <w:rFonts w:ascii="Arial" w:hAnsi="Arial" w:cs="Arial"/>
          <w:sz w:val="22"/>
          <w:szCs w:val="22"/>
        </w:rPr>
        <w:t>CFis</w:t>
      </w:r>
      <w:proofErr w:type="spellEnd"/>
      <w:r w:rsidRPr="00BF4AA8">
        <w:rPr>
          <w:rFonts w:ascii="Arial" w:hAnsi="Arial" w:cs="Arial"/>
          <w:sz w:val="22"/>
          <w:szCs w:val="22"/>
        </w:rPr>
        <w:t>/CPAs and MFMA committees.</w:t>
      </w:r>
    </w:p>
    <w:p w:rsidR="0098718A" w:rsidRPr="00BF4AA8" w:rsidRDefault="0098718A" w:rsidP="00BF4AA8">
      <w:pPr>
        <w:pStyle w:val="TOCHeading"/>
      </w:pPr>
      <w:r w:rsidRPr="00BF4AA8">
        <w:t>E Governance Performance and Effectiveness</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This annex evaluates governance effectiveness using outcome-based indicators under the Transboundary Waters Assessment Framework (TWAF) and regional commitments such as SDS-SEA and RAP-MALI. It brings together ecological, social, and institutional metrics to assess whether governance systems are achieving meaningful results across five outcome domains: </w:t>
      </w:r>
      <w:r w:rsidRPr="00BF4AA8">
        <w:rPr>
          <w:rStyle w:val="Strong"/>
          <w:rFonts w:ascii="Arial" w:hAnsi="Arial" w:cs="Arial"/>
          <w:sz w:val="22"/>
          <w:szCs w:val="22"/>
        </w:rPr>
        <w:t>stakeholder engagement, stress reduction, ecosystem state, social justice, and human well-being</w:t>
      </w:r>
      <w:r w:rsidRPr="00BF4AA8">
        <w:rPr>
          <w:rFonts w:ascii="Arial" w:hAnsi="Arial" w:cs="Arial"/>
          <w:sz w:val="22"/>
          <w:szCs w:val="22"/>
        </w:rPr>
        <w:t>.</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Ecological indicators include CPUE trends, species composition, habitat restoration metrics, and MPA/MFMA METT scores. Pollution indicators (</w:t>
      </w:r>
      <w:proofErr w:type="spellStart"/>
      <w:r w:rsidRPr="00BF4AA8">
        <w:rPr>
          <w:rFonts w:ascii="Arial" w:hAnsi="Arial" w:cs="Arial"/>
          <w:sz w:val="22"/>
          <w:szCs w:val="22"/>
        </w:rPr>
        <w:t>MoE</w:t>
      </w:r>
      <w:proofErr w:type="spellEnd"/>
      <w:r w:rsidRPr="00BF4AA8">
        <w:rPr>
          <w:rFonts w:ascii="Arial" w:hAnsi="Arial" w:cs="Arial"/>
          <w:sz w:val="22"/>
          <w:szCs w:val="22"/>
        </w:rPr>
        <w:t>/MPWT) and wastewater compliance levels help determine whether stressors are decreasing in high-risk coastal areas. Social outcomes incorporate poverty, livelihoods, access rights, and benefit-sharing.</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The annex also integrates hazard and oil-spill readiness assessments (IMO/ITOPF) to determine governance capacity for risk reduction and emergency response. A critical dimension is the extent to which monitoring systems </w:t>
      </w:r>
      <w:proofErr w:type="gramStart"/>
      <w:r w:rsidRPr="00BF4AA8">
        <w:rPr>
          <w:rFonts w:ascii="Arial" w:hAnsi="Arial" w:cs="Arial"/>
          <w:sz w:val="22"/>
          <w:szCs w:val="22"/>
        </w:rPr>
        <w:t xml:space="preserve">are </w:t>
      </w:r>
      <w:r w:rsidRPr="00BF4AA8">
        <w:rPr>
          <w:rStyle w:val="Strong"/>
          <w:rFonts w:ascii="Arial" w:hAnsi="Arial" w:cs="Arial"/>
          <w:sz w:val="22"/>
          <w:szCs w:val="22"/>
        </w:rPr>
        <w:t>translated</w:t>
      </w:r>
      <w:proofErr w:type="gramEnd"/>
      <w:r w:rsidRPr="00BF4AA8">
        <w:rPr>
          <w:rStyle w:val="Strong"/>
          <w:rFonts w:ascii="Arial" w:hAnsi="Arial" w:cs="Arial"/>
          <w:sz w:val="22"/>
          <w:szCs w:val="22"/>
        </w:rPr>
        <w:t xml:space="preserve"> into adaptive decisions</w:t>
      </w:r>
      <w:r w:rsidRPr="00BF4AA8">
        <w:rPr>
          <w:rFonts w:ascii="Arial" w:hAnsi="Arial" w:cs="Arial"/>
          <w:sz w:val="22"/>
          <w:szCs w:val="22"/>
        </w:rPr>
        <w:t>, regulatory adjustments, or enforcement actions—rather than remaining purely descriptive.</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The final analysis identifies systemic constraints that limit governance effectiveness, including underfunding, weak integration between land and sea planning, incomplete MSP frameworks, fragmented monitoring systems, and limited cross-agency coordination. These findings directly inform recommendations for improving Cambodia’s coastal governance architecture.</w:t>
      </w:r>
    </w:p>
    <w:p w:rsidR="0098718A" w:rsidRPr="00BF4AA8" w:rsidRDefault="0098718A" w:rsidP="0098718A">
      <w:pPr>
        <w:pStyle w:val="Caption"/>
        <w:keepNext/>
        <w:rPr>
          <w:rFonts w:ascii="Arial" w:hAnsi="Arial" w:cs="Arial"/>
          <w:color w:val="002060"/>
          <w:sz w:val="22"/>
          <w:szCs w:val="22"/>
        </w:rPr>
      </w:pPr>
      <w:r w:rsidRPr="00BF4AA8">
        <w:rPr>
          <w:rFonts w:ascii="Arial" w:hAnsi="Arial" w:cs="Arial"/>
          <w:color w:val="002060"/>
          <w:sz w:val="22"/>
          <w:szCs w:val="22"/>
        </w:rPr>
        <w:t>Annex Table 6-</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Annex_Table_6-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8</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Governance performance and effectiveness: data sources, metadata, and assessment method</w:t>
      </w:r>
    </w:p>
    <w:tbl>
      <w:tblPr>
        <w:tblStyle w:val="GridTable4-Accent5"/>
        <w:tblW w:w="0" w:type="auto"/>
        <w:tblLook w:val="04A0" w:firstRow="1" w:lastRow="0" w:firstColumn="1" w:lastColumn="0" w:noHBand="0" w:noVBand="1"/>
      </w:tblPr>
      <w:tblGrid>
        <w:gridCol w:w="1542"/>
        <w:gridCol w:w="6946"/>
      </w:tblGrid>
      <w:tr w:rsidR="0098718A"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rsidR="0098718A" w:rsidRPr="00BF4AA8" w:rsidRDefault="0098718A" w:rsidP="005F1F5C">
            <w:pPr>
              <w:jc w:val="center"/>
              <w:rPr>
                <w:rFonts w:ascii="Arial" w:hAnsi="Arial" w:cs="Arial"/>
                <w:sz w:val="22"/>
                <w:szCs w:val="22"/>
              </w:rPr>
            </w:pPr>
            <w:r w:rsidRPr="00BF4AA8">
              <w:rPr>
                <w:rStyle w:val="Strong"/>
                <w:rFonts w:ascii="Arial" w:hAnsi="Arial" w:cs="Arial"/>
                <w:sz w:val="22"/>
                <w:szCs w:val="22"/>
              </w:rPr>
              <w:t>Category</w:t>
            </w:r>
          </w:p>
        </w:tc>
        <w:tc>
          <w:tcPr>
            <w:tcW w:w="7455" w:type="dxa"/>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Details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rsidR="0098718A" w:rsidRPr="00BF4AA8" w:rsidRDefault="0098718A" w:rsidP="005F1F5C">
            <w:pPr>
              <w:rPr>
                <w:rFonts w:ascii="Arial" w:hAnsi="Arial" w:cs="Arial"/>
                <w:b w:val="0"/>
                <w:bCs w:val="0"/>
                <w:sz w:val="22"/>
                <w:szCs w:val="22"/>
              </w:rPr>
            </w:pPr>
            <w:r w:rsidRPr="00BF4AA8">
              <w:rPr>
                <w:rStyle w:val="Strong"/>
                <w:rFonts w:ascii="Arial" w:hAnsi="Arial" w:cs="Arial"/>
                <w:sz w:val="22"/>
                <w:szCs w:val="22"/>
              </w:rPr>
              <w:t>Data Sources</w:t>
            </w:r>
          </w:p>
        </w:tc>
        <w:tc>
          <w:tcPr>
            <w:tcW w:w="7455" w:type="dxa"/>
            <w:hideMark/>
          </w:tcPr>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SDG 6.5.1 and 6.5.2 indicators</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FiA</w:t>
            </w:r>
            <w:proofErr w:type="spellEnd"/>
            <w:r w:rsidRPr="00BF4AA8">
              <w:rPr>
                <w:rFonts w:ascii="Arial" w:hAnsi="Arial" w:cs="Arial"/>
                <w:sz w:val="22"/>
                <w:szCs w:val="22"/>
              </w:rPr>
              <w:t xml:space="preserve"> marine catch monitoring (CPUE, effort, species, value)</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METT/SMART evaluations of MPA/MFMA sites</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MoE</w:t>
            </w:r>
            <w:proofErr w:type="spellEnd"/>
            <w:r w:rsidRPr="00BF4AA8">
              <w:rPr>
                <w:rFonts w:ascii="Arial" w:hAnsi="Arial" w:cs="Arial"/>
                <w:sz w:val="22"/>
                <w:szCs w:val="22"/>
              </w:rPr>
              <w:t>/MPWT pollution &amp; wastewater monitoring</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Poverty and well-being indicators</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Oil-spill readiness (IMO/ITOPF)</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1555" w:type="dxa"/>
            <w:hideMark/>
          </w:tcPr>
          <w:p w:rsidR="0098718A" w:rsidRPr="00BF4AA8" w:rsidRDefault="0098718A" w:rsidP="005F1F5C">
            <w:pPr>
              <w:rPr>
                <w:rFonts w:ascii="Arial" w:hAnsi="Arial" w:cs="Arial"/>
                <w:sz w:val="22"/>
                <w:szCs w:val="22"/>
              </w:rPr>
            </w:pPr>
            <w:r w:rsidRPr="00BF4AA8">
              <w:rPr>
                <w:rStyle w:val="Strong"/>
                <w:rFonts w:ascii="Arial" w:hAnsi="Arial" w:cs="Arial"/>
                <w:sz w:val="22"/>
                <w:szCs w:val="22"/>
              </w:rPr>
              <w:t>Metadata</w:t>
            </w:r>
          </w:p>
        </w:tc>
        <w:tc>
          <w:tcPr>
            <w:tcW w:w="7455" w:type="dxa"/>
            <w:hideMark/>
          </w:tcPr>
          <w:p w:rsidR="0098718A" w:rsidRPr="00BF4AA8" w:rsidRDefault="0098718A" w:rsidP="0098718A">
            <w:pPr>
              <w:pStyle w:val="ListParagraph"/>
              <w:numPr>
                <w:ilvl w:val="0"/>
                <w:numId w:val="126"/>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Stress-reduction indicators (compliance, plastics reduction)</w:t>
            </w:r>
          </w:p>
          <w:p w:rsidR="0098718A" w:rsidRPr="00BF4AA8" w:rsidRDefault="0098718A" w:rsidP="0098718A">
            <w:pPr>
              <w:pStyle w:val="ListParagraph"/>
              <w:numPr>
                <w:ilvl w:val="0"/>
                <w:numId w:val="126"/>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Ecosystem-state proxies (CPUE, habitat condition, MPA coverage) </w:t>
            </w:r>
          </w:p>
          <w:p w:rsidR="0098718A" w:rsidRPr="00BF4AA8" w:rsidRDefault="0098718A" w:rsidP="0098718A">
            <w:pPr>
              <w:pStyle w:val="ListParagraph"/>
              <w:numPr>
                <w:ilvl w:val="0"/>
                <w:numId w:val="126"/>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Social-justice outcomes (access rights, livelihoods, benefit-sharing)</w:t>
            </w:r>
          </w:p>
          <w:p w:rsidR="0098718A" w:rsidRPr="00BF4AA8" w:rsidRDefault="0098718A" w:rsidP="0098718A">
            <w:pPr>
              <w:pStyle w:val="ListParagraph"/>
              <w:numPr>
                <w:ilvl w:val="0"/>
                <w:numId w:val="126"/>
              </w:numPr>
              <w:ind w:left="179" w:hanging="203"/>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Risk indicators (hazard exposure &amp; response capacity)</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rsidR="0098718A" w:rsidRPr="00BF4AA8" w:rsidRDefault="0098718A" w:rsidP="005F1F5C">
            <w:pPr>
              <w:rPr>
                <w:rFonts w:ascii="Arial" w:hAnsi="Arial" w:cs="Arial"/>
                <w:sz w:val="22"/>
                <w:szCs w:val="22"/>
              </w:rPr>
            </w:pPr>
            <w:r w:rsidRPr="00BF4AA8">
              <w:rPr>
                <w:rStyle w:val="Strong"/>
                <w:rFonts w:ascii="Arial" w:hAnsi="Arial" w:cs="Arial"/>
                <w:sz w:val="22"/>
                <w:szCs w:val="22"/>
              </w:rPr>
              <w:t>Assessment Method</w:t>
            </w:r>
          </w:p>
        </w:tc>
        <w:tc>
          <w:tcPr>
            <w:tcW w:w="7455" w:type="dxa"/>
            <w:hideMark/>
          </w:tcPr>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Apply TWGAF outcomes: engagement, stress reduction, ecosystem state, social justice, well-being.</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Compare national progress against SDS-SEA and RAP-MALI commitments. </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Assess translation of monitoring data into adaptive decisions.</w:t>
            </w:r>
          </w:p>
          <w:p w:rsidR="0098718A" w:rsidRPr="00BF4AA8" w:rsidRDefault="0098718A" w:rsidP="0098718A">
            <w:pPr>
              <w:pStyle w:val="ListParagraph"/>
              <w:numPr>
                <w:ilvl w:val="0"/>
                <w:numId w:val="126"/>
              </w:numPr>
              <w:ind w:left="179" w:hanging="203"/>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Identify systemic bottlenecks (financing, integration, MSP gaps).</w:t>
            </w:r>
          </w:p>
        </w:tc>
      </w:tr>
    </w:tbl>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Governance performance shows pockets of progress—improving METT scores, stronger community engagement, and some local stress-reduction outcomes—but system-wide effectiveness </w:t>
      </w:r>
      <w:proofErr w:type="gramStart"/>
      <w:r w:rsidRPr="00BF4AA8">
        <w:rPr>
          <w:rFonts w:ascii="Arial" w:hAnsi="Arial" w:cs="Arial"/>
          <w:sz w:val="22"/>
          <w:szCs w:val="22"/>
        </w:rPr>
        <w:t>is hampered</w:t>
      </w:r>
      <w:proofErr w:type="gramEnd"/>
      <w:r w:rsidRPr="00BF4AA8">
        <w:rPr>
          <w:rFonts w:ascii="Arial" w:hAnsi="Arial" w:cs="Arial"/>
          <w:sz w:val="22"/>
          <w:szCs w:val="22"/>
        </w:rPr>
        <w:t xml:space="preserve"> by weak monitoring–decision linkages, limited financing, and incomplete MSP and pollution-control frameworks. Risk preparedness, especially for oil spills and climate hazards, remains insufficient relative to increasing development pressure and hazard exposure.</w:t>
      </w:r>
    </w:p>
    <w:p w:rsidR="0098718A" w:rsidRPr="00BF4AA8" w:rsidRDefault="0098718A" w:rsidP="0098718A">
      <w:pPr>
        <w:pStyle w:val="NormalWeb"/>
        <w:adjustRightInd w:val="0"/>
        <w:snapToGrid w:val="0"/>
        <w:spacing w:before="240" w:beforeAutospacing="0" w:after="120" w:afterAutospacing="0"/>
        <w:jc w:val="both"/>
        <w:rPr>
          <w:rFonts w:ascii="Arial" w:hAnsi="Arial" w:cs="Arial"/>
          <w:color w:val="002060"/>
          <w:sz w:val="22"/>
          <w:szCs w:val="22"/>
        </w:rPr>
      </w:pPr>
      <w:r w:rsidRPr="00BF4AA8">
        <w:rPr>
          <w:rFonts w:ascii="Arial" w:hAnsi="Arial" w:cs="Arial"/>
          <w:color w:val="002060"/>
          <w:sz w:val="22"/>
          <w:szCs w:val="22"/>
        </w:rPr>
        <w:t>Annex Table 6-</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Annex_Table_6-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9</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Institutions and duties/functions related to coastal–marine governance &amp;</w:t>
      </w:r>
      <w:r w:rsidRPr="00BF4AA8">
        <w:rPr>
          <w:rFonts w:ascii="Arial" w:hAnsi="Arial" w:cs="Arial"/>
          <w:sz w:val="22"/>
          <w:szCs w:val="22"/>
        </w:rPr>
        <w:t xml:space="preserve"> </w:t>
      </w:r>
      <w:r w:rsidRPr="00BF4AA8">
        <w:rPr>
          <w:rFonts w:ascii="Arial" w:hAnsi="Arial" w:cs="Arial"/>
          <w:color w:val="002060"/>
          <w:sz w:val="22"/>
          <w:szCs w:val="22"/>
        </w:rPr>
        <w:t>qualitative observations</w:t>
      </w:r>
    </w:p>
    <w:tbl>
      <w:tblPr>
        <w:tblStyle w:val="GridTable4-Accent5"/>
        <w:tblW w:w="9067" w:type="dxa"/>
        <w:tblLook w:val="04A0" w:firstRow="1" w:lastRow="0" w:firstColumn="1" w:lastColumn="0" w:noHBand="0" w:noVBand="1"/>
      </w:tblPr>
      <w:tblGrid>
        <w:gridCol w:w="1915"/>
        <w:gridCol w:w="1735"/>
        <w:gridCol w:w="1647"/>
        <w:gridCol w:w="1721"/>
        <w:gridCol w:w="2049"/>
      </w:tblGrid>
      <w:tr w:rsidR="0098718A" w:rsidRPr="00BF4AA8" w:rsidTr="005F1F5C">
        <w:trPr>
          <w:cnfStyle w:val="100000000000" w:firstRow="1" w:lastRow="0" w:firstColumn="0" w:lastColumn="0" w:oddVBand="0" w:evenVBand="0" w:oddHBand="0" w:evenHBand="0" w:firstRowFirstColumn="0" w:firstRowLastColumn="0" w:lastRowFirstColumn="0" w:lastRowLastColumn="0"/>
          <w:trHeight w:val="462"/>
        </w:trPr>
        <w:tc>
          <w:tcPr>
            <w:cnfStyle w:val="001000000000" w:firstRow="0" w:lastRow="0" w:firstColumn="1" w:lastColumn="0" w:oddVBand="0" w:evenVBand="0" w:oddHBand="0" w:evenHBand="0" w:firstRowFirstColumn="0" w:firstRowLastColumn="0" w:lastRowFirstColumn="0" w:lastRowLastColumn="0"/>
            <w:tcW w:w="1918" w:type="dxa"/>
            <w:hideMark/>
          </w:tcPr>
          <w:p w:rsidR="0098718A" w:rsidRPr="00BF4AA8" w:rsidRDefault="0098718A" w:rsidP="005F1F5C">
            <w:pPr>
              <w:jc w:val="center"/>
              <w:rPr>
                <w:rFonts w:ascii="Arial" w:hAnsi="Arial" w:cs="Arial"/>
                <w:b w:val="0"/>
                <w:bCs w:val="0"/>
                <w:sz w:val="22"/>
                <w:szCs w:val="22"/>
              </w:rPr>
            </w:pPr>
            <w:r w:rsidRPr="00BF4AA8">
              <w:rPr>
                <w:rStyle w:val="Strong"/>
                <w:rFonts w:ascii="Arial" w:hAnsi="Arial" w:cs="Arial"/>
                <w:sz w:val="22"/>
                <w:szCs w:val="22"/>
              </w:rPr>
              <w:t>Institute</w:t>
            </w:r>
          </w:p>
        </w:tc>
        <w:tc>
          <w:tcPr>
            <w:tcW w:w="1763" w:type="dxa"/>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Style w:val="Strong"/>
                <w:rFonts w:ascii="Arial" w:hAnsi="Arial" w:cs="Arial"/>
                <w:sz w:val="22"/>
                <w:szCs w:val="22"/>
              </w:rPr>
              <w:t>Mandate</w:t>
            </w:r>
          </w:p>
        </w:tc>
        <w:tc>
          <w:tcPr>
            <w:tcW w:w="1611" w:type="dxa"/>
            <w:hideMark/>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Style w:val="Strong"/>
                <w:rFonts w:ascii="Arial" w:hAnsi="Arial" w:cs="Arial"/>
                <w:sz w:val="22"/>
                <w:szCs w:val="22"/>
              </w:rPr>
              <w:t>Linkages to Marine Governance</w:t>
            </w:r>
          </w:p>
        </w:tc>
        <w:tc>
          <w:tcPr>
            <w:tcW w:w="1584" w:type="dxa"/>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2"/>
                <w:szCs w:val="22"/>
              </w:rPr>
            </w:pPr>
            <w:r w:rsidRPr="00BF4AA8">
              <w:rPr>
                <w:rStyle w:val="Strong"/>
                <w:rFonts w:ascii="Arial" w:hAnsi="Arial" w:cs="Arial"/>
                <w:sz w:val="22"/>
                <w:szCs w:val="22"/>
              </w:rPr>
              <w:t>Legal Foundation</w:t>
            </w:r>
          </w:p>
        </w:tc>
        <w:tc>
          <w:tcPr>
            <w:tcW w:w="2191" w:type="dxa"/>
          </w:tcPr>
          <w:p w:rsidR="0098718A" w:rsidRPr="00BF4AA8" w:rsidRDefault="0098718A" w:rsidP="005F1F5C">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Strong"/>
                <w:rFonts w:ascii="Arial" w:hAnsi="Arial" w:cs="Arial"/>
                <w:sz w:val="22"/>
                <w:szCs w:val="22"/>
              </w:rPr>
              <w:t>Qualitative Observations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2092"/>
        </w:trPr>
        <w:tc>
          <w:tcPr>
            <w:cnfStyle w:val="001000000000" w:firstRow="0" w:lastRow="0" w:firstColumn="1" w:lastColumn="0" w:oddVBand="0" w:evenVBand="0" w:oddHBand="0" w:evenHBand="0" w:firstRowFirstColumn="0" w:firstRowLastColumn="0" w:lastRowFirstColumn="0" w:lastRowLastColumn="0"/>
            <w:tcW w:w="1918" w:type="dxa"/>
            <w:hideMark/>
          </w:tcPr>
          <w:p w:rsidR="0098718A" w:rsidRPr="00BF4AA8" w:rsidRDefault="0098718A" w:rsidP="005F1F5C">
            <w:pPr>
              <w:rPr>
                <w:rFonts w:ascii="Arial" w:hAnsi="Arial" w:cs="Arial"/>
                <w:sz w:val="22"/>
                <w:szCs w:val="22"/>
              </w:rPr>
            </w:pPr>
            <w:r w:rsidRPr="00BF4AA8">
              <w:rPr>
                <w:rStyle w:val="Strong"/>
                <w:rFonts w:ascii="Arial" w:hAnsi="Arial" w:cs="Arial"/>
                <w:sz w:val="22"/>
                <w:szCs w:val="22"/>
              </w:rPr>
              <w:t>Ministry of Land Management, Urban Planning and Construction (MLMUPC)</w:t>
            </w:r>
          </w:p>
        </w:tc>
        <w:tc>
          <w:tcPr>
            <w:tcW w:w="1763" w:type="dxa"/>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Land policy, land-use planning, construction permitting, and resolution of land disputes including coastal areas; chairs NCCMD.</w:t>
            </w:r>
          </w:p>
        </w:tc>
        <w:tc>
          <w:tcPr>
            <w:tcW w:w="1611" w:type="dxa"/>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Integrates and oversees coastal land-use and development planning, including zoning for tourism, SEZs, and port expansion.</w:t>
            </w:r>
          </w:p>
        </w:tc>
        <w:tc>
          <w:tcPr>
            <w:tcW w:w="1584" w:type="dxa"/>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Style w:val="Emphasis"/>
                <w:rFonts w:ascii="Arial" w:hAnsi="Arial" w:cs="Arial"/>
                <w:sz w:val="22"/>
                <w:szCs w:val="22"/>
              </w:rPr>
              <w:t>Land Law (2001)</w:t>
            </w:r>
            <w:r w:rsidRPr="00BF4AA8">
              <w:rPr>
                <w:rFonts w:ascii="Arial" w:hAnsi="Arial" w:cs="Arial"/>
                <w:sz w:val="22"/>
                <w:szCs w:val="22"/>
              </w:rPr>
              <w:t xml:space="preserve">; </w:t>
            </w:r>
            <w:r w:rsidRPr="00BF4AA8">
              <w:rPr>
                <w:rStyle w:val="Emphasis"/>
                <w:rFonts w:ascii="Arial" w:hAnsi="Arial" w:cs="Arial"/>
                <w:sz w:val="22"/>
                <w:szCs w:val="22"/>
              </w:rPr>
              <w:t>Construction Law (2019)</w:t>
            </w:r>
            <w:r w:rsidRPr="00BF4AA8">
              <w:rPr>
                <w:rFonts w:ascii="Arial" w:hAnsi="Arial" w:cs="Arial"/>
                <w:sz w:val="22"/>
                <w:szCs w:val="22"/>
              </w:rPr>
              <w:t xml:space="preserve">; </w:t>
            </w:r>
            <w:r w:rsidRPr="00BF4AA8">
              <w:rPr>
                <w:rStyle w:val="Emphasis"/>
                <w:rFonts w:ascii="Arial" w:hAnsi="Arial" w:cs="Arial"/>
                <w:sz w:val="22"/>
                <w:szCs w:val="22"/>
              </w:rPr>
              <w:t>Royal Decree on NCCMD (2012)</w:t>
            </w:r>
            <w:r w:rsidRPr="00BF4AA8">
              <w:rPr>
                <w:rFonts w:ascii="Arial" w:hAnsi="Arial" w:cs="Arial"/>
                <w:sz w:val="22"/>
                <w:szCs w:val="22"/>
              </w:rPr>
              <w:t>.</w:t>
            </w:r>
          </w:p>
        </w:tc>
        <w:tc>
          <w:tcPr>
            <w:tcW w:w="2191" w:type="dxa"/>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Strong lateral coordination with </w:t>
            </w:r>
            <w:proofErr w:type="spellStart"/>
            <w:r w:rsidRPr="00BF4AA8">
              <w:rPr>
                <w:rFonts w:ascii="Arial" w:hAnsi="Arial" w:cs="Arial"/>
                <w:sz w:val="22"/>
                <w:szCs w:val="22"/>
              </w:rPr>
              <w:t>MoE</w:t>
            </w:r>
            <w:proofErr w:type="spellEnd"/>
            <w:r w:rsidRPr="00BF4AA8">
              <w:rPr>
                <w:rFonts w:ascii="Arial" w:hAnsi="Arial" w:cs="Arial"/>
                <w:sz w:val="22"/>
                <w:szCs w:val="22"/>
              </w:rPr>
              <w:t xml:space="preserve">, </w:t>
            </w:r>
            <w:proofErr w:type="spellStart"/>
            <w:r w:rsidRPr="00BF4AA8">
              <w:rPr>
                <w:rFonts w:ascii="Arial" w:hAnsi="Arial" w:cs="Arial"/>
                <w:sz w:val="22"/>
                <w:szCs w:val="22"/>
              </w:rPr>
              <w:t>FiA</w:t>
            </w:r>
            <w:proofErr w:type="spellEnd"/>
            <w:r w:rsidRPr="00BF4AA8">
              <w:rPr>
                <w:rFonts w:ascii="Arial" w:hAnsi="Arial" w:cs="Arial"/>
                <w:sz w:val="22"/>
                <w:szCs w:val="22"/>
              </w:rPr>
              <w:t>, and MPWT; critical role in preventing coastal land-use conflicts; capacity improving but enforcement inconsistent, especially regarding coastal EIAs and speculative land conversion.</w:t>
            </w:r>
          </w:p>
        </w:tc>
      </w:tr>
      <w:tr w:rsidR="0098718A" w:rsidRPr="00BF4AA8" w:rsidTr="005F1F5C">
        <w:trPr>
          <w:trHeight w:val="2075"/>
        </w:trPr>
        <w:tc>
          <w:tcPr>
            <w:cnfStyle w:val="001000000000" w:firstRow="0" w:lastRow="0" w:firstColumn="1" w:lastColumn="0" w:oddVBand="0" w:evenVBand="0" w:oddHBand="0" w:evenHBand="0" w:firstRowFirstColumn="0" w:firstRowLastColumn="0" w:lastRowFirstColumn="0" w:lastRowLastColumn="0"/>
            <w:tcW w:w="1918" w:type="dxa"/>
            <w:hideMark/>
          </w:tcPr>
          <w:p w:rsidR="0098718A" w:rsidRPr="00BF4AA8" w:rsidRDefault="0098718A" w:rsidP="005F1F5C">
            <w:pPr>
              <w:rPr>
                <w:rFonts w:ascii="Arial" w:hAnsi="Arial" w:cs="Arial"/>
                <w:sz w:val="22"/>
                <w:szCs w:val="22"/>
              </w:rPr>
            </w:pPr>
            <w:r w:rsidRPr="00BF4AA8">
              <w:rPr>
                <w:rStyle w:val="Strong"/>
                <w:rFonts w:ascii="Arial" w:hAnsi="Arial" w:cs="Arial"/>
                <w:sz w:val="22"/>
                <w:szCs w:val="22"/>
              </w:rPr>
              <w:t>Ministry of Environment (</w:t>
            </w:r>
            <w:proofErr w:type="spellStart"/>
            <w:r w:rsidRPr="00BF4AA8">
              <w:rPr>
                <w:rStyle w:val="Strong"/>
                <w:rFonts w:ascii="Arial" w:hAnsi="Arial" w:cs="Arial"/>
                <w:sz w:val="22"/>
                <w:szCs w:val="22"/>
              </w:rPr>
              <w:t>MoE</w:t>
            </w:r>
            <w:proofErr w:type="spellEnd"/>
            <w:r w:rsidRPr="00BF4AA8">
              <w:rPr>
                <w:rStyle w:val="Strong"/>
                <w:rFonts w:ascii="Arial" w:hAnsi="Arial" w:cs="Arial"/>
                <w:sz w:val="22"/>
                <w:szCs w:val="22"/>
              </w:rPr>
              <w:t>)</w:t>
            </w:r>
          </w:p>
        </w:tc>
        <w:tc>
          <w:tcPr>
            <w:tcW w:w="1763" w:type="dxa"/>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Lead and manage environmental protection, biodiversity conservation, pollution control, and sustainable natural resource use.</w:t>
            </w:r>
          </w:p>
        </w:tc>
        <w:tc>
          <w:tcPr>
            <w:tcW w:w="1611" w:type="dxa"/>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Leads coastal/marine conservation, manages MPAs/MFMAs (delegated), chairs DCZMC for ICZM, oversees coastal water quality monitoring.</w:t>
            </w:r>
          </w:p>
        </w:tc>
        <w:tc>
          <w:tcPr>
            <w:tcW w:w="1584" w:type="dxa"/>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Emphasis"/>
                <w:rFonts w:ascii="Arial" w:hAnsi="Arial" w:cs="Arial"/>
                <w:sz w:val="22"/>
                <w:szCs w:val="22"/>
              </w:rPr>
              <w:t>Environment Code (2023)</w:t>
            </w:r>
            <w:r w:rsidRPr="00BF4AA8">
              <w:rPr>
                <w:rFonts w:ascii="Arial" w:hAnsi="Arial" w:cs="Arial"/>
                <w:sz w:val="22"/>
                <w:szCs w:val="22"/>
              </w:rPr>
              <w:t xml:space="preserve">; </w:t>
            </w:r>
            <w:r w:rsidRPr="00BF4AA8">
              <w:rPr>
                <w:rStyle w:val="Emphasis"/>
                <w:rFonts w:ascii="Arial" w:hAnsi="Arial" w:cs="Arial"/>
                <w:sz w:val="22"/>
                <w:szCs w:val="22"/>
              </w:rPr>
              <w:t>Protected Areas Law (2008)</w:t>
            </w:r>
            <w:r w:rsidRPr="00BF4AA8">
              <w:rPr>
                <w:rFonts w:ascii="Arial" w:hAnsi="Arial" w:cs="Arial"/>
                <w:sz w:val="22"/>
                <w:szCs w:val="22"/>
              </w:rPr>
              <w:t xml:space="preserve">; </w:t>
            </w:r>
            <w:r w:rsidRPr="00BF4AA8">
              <w:rPr>
                <w:rStyle w:val="Emphasis"/>
                <w:rFonts w:ascii="Arial" w:hAnsi="Arial" w:cs="Arial"/>
                <w:sz w:val="22"/>
                <w:szCs w:val="22"/>
              </w:rPr>
              <w:t>Sub-Decree on EIA (1999)</w:t>
            </w:r>
            <w:r w:rsidRPr="00BF4AA8">
              <w:rPr>
                <w:rFonts w:ascii="Arial" w:hAnsi="Arial" w:cs="Arial"/>
                <w:sz w:val="22"/>
                <w:szCs w:val="22"/>
              </w:rPr>
              <w:t xml:space="preserve">; </w:t>
            </w:r>
            <w:r w:rsidRPr="00BF4AA8">
              <w:rPr>
                <w:rStyle w:val="Emphasis"/>
                <w:rFonts w:ascii="Arial" w:hAnsi="Arial" w:cs="Arial"/>
                <w:sz w:val="22"/>
                <w:szCs w:val="22"/>
              </w:rPr>
              <w:t>Royal Decree on NCSD (2015)</w:t>
            </w:r>
            <w:r w:rsidRPr="00BF4AA8">
              <w:rPr>
                <w:rFonts w:ascii="Arial" w:hAnsi="Arial" w:cs="Arial"/>
                <w:sz w:val="22"/>
                <w:szCs w:val="22"/>
              </w:rPr>
              <w:t>.</w:t>
            </w:r>
          </w:p>
        </w:tc>
        <w:tc>
          <w:tcPr>
            <w:tcW w:w="2191" w:type="dxa"/>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lead for conservation and pollution monitoring; increasingly active in MPA/MFMA co-management; vertical linkages strong but resources for enforcement still limited; water-quality data improving.</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2092"/>
        </w:trPr>
        <w:tc>
          <w:tcPr>
            <w:cnfStyle w:val="001000000000" w:firstRow="0" w:lastRow="0" w:firstColumn="1" w:lastColumn="0" w:oddVBand="0" w:evenVBand="0" w:oddHBand="0" w:evenHBand="0" w:firstRowFirstColumn="0" w:firstRowLastColumn="0" w:lastRowFirstColumn="0" w:lastRowLastColumn="0"/>
            <w:tcW w:w="1918" w:type="dxa"/>
            <w:hideMark/>
          </w:tcPr>
          <w:p w:rsidR="0098718A" w:rsidRPr="00BF4AA8" w:rsidRDefault="0098718A" w:rsidP="005F1F5C">
            <w:pPr>
              <w:rPr>
                <w:rFonts w:ascii="Arial" w:hAnsi="Arial" w:cs="Arial"/>
                <w:sz w:val="22"/>
                <w:szCs w:val="22"/>
              </w:rPr>
            </w:pPr>
            <w:r w:rsidRPr="00BF4AA8">
              <w:rPr>
                <w:rStyle w:val="Strong"/>
                <w:rFonts w:ascii="Arial" w:hAnsi="Arial" w:cs="Arial"/>
                <w:sz w:val="22"/>
                <w:szCs w:val="22"/>
              </w:rPr>
              <w:t>Ministry of Agriculture, Forestry and Fisheries (MAFF)</w:t>
            </w:r>
          </w:p>
        </w:tc>
        <w:tc>
          <w:tcPr>
            <w:tcW w:w="1763" w:type="dxa"/>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Manage and control natural-resource use across Cambodia.</w:t>
            </w:r>
          </w:p>
        </w:tc>
        <w:tc>
          <w:tcPr>
            <w:tcW w:w="1611" w:type="dxa"/>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proofErr w:type="spellStart"/>
            <w:r w:rsidRPr="00BF4AA8">
              <w:rPr>
                <w:rFonts w:ascii="Arial" w:hAnsi="Arial" w:cs="Arial"/>
                <w:sz w:val="22"/>
                <w:szCs w:val="22"/>
              </w:rPr>
              <w:t>FiA</w:t>
            </w:r>
            <w:proofErr w:type="spellEnd"/>
            <w:r w:rsidRPr="00BF4AA8">
              <w:rPr>
                <w:rFonts w:ascii="Arial" w:hAnsi="Arial" w:cs="Arial"/>
                <w:sz w:val="22"/>
                <w:szCs w:val="22"/>
              </w:rPr>
              <w:t xml:space="preserve"> manages marine and freshwater fisheries; DFC leads marine conservation enforcement, species protection, and MFMA governance.</w:t>
            </w:r>
          </w:p>
        </w:tc>
        <w:tc>
          <w:tcPr>
            <w:tcW w:w="1584" w:type="dxa"/>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Style w:val="Emphasis"/>
                <w:rFonts w:ascii="Arial" w:hAnsi="Arial" w:cs="Arial"/>
                <w:sz w:val="22"/>
                <w:szCs w:val="22"/>
              </w:rPr>
              <w:t>Fisheries Law (2006)</w:t>
            </w:r>
            <w:r w:rsidRPr="00BF4AA8">
              <w:rPr>
                <w:rFonts w:ascii="Arial" w:hAnsi="Arial" w:cs="Arial"/>
                <w:sz w:val="22"/>
                <w:szCs w:val="22"/>
              </w:rPr>
              <w:t xml:space="preserve">; </w:t>
            </w:r>
            <w:r w:rsidRPr="00BF4AA8">
              <w:rPr>
                <w:rStyle w:val="Emphasis"/>
                <w:rFonts w:ascii="Arial" w:hAnsi="Arial" w:cs="Arial"/>
                <w:sz w:val="22"/>
                <w:szCs w:val="22"/>
              </w:rPr>
              <w:t xml:space="preserve">MAFF </w:t>
            </w:r>
            <w:proofErr w:type="spellStart"/>
            <w:r w:rsidRPr="00BF4AA8">
              <w:rPr>
                <w:rStyle w:val="Emphasis"/>
                <w:rFonts w:ascii="Arial" w:hAnsi="Arial" w:cs="Arial"/>
                <w:sz w:val="22"/>
                <w:szCs w:val="22"/>
              </w:rPr>
              <w:t>Prakas</w:t>
            </w:r>
            <w:proofErr w:type="spellEnd"/>
            <w:r w:rsidRPr="00BF4AA8">
              <w:rPr>
                <w:rStyle w:val="Emphasis"/>
                <w:rFonts w:ascii="Arial" w:hAnsi="Arial" w:cs="Arial"/>
                <w:sz w:val="22"/>
                <w:szCs w:val="22"/>
              </w:rPr>
              <w:t xml:space="preserve"> on Fisheries Management Areas</w:t>
            </w:r>
            <w:r w:rsidRPr="00BF4AA8">
              <w:rPr>
                <w:rFonts w:ascii="Arial" w:hAnsi="Arial" w:cs="Arial"/>
                <w:sz w:val="22"/>
                <w:szCs w:val="22"/>
              </w:rPr>
              <w:t xml:space="preserve">; </w:t>
            </w:r>
            <w:r w:rsidRPr="00BF4AA8">
              <w:rPr>
                <w:rStyle w:val="Emphasis"/>
                <w:rFonts w:ascii="Arial" w:hAnsi="Arial" w:cs="Arial"/>
                <w:sz w:val="22"/>
                <w:szCs w:val="22"/>
              </w:rPr>
              <w:t xml:space="preserve">Sub-Decree on </w:t>
            </w:r>
            <w:proofErr w:type="spellStart"/>
            <w:r w:rsidRPr="00BF4AA8">
              <w:rPr>
                <w:rStyle w:val="Emphasis"/>
                <w:rFonts w:ascii="Arial" w:hAnsi="Arial" w:cs="Arial"/>
                <w:sz w:val="22"/>
                <w:szCs w:val="22"/>
              </w:rPr>
              <w:t>FiA</w:t>
            </w:r>
            <w:proofErr w:type="spellEnd"/>
            <w:r w:rsidRPr="00BF4AA8">
              <w:rPr>
                <w:rStyle w:val="Emphasis"/>
                <w:rFonts w:ascii="Arial" w:hAnsi="Arial" w:cs="Arial"/>
                <w:sz w:val="22"/>
                <w:szCs w:val="22"/>
              </w:rPr>
              <w:t xml:space="preserve"> Structure</w:t>
            </w:r>
            <w:r w:rsidRPr="00BF4AA8">
              <w:rPr>
                <w:rFonts w:ascii="Arial" w:hAnsi="Arial" w:cs="Arial"/>
                <w:sz w:val="22"/>
                <w:szCs w:val="22"/>
              </w:rPr>
              <w:t>.</w:t>
            </w:r>
          </w:p>
        </w:tc>
        <w:tc>
          <w:tcPr>
            <w:tcW w:w="2191" w:type="dxa"/>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Core authority for marine fisheries; strong patrol presence in some provinces; data systems improving (CPUE, SMART); livelihood </w:t>
            </w:r>
            <w:proofErr w:type="spellStart"/>
            <w:r w:rsidRPr="00BF4AA8">
              <w:rPr>
                <w:rFonts w:ascii="Arial" w:hAnsi="Arial" w:cs="Arial"/>
                <w:sz w:val="22"/>
                <w:szCs w:val="22"/>
              </w:rPr>
              <w:t>programmes</w:t>
            </w:r>
            <w:proofErr w:type="spellEnd"/>
            <w:r w:rsidRPr="00BF4AA8">
              <w:rPr>
                <w:rFonts w:ascii="Arial" w:hAnsi="Arial" w:cs="Arial"/>
                <w:sz w:val="22"/>
                <w:szCs w:val="22"/>
              </w:rPr>
              <w:t xml:space="preserve"> expanding, but enforcement uneven due to limited patrol assets.</w:t>
            </w:r>
          </w:p>
        </w:tc>
      </w:tr>
      <w:tr w:rsidR="0098718A" w:rsidRPr="00BF4AA8" w:rsidTr="005F1F5C">
        <w:trPr>
          <w:trHeight w:val="686"/>
        </w:trPr>
        <w:tc>
          <w:tcPr>
            <w:cnfStyle w:val="001000000000" w:firstRow="0" w:lastRow="0" w:firstColumn="1" w:lastColumn="0" w:oddVBand="0" w:evenVBand="0" w:oddHBand="0" w:evenHBand="0" w:firstRowFirstColumn="0" w:firstRowLastColumn="0" w:lastRowFirstColumn="0" w:lastRowLastColumn="0"/>
            <w:tcW w:w="1918" w:type="dxa"/>
            <w:hideMark/>
          </w:tcPr>
          <w:p w:rsidR="0098718A" w:rsidRPr="00BF4AA8" w:rsidRDefault="0098718A" w:rsidP="005F1F5C">
            <w:pPr>
              <w:rPr>
                <w:rFonts w:ascii="Arial" w:hAnsi="Arial" w:cs="Arial"/>
                <w:sz w:val="22"/>
                <w:szCs w:val="22"/>
              </w:rPr>
            </w:pPr>
            <w:r w:rsidRPr="00BF4AA8">
              <w:rPr>
                <w:rStyle w:val="Strong"/>
                <w:rFonts w:ascii="Arial" w:hAnsi="Arial" w:cs="Arial"/>
                <w:sz w:val="22"/>
                <w:szCs w:val="22"/>
              </w:rPr>
              <w:t>Ministry of Mines and Energy (MME)</w:t>
            </w:r>
          </w:p>
        </w:tc>
        <w:tc>
          <w:tcPr>
            <w:tcW w:w="1763" w:type="dxa"/>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Promote industrial development, hydropower, mining, and oil/gas exploration.</w:t>
            </w:r>
          </w:p>
        </w:tc>
        <w:tc>
          <w:tcPr>
            <w:tcW w:w="1611" w:type="dxa"/>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Oversees offshore petroleum blocks; regulates coastal energy infrastructure with implications for marine habitats and oil-spill risks.</w:t>
            </w:r>
          </w:p>
        </w:tc>
        <w:tc>
          <w:tcPr>
            <w:tcW w:w="1584" w:type="dxa"/>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Emphasis"/>
                <w:rFonts w:ascii="Arial" w:hAnsi="Arial" w:cs="Arial"/>
                <w:sz w:val="22"/>
                <w:szCs w:val="22"/>
              </w:rPr>
              <w:t>Law on Petroleum (2019)</w:t>
            </w:r>
            <w:r w:rsidRPr="00BF4AA8">
              <w:rPr>
                <w:rFonts w:ascii="Arial" w:hAnsi="Arial" w:cs="Arial"/>
                <w:sz w:val="22"/>
                <w:szCs w:val="22"/>
              </w:rPr>
              <w:t xml:space="preserve">; </w:t>
            </w:r>
            <w:r w:rsidRPr="00BF4AA8">
              <w:rPr>
                <w:rStyle w:val="Emphasis"/>
                <w:rFonts w:ascii="Arial" w:hAnsi="Arial" w:cs="Arial"/>
                <w:sz w:val="22"/>
                <w:szCs w:val="22"/>
              </w:rPr>
              <w:t>Mining Law (2001)</w:t>
            </w:r>
            <w:r w:rsidRPr="00BF4AA8">
              <w:rPr>
                <w:rFonts w:ascii="Arial" w:hAnsi="Arial" w:cs="Arial"/>
                <w:sz w:val="22"/>
                <w:szCs w:val="22"/>
              </w:rPr>
              <w:t xml:space="preserve">; MME regulatory </w:t>
            </w:r>
            <w:proofErr w:type="spellStart"/>
            <w:r w:rsidRPr="00BF4AA8">
              <w:rPr>
                <w:rFonts w:ascii="Arial" w:hAnsi="Arial" w:cs="Arial"/>
                <w:sz w:val="22"/>
                <w:szCs w:val="22"/>
              </w:rPr>
              <w:t>prakas</w:t>
            </w:r>
            <w:proofErr w:type="spellEnd"/>
            <w:r w:rsidRPr="00BF4AA8">
              <w:rPr>
                <w:rFonts w:ascii="Arial" w:hAnsi="Arial" w:cs="Arial"/>
                <w:sz w:val="22"/>
                <w:szCs w:val="22"/>
              </w:rPr>
              <w:t>.</w:t>
            </w:r>
          </w:p>
        </w:tc>
        <w:tc>
          <w:tcPr>
            <w:tcW w:w="2191" w:type="dxa"/>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Engagement mainly linked to offshore blocks and hydropower; limited direct role in habitat governance; environmental safeguards improving but oil-spill readiness weak.</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145"/>
        </w:trPr>
        <w:tc>
          <w:tcPr>
            <w:cnfStyle w:val="001000000000" w:firstRow="0" w:lastRow="0" w:firstColumn="1" w:lastColumn="0" w:oddVBand="0" w:evenVBand="0" w:oddHBand="0" w:evenHBand="0" w:firstRowFirstColumn="0" w:firstRowLastColumn="0" w:lastRowFirstColumn="0" w:lastRowLastColumn="0"/>
            <w:tcW w:w="1918" w:type="dxa"/>
            <w:hideMark/>
          </w:tcPr>
          <w:p w:rsidR="0098718A" w:rsidRPr="00BF4AA8" w:rsidRDefault="0098718A" w:rsidP="005F1F5C">
            <w:pPr>
              <w:rPr>
                <w:rFonts w:ascii="Arial" w:hAnsi="Arial" w:cs="Arial"/>
                <w:sz w:val="22"/>
                <w:szCs w:val="22"/>
              </w:rPr>
            </w:pPr>
            <w:r w:rsidRPr="00BF4AA8">
              <w:rPr>
                <w:rStyle w:val="Strong"/>
                <w:rFonts w:ascii="Arial" w:hAnsi="Arial" w:cs="Arial"/>
                <w:sz w:val="22"/>
                <w:szCs w:val="22"/>
              </w:rPr>
              <w:t>Ministry of Tourism (</w:t>
            </w:r>
            <w:proofErr w:type="spellStart"/>
            <w:r w:rsidRPr="00BF4AA8">
              <w:rPr>
                <w:rStyle w:val="Strong"/>
                <w:rFonts w:ascii="Arial" w:hAnsi="Arial" w:cs="Arial"/>
                <w:sz w:val="22"/>
                <w:szCs w:val="22"/>
              </w:rPr>
              <w:t>MoT</w:t>
            </w:r>
            <w:proofErr w:type="spellEnd"/>
            <w:r w:rsidRPr="00BF4AA8">
              <w:rPr>
                <w:rStyle w:val="Strong"/>
                <w:rFonts w:ascii="Arial" w:hAnsi="Arial" w:cs="Arial"/>
                <w:sz w:val="22"/>
                <w:szCs w:val="22"/>
              </w:rPr>
              <w:t>)</w:t>
            </w:r>
          </w:p>
        </w:tc>
        <w:tc>
          <w:tcPr>
            <w:tcW w:w="1763" w:type="dxa"/>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Develop and regulate national tourism policies, tourism products, and services.</w:t>
            </w:r>
          </w:p>
        </w:tc>
        <w:tc>
          <w:tcPr>
            <w:tcW w:w="1611" w:type="dxa"/>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Oversees coastal tourism planning, infrastructure standards, and environmental quality for coastal destinations.</w:t>
            </w:r>
          </w:p>
        </w:tc>
        <w:tc>
          <w:tcPr>
            <w:tcW w:w="1584" w:type="dxa"/>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Style w:val="Emphasis"/>
                <w:rFonts w:ascii="Arial" w:hAnsi="Arial" w:cs="Arial"/>
                <w:sz w:val="22"/>
                <w:szCs w:val="22"/>
              </w:rPr>
              <w:t>Tourism Law (2009)</w:t>
            </w:r>
            <w:r w:rsidRPr="00BF4AA8">
              <w:rPr>
                <w:rFonts w:ascii="Arial" w:hAnsi="Arial" w:cs="Arial"/>
                <w:sz w:val="22"/>
                <w:szCs w:val="22"/>
              </w:rPr>
              <w:t>; national coastal tourism master plans.</w:t>
            </w:r>
          </w:p>
        </w:tc>
        <w:tc>
          <w:tcPr>
            <w:tcW w:w="2191" w:type="dxa"/>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Coastal tourism growth increases pressure; works well with </w:t>
            </w:r>
            <w:proofErr w:type="spellStart"/>
            <w:r w:rsidRPr="00BF4AA8">
              <w:rPr>
                <w:rFonts w:ascii="Arial" w:hAnsi="Arial" w:cs="Arial"/>
                <w:sz w:val="22"/>
                <w:szCs w:val="22"/>
              </w:rPr>
              <w:t>MoE</w:t>
            </w:r>
            <w:proofErr w:type="spellEnd"/>
            <w:r w:rsidRPr="00BF4AA8">
              <w:rPr>
                <w:rFonts w:ascii="Arial" w:hAnsi="Arial" w:cs="Arial"/>
                <w:sz w:val="22"/>
                <w:szCs w:val="22"/>
              </w:rPr>
              <w:t xml:space="preserve"> on beach clean-ups and water-quality monitoring; lacks long-term ecosystem-based tourism planning.</w:t>
            </w:r>
          </w:p>
        </w:tc>
      </w:tr>
      <w:tr w:rsidR="0098718A" w:rsidRPr="00BF4AA8" w:rsidTr="005F1F5C">
        <w:trPr>
          <w:trHeight w:val="145"/>
        </w:trPr>
        <w:tc>
          <w:tcPr>
            <w:cnfStyle w:val="001000000000" w:firstRow="0" w:lastRow="0" w:firstColumn="1" w:lastColumn="0" w:oddVBand="0" w:evenVBand="0" w:oddHBand="0" w:evenHBand="0" w:firstRowFirstColumn="0" w:firstRowLastColumn="0" w:lastRowFirstColumn="0" w:lastRowLastColumn="0"/>
            <w:tcW w:w="1918" w:type="dxa"/>
            <w:hideMark/>
          </w:tcPr>
          <w:p w:rsidR="0098718A" w:rsidRPr="00BF4AA8" w:rsidRDefault="0098718A" w:rsidP="005F1F5C">
            <w:pPr>
              <w:rPr>
                <w:rFonts w:ascii="Arial" w:hAnsi="Arial" w:cs="Arial"/>
                <w:sz w:val="22"/>
                <w:szCs w:val="22"/>
              </w:rPr>
            </w:pPr>
            <w:r w:rsidRPr="00BF4AA8">
              <w:rPr>
                <w:rStyle w:val="Strong"/>
                <w:rFonts w:ascii="Arial" w:hAnsi="Arial" w:cs="Arial"/>
                <w:sz w:val="22"/>
                <w:szCs w:val="22"/>
              </w:rPr>
              <w:t>Ministry of Public Works and Transport (MPWT)</w:t>
            </w:r>
          </w:p>
        </w:tc>
        <w:tc>
          <w:tcPr>
            <w:tcW w:w="1763" w:type="dxa"/>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Responsible for national transport systems including ports, waterways, and maritime navigation.</w:t>
            </w:r>
          </w:p>
        </w:tc>
        <w:tc>
          <w:tcPr>
            <w:tcW w:w="1611" w:type="dxa"/>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Merchant Marine Department and GD Waterway–Maritime Transport regulate ports, vessel safety, wastewater from ships, and marine transport pollution.</w:t>
            </w:r>
          </w:p>
        </w:tc>
        <w:tc>
          <w:tcPr>
            <w:tcW w:w="1584" w:type="dxa"/>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Emphasis"/>
                <w:rFonts w:ascii="Arial" w:hAnsi="Arial" w:cs="Arial"/>
                <w:sz w:val="22"/>
                <w:szCs w:val="22"/>
              </w:rPr>
              <w:t>Law on Waterway Transport</w:t>
            </w:r>
            <w:r w:rsidRPr="00BF4AA8">
              <w:rPr>
                <w:rFonts w:ascii="Arial" w:hAnsi="Arial" w:cs="Arial"/>
                <w:sz w:val="22"/>
                <w:szCs w:val="22"/>
              </w:rPr>
              <w:t xml:space="preserve">; MPWT port regulations; maritime safety </w:t>
            </w:r>
            <w:proofErr w:type="spellStart"/>
            <w:r w:rsidRPr="00BF4AA8">
              <w:rPr>
                <w:rFonts w:ascii="Arial" w:hAnsi="Arial" w:cs="Arial"/>
                <w:sz w:val="22"/>
                <w:szCs w:val="22"/>
              </w:rPr>
              <w:t>prakas</w:t>
            </w:r>
            <w:proofErr w:type="spellEnd"/>
            <w:r w:rsidRPr="00BF4AA8">
              <w:rPr>
                <w:rFonts w:ascii="Arial" w:hAnsi="Arial" w:cs="Arial"/>
                <w:sz w:val="22"/>
                <w:szCs w:val="22"/>
              </w:rPr>
              <w:t>.</w:t>
            </w:r>
          </w:p>
        </w:tc>
        <w:tc>
          <w:tcPr>
            <w:tcW w:w="2191" w:type="dxa"/>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Key for port wastewater, maritime regulations, and stormwater; compliance actions improving; monitoring capacity still low for ship-based pollution and port effluents.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145"/>
        </w:trPr>
        <w:tc>
          <w:tcPr>
            <w:cnfStyle w:val="001000000000" w:firstRow="0" w:lastRow="0" w:firstColumn="1" w:lastColumn="0" w:oddVBand="0" w:evenVBand="0" w:oddHBand="0" w:evenHBand="0" w:firstRowFirstColumn="0" w:firstRowLastColumn="0" w:lastRowFirstColumn="0" w:lastRowLastColumn="0"/>
            <w:tcW w:w="1918" w:type="dxa"/>
            <w:hideMark/>
          </w:tcPr>
          <w:p w:rsidR="0098718A" w:rsidRPr="00BF4AA8" w:rsidRDefault="0098718A" w:rsidP="005F1F5C">
            <w:pPr>
              <w:rPr>
                <w:rFonts w:ascii="Arial" w:hAnsi="Arial" w:cs="Arial"/>
                <w:sz w:val="22"/>
                <w:szCs w:val="22"/>
              </w:rPr>
            </w:pPr>
            <w:r w:rsidRPr="00BF4AA8">
              <w:rPr>
                <w:rStyle w:val="Strong"/>
                <w:rFonts w:ascii="Arial" w:hAnsi="Arial" w:cs="Arial"/>
                <w:sz w:val="22"/>
                <w:szCs w:val="22"/>
              </w:rPr>
              <w:t>National Committee on Coastal Area Management and Development (NCCMD)</w:t>
            </w:r>
          </w:p>
        </w:tc>
        <w:tc>
          <w:tcPr>
            <w:tcW w:w="1763" w:type="dxa"/>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Inter-ministerial coordination body for coastal development and management.</w:t>
            </w:r>
          </w:p>
        </w:tc>
        <w:tc>
          <w:tcPr>
            <w:tcW w:w="1611" w:type="dxa"/>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Leads integrated coastal management; coordinates ministries, approves coastal zoning, and supports ecosystem conservation and livelihoods.</w:t>
            </w:r>
          </w:p>
        </w:tc>
        <w:tc>
          <w:tcPr>
            <w:tcW w:w="1584" w:type="dxa"/>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Style w:val="Emphasis"/>
                <w:rFonts w:ascii="Arial" w:hAnsi="Arial" w:cs="Arial"/>
                <w:sz w:val="22"/>
                <w:szCs w:val="22"/>
              </w:rPr>
              <w:t>Royal Decree on NCCMD (2012)</w:t>
            </w:r>
            <w:r w:rsidRPr="00BF4AA8">
              <w:rPr>
                <w:rFonts w:ascii="Arial" w:hAnsi="Arial" w:cs="Arial"/>
                <w:sz w:val="22"/>
                <w:szCs w:val="22"/>
              </w:rPr>
              <w:t>.</w:t>
            </w:r>
          </w:p>
        </w:tc>
        <w:tc>
          <w:tcPr>
            <w:tcW w:w="2191" w:type="dxa"/>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Effective inter-ministerial coordination mechanism; provides vertical integration through PCCMDs; policy cycle partially complete; monitoring and enforcement depend on member ministries.</w:t>
            </w:r>
          </w:p>
        </w:tc>
      </w:tr>
      <w:tr w:rsidR="0098718A" w:rsidRPr="00BF4AA8" w:rsidTr="005F1F5C">
        <w:trPr>
          <w:trHeight w:val="145"/>
        </w:trPr>
        <w:tc>
          <w:tcPr>
            <w:cnfStyle w:val="001000000000" w:firstRow="0" w:lastRow="0" w:firstColumn="1" w:lastColumn="0" w:oddVBand="0" w:evenVBand="0" w:oddHBand="0" w:evenHBand="0" w:firstRowFirstColumn="0" w:firstRowLastColumn="0" w:lastRowFirstColumn="0" w:lastRowLastColumn="0"/>
            <w:tcW w:w="1918" w:type="dxa"/>
            <w:hideMark/>
          </w:tcPr>
          <w:p w:rsidR="0098718A" w:rsidRPr="00BF4AA8" w:rsidRDefault="0098718A" w:rsidP="005F1F5C">
            <w:pPr>
              <w:rPr>
                <w:rFonts w:ascii="Arial" w:hAnsi="Arial" w:cs="Arial"/>
                <w:sz w:val="22"/>
                <w:szCs w:val="22"/>
              </w:rPr>
            </w:pPr>
            <w:r w:rsidRPr="00BF4AA8">
              <w:rPr>
                <w:rStyle w:val="Strong"/>
                <w:rFonts w:ascii="Arial" w:hAnsi="Arial" w:cs="Arial"/>
                <w:sz w:val="22"/>
                <w:szCs w:val="22"/>
              </w:rPr>
              <w:t>National Council for Sustainable Development (NCSD)</w:t>
            </w:r>
          </w:p>
        </w:tc>
        <w:tc>
          <w:tcPr>
            <w:tcW w:w="1763" w:type="dxa"/>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National body for climate change, green growth, environmental policy integration.</w:t>
            </w:r>
          </w:p>
        </w:tc>
        <w:tc>
          <w:tcPr>
            <w:tcW w:w="1611" w:type="dxa"/>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Leads national climate policy, supports marine climate adaptation, integrates biodiversity and SDG reporting.</w:t>
            </w:r>
          </w:p>
        </w:tc>
        <w:tc>
          <w:tcPr>
            <w:tcW w:w="1584" w:type="dxa"/>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Emphasis"/>
                <w:rFonts w:ascii="Arial" w:hAnsi="Arial" w:cs="Arial"/>
                <w:sz w:val="22"/>
                <w:szCs w:val="22"/>
              </w:rPr>
              <w:t>Royal Decree on NCSD (2015)</w:t>
            </w:r>
            <w:r w:rsidRPr="00BF4AA8">
              <w:rPr>
                <w:rFonts w:ascii="Arial" w:hAnsi="Arial" w:cs="Arial"/>
                <w:sz w:val="22"/>
                <w:szCs w:val="22"/>
              </w:rPr>
              <w:t>.</w:t>
            </w:r>
          </w:p>
        </w:tc>
        <w:tc>
          <w:tcPr>
            <w:tcW w:w="2191" w:type="dxa"/>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Strong climate leadership; integrates SDG and environmental policies; good cross-sector coordination; high-level but limited operational enforcement capacity.</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Height w:val="1252"/>
        </w:trPr>
        <w:tc>
          <w:tcPr>
            <w:cnfStyle w:val="001000000000" w:firstRow="0" w:lastRow="0" w:firstColumn="1" w:lastColumn="0" w:oddVBand="0" w:evenVBand="0" w:oddHBand="0" w:evenHBand="0" w:firstRowFirstColumn="0" w:firstRowLastColumn="0" w:lastRowFirstColumn="0" w:lastRowLastColumn="0"/>
            <w:tcW w:w="1918" w:type="dxa"/>
            <w:hideMark/>
          </w:tcPr>
          <w:p w:rsidR="0098718A" w:rsidRPr="00BF4AA8" w:rsidRDefault="0098718A" w:rsidP="005F1F5C">
            <w:pPr>
              <w:rPr>
                <w:rFonts w:ascii="Arial" w:hAnsi="Arial" w:cs="Arial"/>
                <w:sz w:val="22"/>
                <w:szCs w:val="22"/>
              </w:rPr>
            </w:pPr>
            <w:r w:rsidRPr="00BF4AA8">
              <w:rPr>
                <w:rStyle w:val="Strong"/>
                <w:rFonts w:ascii="Arial" w:hAnsi="Arial" w:cs="Arial"/>
                <w:sz w:val="22"/>
                <w:szCs w:val="22"/>
              </w:rPr>
              <w:t>Provincial/District Authorities (</w:t>
            </w:r>
            <w:proofErr w:type="spellStart"/>
            <w:r w:rsidRPr="00BF4AA8">
              <w:rPr>
                <w:rStyle w:val="Strong"/>
                <w:rFonts w:ascii="Arial" w:hAnsi="Arial" w:cs="Arial"/>
                <w:sz w:val="22"/>
                <w:szCs w:val="22"/>
              </w:rPr>
              <w:t>MoI</w:t>
            </w:r>
            <w:proofErr w:type="spellEnd"/>
            <w:r w:rsidRPr="00BF4AA8">
              <w:rPr>
                <w:rStyle w:val="Strong"/>
                <w:rFonts w:ascii="Arial" w:hAnsi="Arial" w:cs="Arial"/>
                <w:sz w:val="22"/>
                <w:szCs w:val="22"/>
              </w:rPr>
              <w:t>)</w:t>
            </w:r>
          </w:p>
        </w:tc>
        <w:tc>
          <w:tcPr>
            <w:tcW w:w="1763" w:type="dxa"/>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Oversee local administration, development planning, and law enforcement.</w:t>
            </w:r>
          </w:p>
        </w:tc>
        <w:tc>
          <w:tcPr>
            <w:tcW w:w="1611" w:type="dxa"/>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Implement coastal regulations, enforce fishing rules, manage coastal land concessions, and coordinate local development.</w:t>
            </w:r>
          </w:p>
        </w:tc>
        <w:tc>
          <w:tcPr>
            <w:tcW w:w="1584" w:type="dxa"/>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Style w:val="Emphasis"/>
                <w:rFonts w:ascii="Arial" w:hAnsi="Arial" w:cs="Arial"/>
                <w:sz w:val="22"/>
                <w:szCs w:val="22"/>
              </w:rPr>
              <w:t>Law on Administrative Management of Capital, Provinces, Municipalities (2008)</w:t>
            </w:r>
            <w:r w:rsidRPr="00BF4AA8">
              <w:rPr>
                <w:rFonts w:ascii="Arial" w:hAnsi="Arial" w:cs="Arial"/>
                <w:sz w:val="22"/>
                <w:szCs w:val="22"/>
              </w:rPr>
              <w:t>.</w:t>
            </w:r>
          </w:p>
        </w:tc>
        <w:tc>
          <w:tcPr>
            <w:tcW w:w="2191" w:type="dxa"/>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Strong on-ground enforcement role; vertical coordination improving; gaps in technical expertise and budget; community engagement strong but enforcement varies widely by province.</w:t>
            </w:r>
          </w:p>
        </w:tc>
      </w:tr>
      <w:tr w:rsidR="0098718A" w:rsidRPr="00BF4AA8" w:rsidTr="005F1F5C">
        <w:trPr>
          <w:trHeight w:val="1869"/>
        </w:trPr>
        <w:tc>
          <w:tcPr>
            <w:cnfStyle w:val="001000000000" w:firstRow="0" w:lastRow="0" w:firstColumn="1" w:lastColumn="0" w:oddVBand="0" w:evenVBand="0" w:oddHBand="0" w:evenHBand="0" w:firstRowFirstColumn="0" w:firstRowLastColumn="0" w:lastRowFirstColumn="0" w:lastRowLastColumn="0"/>
            <w:tcW w:w="1918" w:type="dxa"/>
            <w:hideMark/>
          </w:tcPr>
          <w:p w:rsidR="0098718A" w:rsidRPr="00BF4AA8" w:rsidRDefault="0098718A" w:rsidP="005F1F5C">
            <w:pPr>
              <w:rPr>
                <w:rFonts w:ascii="Arial" w:hAnsi="Arial" w:cs="Arial"/>
                <w:sz w:val="22"/>
                <w:szCs w:val="22"/>
              </w:rPr>
            </w:pPr>
            <w:r w:rsidRPr="00BF4AA8">
              <w:rPr>
                <w:rStyle w:val="Strong"/>
                <w:rFonts w:ascii="Arial" w:hAnsi="Arial" w:cs="Arial"/>
                <w:sz w:val="22"/>
                <w:szCs w:val="22"/>
              </w:rPr>
              <w:t>Provincial Committee for Coastal Management and Development (PCCMD)</w:t>
            </w:r>
          </w:p>
        </w:tc>
        <w:tc>
          <w:tcPr>
            <w:tcW w:w="1763" w:type="dxa"/>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Provincial-level coastal planning and enforcement committee.</w:t>
            </w:r>
          </w:p>
        </w:tc>
        <w:tc>
          <w:tcPr>
            <w:tcW w:w="1611" w:type="dxa"/>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 xml:space="preserve">Coordinates marine patrols, coastal zoning, pollution control, and enforcement between </w:t>
            </w:r>
            <w:proofErr w:type="spellStart"/>
            <w:r w:rsidRPr="00BF4AA8">
              <w:rPr>
                <w:rFonts w:ascii="Arial" w:hAnsi="Arial" w:cs="Arial"/>
                <w:sz w:val="22"/>
                <w:szCs w:val="22"/>
              </w:rPr>
              <w:t>MoE</w:t>
            </w:r>
            <w:proofErr w:type="spellEnd"/>
            <w:r w:rsidRPr="00BF4AA8">
              <w:rPr>
                <w:rFonts w:ascii="Arial" w:hAnsi="Arial" w:cs="Arial"/>
                <w:sz w:val="22"/>
                <w:szCs w:val="22"/>
              </w:rPr>
              <w:t>–</w:t>
            </w:r>
            <w:proofErr w:type="spellStart"/>
            <w:r w:rsidRPr="00BF4AA8">
              <w:rPr>
                <w:rFonts w:ascii="Arial" w:hAnsi="Arial" w:cs="Arial"/>
                <w:sz w:val="22"/>
                <w:szCs w:val="22"/>
              </w:rPr>
              <w:t>FiA</w:t>
            </w:r>
            <w:proofErr w:type="spellEnd"/>
            <w:r w:rsidRPr="00BF4AA8">
              <w:rPr>
                <w:rFonts w:ascii="Arial" w:hAnsi="Arial" w:cs="Arial"/>
                <w:sz w:val="22"/>
                <w:szCs w:val="22"/>
              </w:rPr>
              <w:t>–police–military at provincial level.</w:t>
            </w:r>
          </w:p>
        </w:tc>
        <w:tc>
          <w:tcPr>
            <w:tcW w:w="1584" w:type="dxa"/>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Style w:val="Emphasis"/>
                <w:rFonts w:ascii="Arial" w:hAnsi="Arial" w:cs="Arial"/>
                <w:sz w:val="22"/>
                <w:szCs w:val="22"/>
              </w:rPr>
              <w:t>NCCMD Implementation Guidelines</w:t>
            </w:r>
            <w:r w:rsidRPr="00BF4AA8">
              <w:rPr>
                <w:rFonts w:ascii="Arial" w:hAnsi="Arial" w:cs="Arial"/>
                <w:sz w:val="22"/>
                <w:szCs w:val="22"/>
              </w:rPr>
              <w:t xml:space="preserve">; provincial </w:t>
            </w:r>
            <w:proofErr w:type="spellStart"/>
            <w:r w:rsidRPr="00BF4AA8">
              <w:rPr>
                <w:rFonts w:ascii="Arial" w:hAnsi="Arial" w:cs="Arial"/>
                <w:sz w:val="22"/>
                <w:szCs w:val="22"/>
              </w:rPr>
              <w:t>prakas</w:t>
            </w:r>
            <w:proofErr w:type="spellEnd"/>
            <w:r w:rsidRPr="00BF4AA8">
              <w:rPr>
                <w:rFonts w:ascii="Arial" w:hAnsi="Arial" w:cs="Arial"/>
                <w:sz w:val="22"/>
                <w:szCs w:val="22"/>
              </w:rPr>
              <w:t xml:space="preserve"> (</w:t>
            </w:r>
            <w:proofErr w:type="spellStart"/>
            <w:r w:rsidRPr="00BF4AA8">
              <w:rPr>
                <w:rFonts w:ascii="Arial" w:hAnsi="Arial" w:cs="Arial"/>
                <w:sz w:val="22"/>
                <w:szCs w:val="22"/>
              </w:rPr>
              <w:t>Kep</w:t>
            </w:r>
            <w:proofErr w:type="spellEnd"/>
            <w:r w:rsidRPr="00BF4AA8">
              <w:rPr>
                <w:rFonts w:ascii="Arial" w:hAnsi="Arial" w:cs="Arial"/>
                <w:sz w:val="22"/>
                <w:szCs w:val="22"/>
              </w:rPr>
              <w:t xml:space="preserve">, </w:t>
            </w:r>
            <w:proofErr w:type="spellStart"/>
            <w:r w:rsidRPr="00BF4AA8">
              <w:rPr>
                <w:rFonts w:ascii="Arial" w:hAnsi="Arial" w:cs="Arial"/>
                <w:sz w:val="22"/>
                <w:szCs w:val="22"/>
              </w:rPr>
              <w:t>Kampot</w:t>
            </w:r>
            <w:proofErr w:type="spellEnd"/>
            <w:r w:rsidRPr="00BF4AA8">
              <w:rPr>
                <w:rFonts w:ascii="Arial" w:hAnsi="Arial" w:cs="Arial"/>
                <w:sz w:val="22"/>
                <w:szCs w:val="22"/>
              </w:rPr>
              <w:t>, P. Sihanouk, Koh Kong).</w:t>
            </w:r>
          </w:p>
        </w:tc>
        <w:tc>
          <w:tcPr>
            <w:tcW w:w="2191" w:type="dxa"/>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Effective provincial coordination mechanism; strong in multi-agency patrols and rapid response; limited analytical capacity and budget for coastal planning; reliant on national-level guidance.</w:t>
            </w:r>
          </w:p>
        </w:tc>
      </w:tr>
    </w:tbl>
    <w:p w:rsidR="0098718A" w:rsidRPr="00BF4AA8" w:rsidRDefault="0098718A" w:rsidP="00BF4AA8">
      <w:pPr>
        <w:pStyle w:val="Heading2"/>
        <w:keepNext/>
        <w:adjustRightInd w:val="0"/>
        <w:snapToGrid w:val="0"/>
        <w:spacing w:before="240" w:beforeAutospacing="0" w:after="120" w:afterAutospacing="0"/>
        <w:rPr>
          <w:rFonts w:ascii="Arial" w:hAnsi="Arial" w:cs="Arial"/>
          <w:color w:val="0070C0"/>
          <w:sz w:val="22"/>
          <w:szCs w:val="22"/>
        </w:rPr>
      </w:pPr>
      <w:bookmarkStart w:id="47" w:name="_Ref216535181"/>
      <w:bookmarkStart w:id="48" w:name="_Toc216681470"/>
      <w:r w:rsidRPr="00BF4AA8">
        <w:rPr>
          <w:rFonts w:ascii="Arial" w:hAnsi="Arial" w:cs="Arial"/>
          <w:color w:val="0070C0"/>
          <w:sz w:val="22"/>
          <w:szCs w:val="22"/>
        </w:rPr>
        <w:t>Annex 6-</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Annex_6-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2</w:t>
      </w:r>
      <w:r w:rsidRPr="00BF4AA8">
        <w:rPr>
          <w:rFonts w:ascii="Arial" w:hAnsi="Arial" w:cs="Arial"/>
          <w:color w:val="0070C0"/>
          <w:sz w:val="22"/>
          <w:szCs w:val="22"/>
        </w:rPr>
        <w:fldChar w:fldCharType="end"/>
      </w:r>
      <w:bookmarkEnd w:id="47"/>
      <w:r w:rsidRPr="00BF4AA8">
        <w:rPr>
          <w:rFonts w:ascii="Arial" w:hAnsi="Arial" w:cs="Arial"/>
          <w:color w:val="0070C0"/>
          <w:sz w:val="22"/>
          <w:szCs w:val="22"/>
        </w:rPr>
        <w:t xml:space="preserve"> Explanatory Note: International Environmental and Governance Benchmarks: Cambodia</w:t>
      </w:r>
      <w:bookmarkEnd w:id="48"/>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This annex provides additional detail on Cambodia’s performance against selected </w:t>
      </w:r>
      <w:r w:rsidRPr="00BF4AA8">
        <w:rPr>
          <w:rStyle w:val="Strong"/>
          <w:rFonts w:ascii="Arial" w:hAnsi="Arial" w:cs="Arial"/>
          <w:sz w:val="22"/>
          <w:szCs w:val="22"/>
        </w:rPr>
        <w:t>international environmental and governance benchmarks</w:t>
      </w:r>
      <w:r w:rsidRPr="00BF4AA8">
        <w:rPr>
          <w:rFonts w:ascii="Arial" w:hAnsi="Arial" w:cs="Arial"/>
          <w:sz w:val="22"/>
          <w:szCs w:val="22"/>
        </w:rPr>
        <w:t xml:space="preserve">, namely the </w:t>
      </w:r>
      <w:r w:rsidRPr="00BF4AA8">
        <w:rPr>
          <w:rStyle w:val="Strong"/>
          <w:rFonts w:ascii="Arial" w:hAnsi="Arial" w:cs="Arial"/>
          <w:sz w:val="22"/>
          <w:szCs w:val="22"/>
        </w:rPr>
        <w:t>Environmental Performance Index (EPI)</w:t>
      </w:r>
      <w:r w:rsidRPr="00BF4AA8">
        <w:rPr>
          <w:rFonts w:ascii="Arial" w:hAnsi="Arial" w:cs="Arial"/>
          <w:sz w:val="22"/>
          <w:szCs w:val="22"/>
        </w:rPr>
        <w:t xml:space="preserve"> and the </w:t>
      </w:r>
      <w:r w:rsidRPr="00BF4AA8">
        <w:rPr>
          <w:rStyle w:val="Strong"/>
          <w:rFonts w:ascii="Arial" w:hAnsi="Arial" w:cs="Arial"/>
          <w:sz w:val="22"/>
          <w:szCs w:val="22"/>
        </w:rPr>
        <w:t>World Bank Worldwide Governance Indicators (WGI)</w:t>
      </w:r>
      <w:r w:rsidRPr="00BF4AA8">
        <w:rPr>
          <w:rFonts w:ascii="Arial" w:hAnsi="Arial" w:cs="Arial"/>
          <w:sz w:val="22"/>
          <w:szCs w:val="22"/>
        </w:rPr>
        <w:t xml:space="preserve">. These indicators are not used as direct performance measures within the TDA, but rather as </w:t>
      </w:r>
      <w:r w:rsidRPr="00BF4AA8">
        <w:rPr>
          <w:rStyle w:val="Strong"/>
          <w:rFonts w:ascii="Arial" w:hAnsi="Arial" w:cs="Arial"/>
          <w:sz w:val="22"/>
          <w:szCs w:val="22"/>
        </w:rPr>
        <w:t>contextual benchmarks</w:t>
      </w:r>
      <w:r w:rsidRPr="00BF4AA8">
        <w:rPr>
          <w:rFonts w:ascii="Arial" w:hAnsi="Arial" w:cs="Arial"/>
          <w:sz w:val="22"/>
          <w:szCs w:val="22"/>
        </w:rPr>
        <w:t xml:space="preserve"> to help interpret national governance capacity, systemic </w:t>
      </w:r>
      <w:proofErr w:type="gramStart"/>
      <w:r w:rsidRPr="00BF4AA8">
        <w:rPr>
          <w:rFonts w:ascii="Arial" w:hAnsi="Arial" w:cs="Arial"/>
          <w:sz w:val="22"/>
          <w:szCs w:val="22"/>
        </w:rPr>
        <w:t>risks</w:t>
      </w:r>
      <w:proofErr w:type="gramEnd"/>
      <w:r w:rsidRPr="00BF4AA8">
        <w:rPr>
          <w:rFonts w:ascii="Arial" w:hAnsi="Arial" w:cs="Arial"/>
          <w:sz w:val="22"/>
          <w:szCs w:val="22"/>
        </w:rPr>
        <w:t xml:space="preserve"> and constraints relevant to coastal and marine resource management.</w:t>
      </w:r>
    </w:p>
    <w:p w:rsidR="0098718A" w:rsidRPr="00BF4AA8" w:rsidRDefault="0098718A" w:rsidP="0098718A">
      <w:pPr>
        <w:adjustRightInd w:val="0"/>
        <w:snapToGrid w:val="0"/>
        <w:spacing w:before="240" w:after="120"/>
        <w:rPr>
          <w:rFonts w:ascii="Arial" w:hAnsi="Arial" w:cs="Arial"/>
          <w:b/>
          <w:bCs/>
          <w:i/>
          <w:iCs/>
          <w:color w:val="0070C0"/>
          <w:sz w:val="22"/>
          <w:szCs w:val="22"/>
        </w:rPr>
      </w:pPr>
      <w:r w:rsidRPr="00BF4AA8">
        <w:rPr>
          <w:rFonts w:ascii="Arial" w:hAnsi="Arial" w:cs="Arial"/>
          <w:b/>
          <w:bCs/>
          <w:i/>
          <w:iCs/>
          <w:color w:val="0070C0"/>
          <w:sz w:val="22"/>
          <w:szCs w:val="22"/>
        </w:rPr>
        <w:t>A. Environmental Performance Index (EPI)</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Cambodia’s results in the </w:t>
      </w:r>
      <w:r w:rsidRPr="00BF4AA8">
        <w:rPr>
          <w:rStyle w:val="Strong"/>
          <w:rFonts w:ascii="Arial" w:hAnsi="Arial" w:cs="Arial"/>
          <w:sz w:val="22"/>
          <w:szCs w:val="22"/>
        </w:rPr>
        <w:t>2024 Environmental Performance Index (EPI)</w:t>
      </w:r>
      <w:r w:rsidRPr="00BF4AA8">
        <w:rPr>
          <w:rFonts w:ascii="Arial" w:hAnsi="Arial" w:cs="Arial"/>
          <w:sz w:val="22"/>
          <w:szCs w:val="22"/>
        </w:rPr>
        <w:t xml:space="preserve"> highlight the scale and persistence of its environmental management challenges. The country ranks </w:t>
      </w:r>
      <w:r w:rsidRPr="00BF4AA8">
        <w:rPr>
          <w:rStyle w:val="Strong"/>
          <w:rFonts w:ascii="Arial" w:hAnsi="Arial" w:cs="Arial"/>
          <w:sz w:val="22"/>
          <w:szCs w:val="22"/>
        </w:rPr>
        <w:t>around 170th out of 180 countries</w:t>
      </w:r>
      <w:r w:rsidRPr="00BF4AA8">
        <w:rPr>
          <w:rFonts w:ascii="Arial" w:hAnsi="Arial" w:cs="Arial"/>
          <w:sz w:val="22"/>
          <w:szCs w:val="22"/>
        </w:rPr>
        <w:t xml:space="preserve">, with a composite score of approximately </w:t>
      </w:r>
      <w:r w:rsidRPr="00BF4AA8">
        <w:rPr>
          <w:rStyle w:val="Strong"/>
          <w:rFonts w:ascii="Arial" w:hAnsi="Arial" w:cs="Arial"/>
          <w:sz w:val="22"/>
          <w:szCs w:val="22"/>
        </w:rPr>
        <w:t>31</w:t>
      </w:r>
      <w:r w:rsidRPr="00BF4AA8">
        <w:rPr>
          <w:rFonts w:ascii="Arial" w:hAnsi="Arial" w:cs="Arial"/>
          <w:sz w:val="22"/>
          <w:szCs w:val="22"/>
        </w:rPr>
        <w:t xml:space="preserve">, placing it in the </w:t>
      </w:r>
      <w:r w:rsidRPr="00BF4AA8">
        <w:rPr>
          <w:rStyle w:val="Strong"/>
          <w:rFonts w:ascii="Arial" w:hAnsi="Arial" w:cs="Arial"/>
          <w:sz w:val="22"/>
          <w:szCs w:val="22"/>
        </w:rPr>
        <w:t>lowest global decile</w:t>
      </w:r>
      <w:r w:rsidRPr="00BF4AA8">
        <w:rPr>
          <w:rFonts w:ascii="Arial" w:hAnsi="Arial" w:cs="Arial"/>
          <w:sz w:val="22"/>
          <w:szCs w:val="22"/>
        </w:rPr>
        <w:t xml:space="preserve">. Over the past decade, Cambodia’s overall EPI score has shown only </w:t>
      </w:r>
      <w:r w:rsidRPr="00BF4AA8">
        <w:rPr>
          <w:rStyle w:val="Strong"/>
          <w:rFonts w:ascii="Arial" w:hAnsi="Arial" w:cs="Arial"/>
          <w:sz w:val="22"/>
          <w:szCs w:val="22"/>
        </w:rPr>
        <w:t>marginal improvement (Δ≈0.4)</w:t>
      </w:r>
      <w:r w:rsidRPr="00BF4AA8">
        <w:rPr>
          <w:rFonts w:ascii="Arial" w:hAnsi="Arial" w:cs="Arial"/>
          <w:sz w:val="22"/>
          <w:szCs w:val="22"/>
        </w:rPr>
        <w:t>, indicating limited progress in addressing structural environmental pressures.</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From a coastal and marine governance perspective, several EPI components are particularly relevant:</w:t>
      </w:r>
    </w:p>
    <w:p w:rsidR="0098718A" w:rsidRPr="00BF4AA8" w:rsidRDefault="0098718A" w:rsidP="0098718A">
      <w:pPr>
        <w:pStyle w:val="NormalWeb"/>
        <w:keepNext/>
        <w:jc w:val="both"/>
        <w:rPr>
          <w:rFonts w:ascii="Arial" w:hAnsi="Arial" w:cs="Arial"/>
          <w:sz w:val="22"/>
          <w:szCs w:val="22"/>
        </w:rPr>
      </w:pPr>
      <w:r w:rsidRPr="00BF4AA8">
        <w:rPr>
          <w:rStyle w:val="Strong"/>
          <w:rFonts w:ascii="Arial" w:hAnsi="Arial" w:cs="Arial"/>
          <w:sz w:val="22"/>
          <w:szCs w:val="22"/>
        </w:rPr>
        <w:t>Air quality and pollution</w:t>
      </w:r>
    </w:p>
    <w:p w:rsidR="0098718A" w:rsidRPr="00BF4AA8" w:rsidRDefault="0098718A" w:rsidP="0098718A">
      <w:pPr>
        <w:numPr>
          <w:ilvl w:val="0"/>
          <w:numId w:val="140"/>
        </w:numPr>
        <w:adjustRightInd w:val="0"/>
        <w:snapToGrid w:val="0"/>
        <w:spacing w:before="120" w:after="120"/>
        <w:ind w:left="714" w:hanging="357"/>
        <w:jc w:val="both"/>
        <w:rPr>
          <w:rFonts w:ascii="Arial" w:hAnsi="Arial" w:cs="Arial"/>
          <w:sz w:val="22"/>
          <w:szCs w:val="22"/>
        </w:rPr>
      </w:pPr>
      <w:r w:rsidRPr="00BF4AA8">
        <w:rPr>
          <w:rFonts w:ascii="Arial" w:hAnsi="Arial" w:cs="Arial"/>
          <w:b/>
          <w:bCs/>
          <w:sz w:val="22"/>
          <w:szCs w:val="22"/>
        </w:rPr>
        <w:t>Air Quality:</w:t>
      </w:r>
      <w:r w:rsidRPr="00BF4AA8">
        <w:rPr>
          <w:rFonts w:ascii="Arial" w:hAnsi="Arial" w:cs="Arial"/>
          <w:sz w:val="22"/>
          <w:szCs w:val="22"/>
        </w:rPr>
        <w:t xml:space="preserve"> Cambodia </w:t>
      </w:r>
      <w:proofErr w:type="gramStart"/>
      <w:r w:rsidRPr="00BF4AA8">
        <w:rPr>
          <w:rFonts w:ascii="Arial" w:hAnsi="Arial" w:cs="Arial"/>
          <w:sz w:val="22"/>
          <w:szCs w:val="22"/>
        </w:rPr>
        <w:t>is ranked</w:t>
      </w:r>
      <w:proofErr w:type="gramEnd"/>
      <w:r w:rsidRPr="00BF4AA8">
        <w:rPr>
          <w:rFonts w:ascii="Arial" w:hAnsi="Arial" w:cs="Arial"/>
          <w:sz w:val="22"/>
          <w:szCs w:val="22"/>
        </w:rPr>
        <w:t xml:space="preserve"> </w:t>
      </w:r>
      <w:r w:rsidRPr="00BF4AA8">
        <w:rPr>
          <w:rFonts w:ascii="Arial" w:hAnsi="Arial" w:cs="Arial"/>
          <w:b/>
          <w:bCs/>
          <w:sz w:val="22"/>
          <w:szCs w:val="22"/>
        </w:rPr>
        <w:t>158th</w:t>
      </w:r>
      <w:r w:rsidRPr="00BF4AA8">
        <w:rPr>
          <w:rFonts w:ascii="Arial" w:hAnsi="Arial" w:cs="Arial"/>
          <w:sz w:val="22"/>
          <w:szCs w:val="22"/>
        </w:rPr>
        <w:t xml:space="preserve"> globally with a low score of </w:t>
      </w:r>
      <w:r w:rsidRPr="00BF4AA8">
        <w:rPr>
          <w:rFonts w:ascii="Arial" w:hAnsi="Arial" w:cs="Arial"/>
          <w:b/>
          <w:bCs/>
          <w:sz w:val="22"/>
          <w:szCs w:val="22"/>
        </w:rPr>
        <w:t>18.1</w:t>
      </w:r>
      <w:r w:rsidRPr="00BF4AA8">
        <w:rPr>
          <w:rFonts w:ascii="Arial" w:hAnsi="Arial" w:cs="Arial"/>
          <w:sz w:val="22"/>
          <w:szCs w:val="22"/>
        </w:rPr>
        <w:t xml:space="preserve">. Indicators like </w:t>
      </w:r>
      <w:r w:rsidRPr="00BF4AA8">
        <w:rPr>
          <w:rFonts w:ascii="Arial" w:hAnsi="Arial" w:cs="Arial"/>
          <w:b/>
          <w:bCs/>
          <w:sz w:val="22"/>
          <w:szCs w:val="22"/>
        </w:rPr>
        <w:t>Anthropogenic PM2.5 exposure</w:t>
      </w:r>
      <w:r w:rsidRPr="00BF4AA8">
        <w:rPr>
          <w:rFonts w:ascii="Arial" w:hAnsi="Arial" w:cs="Arial"/>
          <w:sz w:val="22"/>
          <w:szCs w:val="22"/>
        </w:rPr>
        <w:t xml:space="preserve"> (rank 133) reflect the serious impact of air pollution on human health.</w:t>
      </w:r>
    </w:p>
    <w:p w:rsidR="0098718A" w:rsidRPr="00BF4AA8" w:rsidRDefault="0098718A" w:rsidP="0098718A">
      <w:pPr>
        <w:numPr>
          <w:ilvl w:val="0"/>
          <w:numId w:val="140"/>
        </w:numPr>
        <w:adjustRightInd w:val="0"/>
        <w:snapToGrid w:val="0"/>
        <w:spacing w:before="120" w:after="120"/>
        <w:ind w:left="714" w:hanging="357"/>
        <w:jc w:val="both"/>
        <w:rPr>
          <w:rFonts w:ascii="Arial" w:hAnsi="Arial" w:cs="Arial"/>
          <w:sz w:val="22"/>
          <w:szCs w:val="22"/>
        </w:rPr>
      </w:pPr>
      <w:r w:rsidRPr="00BF4AA8">
        <w:rPr>
          <w:rFonts w:ascii="Arial" w:hAnsi="Arial" w:cs="Arial"/>
          <w:b/>
          <w:bCs/>
          <w:sz w:val="22"/>
          <w:szCs w:val="22"/>
        </w:rPr>
        <w:t>Air Pollution (Ecosystem Vitality):</w:t>
      </w:r>
      <w:r w:rsidRPr="00BF4AA8">
        <w:rPr>
          <w:rFonts w:ascii="Arial" w:hAnsi="Arial" w:cs="Arial"/>
          <w:sz w:val="22"/>
          <w:szCs w:val="22"/>
        </w:rPr>
        <w:t xml:space="preserve"> Ranked </w:t>
      </w:r>
      <w:r w:rsidRPr="00BF4AA8">
        <w:rPr>
          <w:rFonts w:ascii="Arial" w:hAnsi="Arial" w:cs="Arial"/>
          <w:b/>
          <w:bCs/>
          <w:sz w:val="22"/>
          <w:szCs w:val="22"/>
        </w:rPr>
        <w:t>176th</w:t>
      </w:r>
      <w:r w:rsidRPr="00BF4AA8">
        <w:rPr>
          <w:rFonts w:ascii="Arial" w:hAnsi="Arial" w:cs="Arial"/>
          <w:sz w:val="22"/>
          <w:szCs w:val="22"/>
        </w:rPr>
        <w:t xml:space="preserve"> with a score of </w:t>
      </w:r>
      <w:r w:rsidRPr="00BF4AA8">
        <w:rPr>
          <w:rFonts w:ascii="Arial" w:hAnsi="Arial" w:cs="Arial"/>
          <w:b/>
          <w:bCs/>
          <w:sz w:val="22"/>
          <w:szCs w:val="22"/>
        </w:rPr>
        <w:t>14.5</w:t>
      </w:r>
      <w:r w:rsidRPr="00BF4AA8">
        <w:rPr>
          <w:rFonts w:ascii="Arial" w:hAnsi="Arial" w:cs="Arial"/>
          <w:sz w:val="22"/>
          <w:szCs w:val="22"/>
        </w:rPr>
        <w:t xml:space="preserve">, this indicates very poor control over emissions affecting ecosystems, such as </w:t>
      </w:r>
      <w:r w:rsidRPr="00BF4AA8">
        <w:rPr>
          <w:rFonts w:ascii="Arial" w:hAnsi="Arial" w:cs="Arial"/>
          <w:b/>
          <w:bCs/>
          <w:sz w:val="22"/>
          <w:szCs w:val="22"/>
        </w:rPr>
        <w:t>nitrous oxides</w:t>
      </w:r>
      <w:r w:rsidRPr="00BF4AA8">
        <w:rPr>
          <w:rFonts w:ascii="Arial" w:hAnsi="Arial" w:cs="Arial"/>
          <w:sz w:val="22"/>
          <w:szCs w:val="22"/>
        </w:rPr>
        <w:t xml:space="preserve"> and </w:t>
      </w:r>
      <w:r w:rsidRPr="00BF4AA8">
        <w:rPr>
          <w:rFonts w:ascii="Arial" w:hAnsi="Arial" w:cs="Arial"/>
          <w:b/>
          <w:bCs/>
          <w:sz w:val="22"/>
          <w:szCs w:val="22"/>
        </w:rPr>
        <w:t>sulfur dioxide</w:t>
      </w:r>
      <w:r w:rsidRPr="00BF4AA8">
        <w:rPr>
          <w:rFonts w:ascii="Arial" w:hAnsi="Arial" w:cs="Arial"/>
          <w:sz w:val="22"/>
          <w:szCs w:val="22"/>
        </w:rPr>
        <w:t xml:space="preserve"> emissions growth rates (ranked 176 and 174, respectively).</w:t>
      </w:r>
    </w:p>
    <w:p w:rsidR="0098718A" w:rsidRPr="00BF4AA8" w:rsidRDefault="0098718A" w:rsidP="0098718A">
      <w:pPr>
        <w:pStyle w:val="NormalWeb"/>
        <w:numPr>
          <w:ilvl w:val="0"/>
          <w:numId w:val="140"/>
        </w:numPr>
        <w:adjustRightInd w:val="0"/>
        <w:snapToGrid w:val="0"/>
        <w:spacing w:before="120" w:beforeAutospacing="0" w:after="120" w:afterAutospacing="0"/>
        <w:ind w:left="714" w:hanging="357"/>
        <w:jc w:val="both"/>
        <w:rPr>
          <w:rStyle w:val="Strong"/>
          <w:rFonts w:ascii="Arial" w:hAnsi="Arial" w:cs="Arial"/>
          <w:b w:val="0"/>
          <w:bCs w:val="0"/>
          <w:sz w:val="22"/>
          <w:szCs w:val="22"/>
        </w:rPr>
      </w:pPr>
      <w:r w:rsidRPr="00BF4AA8">
        <w:rPr>
          <w:rFonts w:ascii="Arial" w:hAnsi="Arial" w:cs="Arial"/>
          <w:sz w:val="22"/>
          <w:szCs w:val="22"/>
        </w:rPr>
        <w:t xml:space="preserve">These pressures are closely linked to coastal </w:t>
      </w:r>
      <w:proofErr w:type="spellStart"/>
      <w:r w:rsidRPr="00BF4AA8">
        <w:rPr>
          <w:rFonts w:ascii="Arial" w:hAnsi="Arial" w:cs="Arial"/>
          <w:sz w:val="22"/>
          <w:szCs w:val="22"/>
        </w:rPr>
        <w:t>urbanisation</w:t>
      </w:r>
      <w:proofErr w:type="spellEnd"/>
      <w:r w:rsidRPr="00BF4AA8">
        <w:rPr>
          <w:rFonts w:ascii="Arial" w:hAnsi="Arial" w:cs="Arial"/>
          <w:sz w:val="22"/>
          <w:szCs w:val="22"/>
        </w:rPr>
        <w:t>, port activity and tourism growth, with indirect effects on coastal and marine ecosystems through atmospheric deposition and urban runoff.</w:t>
      </w:r>
    </w:p>
    <w:p w:rsidR="0098718A" w:rsidRPr="00BF4AA8" w:rsidRDefault="0098718A" w:rsidP="0098718A">
      <w:pPr>
        <w:pStyle w:val="NormalWeb"/>
        <w:jc w:val="both"/>
        <w:rPr>
          <w:rFonts w:ascii="Arial" w:hAnsi="Arial" w:cs="Arial"/>
          <w:sz w:val="22"/>
          <w:szCs w:val="22"/>
        </w:rPr>
      </w:pPr>
      <w:r w:rsidRPr="00BF4AA8">
        <w:rPr>
          <w:rStyle w:val="Strong"/>
          <w:rFonts w:ascii="Arial" w:hAnsi="Arial" w:cs="Arial"/>
          <w:sz w:val="22"/>
          <w:szCs w:val="22"/>
        </w:rPr>
        <w:t>Climate Change and Ecosystem Vitality</w:t>
      </w:r>
    </w:p>
    <w:p w:rsidR="0098718A" w:rsidRPr="00BF4AA8" w:rsidRDefault="0098718A" w:rsidP="0098718A">
      <w:pPr>
        <w:spacing w:after="100" w:afterAutospacing="1"/>
        <w:jc w:val="both"/>
        <w:rPr>
          <w:rFonts w:ascii="Arial" w:hAnsi="Arial" w:cs="Arial"/>
          <w:sz w:val="22"/>
          <w:szCs w:val="22"/>
        </w:rPr>
      </w:pPr>
      <w:r w:rsidRPr="00BF4AA8">
        <w:rPr>
          <w:rFonts w:ascii="Arial" w:hAnsi="Arial" w:cs="Arial"/>
          <w:sz w:val="22"/>
          <w:szCs w:val="22"/>
        </w:rPr>
        <w:t>Despite some areas of strength in biodiversity protection, performance in overall ecosystem health and climate mitigation is poor</w:t>
      </w:r>
    </w:p>
    <w:p w:rsidR="0098718A" w:rsidRPr="00BF4AA8" w:rsidRDefault="0098718A" w:rsidP="0098718A">
      <w:pPr>
        <w:numPr>
          <w:ilvl w:val="0"/>
          <w:numId w:val="140"/>
        </w:numPr>
        <w:spacing w:before="120" w:after="120"/>
        <w:ind w:left="714" w:hanging="357"/>
        <w:jc w:val="both"/>
        <w:rPr>
          <w:rFonts w:ascii="Arial" w:hAnsi="Arial" w:cs="Arial"/>
          <w:sz w:val="22"/>
          <w:szCs w:val="22"/>
        </w:rPr>
      </w:pPr>
      <w:r w:rsidRPr="00BF4AA8">
        <w:rPr>
          <w:rFonts w:ascii="Arial" w:hAnsi="Arial" w:cs="Arial"/>
          <w:b/>
          <w:bCs/>
          <w:sz w:val="22"/>
          <w:szCs w:val="22"/>
        </w:rPr>
        <w:t>Climate Change Mitigation:</w:t>
      </w:r>
      <w:r w:rsidRPr="00BF4AA8">
        <w:rPr>
          <w:rFonts w:ascii="Arial" w:hAnsi="Arial" w:cs="Arial"/>
          <w:sz w:val="22"/>
          <w:szCs w:val="22"/>
        </w:rPr>
        <w:t xml:space="preserve"> Ranked </w:t>
      </w:r>
      <w:r w:rsidRPr="00BF4AA8">
        <w:rPr>
          <w:rFonts w:ascii="Arial" w:hAnsi="Arial" w:cs="Arial"/>
          <w:b/>
          <w:bCs/>
          <w:sz w:val="22"/>
          <w:szCs w:val="22"/>
        </w:rPr>
        <w:t>178th</w:t>
      </w:r>
      <w:r w:rsidRPr="00BF4AA8">
        <w:rPr>
          <w:rFonts w:ascii="Arial" w:hAnsi="Arial" w:cs="Arial"/>
          <w:sz w:val="22"/>
          <w:szCs w:val="22"/>
        </w:rPr>
        <w:t xml:space="preserve"> globally with a score of </w:t>
      </w:r>
      <w:r w:rsidRPr="00BF4AA8">
        <w:rPr>
          <w:rFonts w:ascii="Arial" w:hAnsi="Arial" w:cs="Arial"/>
          <w:b/>
          <w:bCs/>
          <w:sz w:val="22"/>
          <w:szCs w:val="22"/>
        </w:rPr>
        <w:t>16.7</w:t>
      </w:r>
      <w:r w:rsidRPr="00BF4AA8">
        <w:rPr>
          <w:rFonts w:ascii="Arial" w:hAnsi="Arial" w:cs="Arial"/>
          <w:sz w:val="22"/>
          <w:szCs w:val="22"/>
        </w:rPr>
        <w:t xml:space="preserve">. This highlights the country's struggle to manage its </w:t>
      </w:r>
      <w:r w:rsidRPr="00BF4AA8">
        <w:rPr>
          <w:rFonts w:ascii="Arial" w:hAnsi="Arial" w:cs="Arial"/>
          <w:b/>
          <w:bCs/>
          <w:sz w:val="22"/>
          <w:szCs w:val="22"/>
        </w:rPr>
        <w:t>Greenhouse Gas (GHG) emissions growth rate</w:t>
      </w:r>
      <w:r w:rsidRPr="00BF4AA8">
        <w:rPr>
          <w:rFonts w:ascii="Arial" w:hAnsi="Arial" w:cs="Arial"/>
          <w:sz w:val="22"/>
          <w:szCs w:val="22"/>
        </w:rPr>
        <w:t xml:space="preserve">, especially for </w:t>
      </w:r>
      <w:r w:rsidRPr="00BF4AA8">
        <w:rPr>
          <w:rFonts w:ascii="Arial" w:hAnsi="Arial" w:cs="Arial"/>
          <w:b/>
          <w:bCs/>
          <w:sz w:val="22"/>
          <w:szCs w:val="22"/>
        </w:rPr>
        <w:t>carbon dioxide</w:t>
      </w:r>
      <w:r w:rsidRPr="00BF4AA8">
        <w:rPr>
          <w:rFonts w:ascii="Arial" w:hAnsi="Arial" w:cs="Arial"/>
          <w:sz w:val="22"/>
          <w:szCs w:val="22"/>
        </w:rPr>
        <w:t xml:space="preserve"> (ranked 178).</w:t>
      </w:r>
    </w:p>
    <w:p w:rsidR="0098718A" w:rsidRPr="00BF4AA8" w:rsidRDefault="0098718A" w:rsidP="0098718A">
      <w:pPr>
        <w:numPr>
          <w:ilvl w:val="0"/>
          <w:numId w:val="140"/>
        </w:numPr>
        <w:spacing w:before="120" w:after="120"/>
        <w:ind w:left="714" w:hanging="357"/>
        <w:jc w:val="both"/>
        <w:rPr>
          <w:rFonts w:ascii="Arial" w:hAnsi="Arial" w:cs="Arial"/>
          <w:sz w:val="22"/>
          <w:szCs w:val="22"/>
        </w:rPr>
      </w:pPr>
      <w:r w:rsidRPr="00BF4AA8">
        <w:rPr>
          <w:rFonts w:ascii="Arial" w:hAnsi="Arial" w:cs="Arial"/>
          <w:b/>
          <w:bCs/>
          <w:sz w:val="22"/>
          <w:szCs w:val="22"/>
        </w:rPr>
        <w:t>Forests:</w:t>
      </w:r>
      <w:r w:rsidRPr="00BF4AA8">
        <w:rPr>
          <w:rFonts w:ascii="Arial" w:hAnsi="Arial" w:cs="Arial"/>
          <w:sz w:val="22"/>
          <w:szCs w:val="22"/>
        </w:rPr>
        <w:t xml:space="preserve"> Ranked </w:t>
      </w:r>
      <w:r w:rsidRPr="00BF4AA8">
        <w:rPr>
          <w:rFonts w:ascii="Arial" w:hAnsi="Arial" w:cs="Arial"/>
          <w:b/>
          <w:bCs/>
          <w:sz w:val="22"/>
          <w:szCs w:val="22"/>
        </w:rPr>
        <w:t>110th</w:t>
      </w:r>
      <w:r w:rsidRPr="00BF4AA8">
        <w:rPr>
          <w:rFonts w:ascii="Arial" w:hAnsi="Arial" w:cs="Arial"/>
          <w:sz w:val="22"/>
          <w:szCs w:val="22"/>
        </w:rPr>
        <w:t xml:space="preserve"> with a score of </w:t>
      </w:r>
      <w:r w:rsidRPr="00BF4AA8">
        <w:rPr>
          <w:rFonts w:ascii="Arial" w:hAnsi="Arial" w:cs="Arial"/>
          <w:b/>
          <w:bCs/>
          <w:sz w:val="22"/>
          <w:szCs w:val="22"/>
        </w:rPr>
        <w:t>37.6</w:t>
      </w:r>
      <w:r w:rsidRPr="00BF4AA8">
        <w:rPr>
          <w:rFonts w:ascii="Arial" w:hAnsi="Arial" w:cs="Arial"/>
          <w:sz w:val="22"/>
          <w:szCs w:val="22"/>
        </w:rPr>
        <w:t xml:space="preserve">. Cambodia is grappling with issues like </w:t>
      </w:r>
      <w:r w:rsidRPr="00BF4AA8">
        <w:rPr>
          <w:rFonts w:ascii="Arial" w:hAnsi="Arial" w:cs="Arial"/>
          <w:b/>
          <w:bCs/>
          <w:sz w:val="22"/>
          <w:szCs w:val="22"/>
        </w:rPr>
        <w:t>Primary Forest Loss</w:t>
      </w:r>
      <w:r w:rsidRPr="00BF4AA8">
        <w:rPr>
          <w:rFonts w:ascii="Arial" w:hAnsi="Arial" w:cs="Arial"/>
          <w:sz w:val="22"/>
          <w:szCs w:val="22"/>
        </w:rPr>
        <w:t xml:space="preserve"> and </w:t>
      </w:r>
      <w:r w:rsidRPr="00BF4AA8">
        <w:rPr>
          <w:rFonts w:ascii="Arial" w:hAnsi="Arial" w:cs="Arial"/>
          <w:b/>
          <w:bCs/>
          <w:sz w:val="22"/>
          <w:szCs w:val="22"/>
        </w:rPr>
        <w:t>Tree cover loss</w:t>
      </w:r>
      <w:r w:rsidRPr="00BF4AA8">
        <w:rPr>
          <w:rFonts w:ascii="Arial" w:hAnsi="Arial" w:cs="Arial"/>
          <w:sz w:val="22"/>
          <w:szCs w:val="22"/>
        </w:rPr>
        <w:t>, largely attributed to illegal logging, agricultural expansion, and land conversion, which contributes to land degradation and deforestation.</w:t>
      </w:r>
    </w:p>
    <w:p w:rsidR="0098718A" w:rsidRPr="00BF4AA8" w:rsidRDefault="0098718A" w:rsidP="0098718A">
      <w:pPr>
        <w:numPr>
          <w:ilvl w:val="0"/>
          <w:numId w:val="140"/>
        </w:numPr>
        <w:spacing w:before="120" w:after="120"/>
        <w:ind w:left="714" w:hanging="357"/>
        <w:jc w:val="both"/>
        <w:rPr>
          <w:rFonts w:ascii="Arial" w:hAnsi="Arial" w:cs="Arial"/>
          <w:sz w:val="22"/>
          <w:szCs w:val="22"/>
        </w:rPr>
      </w:pPr>
      <w:r w:rsidRPr="00BF4AA8">
        <w:rPr>
          <w:rFonts w:ascii="Arial" w:hAnsi="Arial" w:cs="Arial"/>
          <w:b/>
          <w:bCs/>
          <w:sz w:val="22"/>
          <w:szCs w:val="22"/>
        </w:rPr>
        <w:t>Water Resources:</w:t>
      </w:r>
      <w:r w:rsidRPr="00BF4AA8">
        <w:rPr>
          <w:rFonts w:ascii="Arial" w:hAnsi="Arial" w:cs="Arial"/>
          <w:sz w:val="22"/>
          <w:szCs w:val="22"/>
        </w:rPr>
        <w:t xml:space="preserve"> Ranked </w:t>
      </w:r>
      <w:r w:rsidRPr="00BF4AA8">
        <w:rPr>
          <w:rFonts w:ascii="Arial" w:hAnsi="Arial" w:cs="Arial"/>
          <w:b/>
          <w:bCs/>
          <w:sz w:val="22"/>
          <w:szCs w:val="22"/>
        </w:rPr>
        <w:t>150th</w:t>
      </w:r>
      <w:r w:rsidRPr="00BF4AA8">
        <w:rPr>
          <w:rFonts w:ascii="Arial" w:hAnsi="Arial" w:cs="Arial"/>
          <w:sz w:val="22"/>
          <w:szCs w:val="22"/>
        </w:rPr>
        <w:t xml:space="preserve"> with a score of </w:t>
      </w:r>
      <w:r w:rsidRPr="00BF4AA8">
        <w:rPr>
          <w:rFonts w:ascii="Arial" w:hAnsi="Arial" w:cs="Arial"/>
          <w:b/>
          <w:bCs/>
          <w:sz w:val="22"/>
          <w:szCs w:val="22"/>
        </w:rPr>
        <w:t>13.4</w:t>
      </w:r>
      <w:r w:rsidRPr="00BF4AA8">
        <w:rPr>
          <w:rFonts w:ascii="Arial" w:hAnsi="Arial" w:cs="Arial"/>
          <w:sz w:val="22"/>
          <w:szCs w:val="22"/>
        </w:rPr>
        <w:t xml:space="preserve">. This low score reflects a major issue with inadequate infrastructure, particularly in </w:t>
      </w:r>
      <w:r w:rsidRPr="00BF4AA8">
        <w:rPr>
          <w:rFonts w:ascii="Arial" w:hAnsi="Arial" w:cs="Arial"/>
          <w:b/>
          <w:bCs/>
          <w:sz w:val="22"/>
          <w:szCs w:val="22"/>
        </w:rPr>
        <w:t>wastewater collection</w:t>
      </w:r>
      <w:r w:rsidRPr="00BF4AA8">
        <w:rPr>
          <w:rFonts w:ascii="Arial" w:hAnsi="Arial" w:cs="Arial"/>
          <w:sz w:val="22"/>
          <w:szCs w:val="22"/>
        </w:rPr>
        <w:t xml:space="preserve"> (rank 141) and </w:t>
      </w:r>
      <w:r w:rsidRPr="00BF4AA8">
        <w:rPr>
          <w:rFonts w:ascii="Arial" w:hAnsi="Arial" w:cs="Arial"/>
          <w:b/>
          <w:bCs/>
          <w:sz w:val="22"/>
          <w:szCs w:val="22"/>
        </w:rPr>
        <w:t>wastewater treated</w:t>
      </w:r>
      <w:r w:rsidRPr="00BF4AA8">
        <w:rPr>
          <w:rFonts w:ascii="Arial" w:hAnsi="Arial" w:cs="Arial"/>
          <w:sz w:val="22"/>
          <w:szCs w:val="22"/>
        </w:rPr>
        <w:t xml:space="preserve"> (rank 148), which contributes to water pollution in inland and coastal areas.</w:t>
      </w:r>
    </w:p>
    <w:p w:rsidR="0098718A" w:rsidRPr="00BF4AA8" w:rsidRDefault="0098718A" w:rsidP="0098718A">
      <w:pPr>
        <w:pStyle w:val="NormalWeb"/>
        <w:numPr>
          <w:ilvl w:val="0"/>
          <w:numId w:val="140"/>
        </w:numPr>
        <w:spacing w:before="120" w:beforeAutospacing="0" w:after="120" w:afterAutospacing="0"/>
        <w:ind w:left="714" w:hanging="357"/>
        <w:jc w:val="both"/>
        <w:rPr>
          <w:rFonts w:ascii="Arial" w:hAnsi="Arial" w:cs="Arial"/>
          <w:sz w:val="22"/>
          <w:szCs w:val="22"/>
        </w:rPr>
      </w:pPr>
      <w:r w:rsidRPr="00BF4AA8">
        <w:rPr>
          <w:rFonts w:ascii="Arial" w:hAnsi="Arial" w:cs="Arial"/>
          <w:sz w:val="22"/>
          <w:szCs w:val="22"/>
        </w:rPr>
        <w:t>Cambodia ranks among the lowest globally for greenhouse-gas emissions trajectories, with rapid growth in CO</w:t>
      </w:r>
      <w:r w:rsidRPr="00BF4AA8">
        <w:rPr>
          <w:rFonts w:ascii="Cambria Math" w:hAnsi="Cambria Math" w:cs="Cambria Math"/>
          <w:sz w:val="22"/>
          <w:szCs w:val="22"/>
        </w:rPr>
        <w:t>₂</w:t>
      </w:r>
      <w:r w:rsidRPr="00BF4AA8">
        <w:rPr>
          <w:rFonts w:ascii="Arial" w:hAnsi="Arial" w:cs="Arial"/>
          <w:sz w:val="22"/>
          <w:szCs w:val="22"/>
        </w:rPr>
        <w:t xml:space="preserve"> and other GHG emissions. While Cambodia’s absolute emissions remain low in global terms, the trend reflects increasing reliance on fossil fuels, urban expansion and industrial activity, which compound climate risks affecting coastal zones (</w:t>
      </w:r>
      <w:proofErr w:type="gramStart"/>
      <w:r w:rsidRPr="00BF4AA8">
        <w:rPr>
          <w:rFonts w:ascii="Arial" w:hAnsi="Arial" w:cs="Arial"/>
          <w:sz w:val="22"/>
          <w:szCs w:val="22"/>
        </w:rPr>
        <w:t>e.g.</w:t>
      </w:r>
      <w:proofErr w:type="gramEnd"/>
      <w:r w:rsidRPr="00BF4AA8">
        <w:rPr>
          <w:rFonts w:ascii="Arial" w:hAnsi="Arial" w:cs="Arial"/>
          <w:sz w:val="22"/>
          <w:szCs w:val="22"/>
        </w:rPr>
        <w:t xml:space="preserve"> sea-level rise, heat stress and extreme events).</w:t>
      </w:r>
    </w:p>
    <w:p w:rsidR="0098718A" w:rsidRPr="00BF4AA8" w:rsidRDefault="0098718A" w:rsidP="0098718A">
      <w:pPr>
        <w:spacing w:after="100" w:afterAutospacing="1"/>
        <w:jc w:val="both"/>
        <w:rPr>
          <w:rFonts w:ascii="Arial" w:hAnsi="Arial" w:cs="Arial"/>
          <w:b/>
          <w:bCs/>
          <w:sz w:val="22"/>
          <w:szCs w:val="22"/>
        </w:rPr>
      </w:pPr>
      <w:r w:rsidRPr="00BF4AA8">
        <w:rPr>
          <w:rFonts w:ascii="Arial" w:hAnsi="Arial" w:cs="Arial"/>
          <w:b/>
          <w:bCs/>
          <w:sz w:val="22"/>
          <w:szCs w:val="22"/>
        </w:rPr>
        <w:t>Areas of Relative Strength</w:t>
      </w:r>
    </w:p>
    <w:p w:rsidR="0098718A" w:rsidRPr="00BF4AA8" w:rsidRDefault="0098718A" w:rsidP="0098718A">
      <w:pPr>
        <w:spacing w:after="100" w:afterAutospacing="1"/>
        <w:jc w:val="both"/>
        <w:rPr>
          <w:rFonts w:ascii="Arial" w:hAnsi="Arial" w:cs="Arial"/>
          <w:b/>
          <w:bCs/>
          <w:sz w:val="22"/>
          <w:szCs w:val="22"/>
        </w:rPr>
      </w:pPr>
      <w:r w:rsidRPr="00BF4AA8">
        <w:rPr>
          <w:rFonts w:ascii="Arial" w:hAnsi="Arial" w:cs="Arial"/>
          <w:sz w:val="22"/>
          <w:szCs w:val="22"/>
        </w:rPr>
        <w:t>While the overall rank is low, Cambodia shows better performance in specific indicators within the Ecosystem Vitality objective:</w:t>
      </w:r>
    </w:p>
    <w:p w:rsidR="0098718A" w:rsidRPr="00BF4AA8" w:rsidRDefault="0098718A" w:rsidP="0098718A">
      <w:pPr>
        <w:numPr>
          <w:ilvl w:val="0"/>
          <w:numId w:val="140"/>
        </w:numPr>
        <w:snapToGrid w:val="0"/>
        <w:spacing w:before="120" w:after="120"/>
        <w:ind w:left="714" w:hanging="357"/>
        <w:jc w:val="both"/>
        <w:rPr>
          <w:rFonts w:ascii="Arial" w:hAnsi="Arial" w:cs="Arial"/>
          <w:sz w:val="22"/>
          <w:szCs w:val="22"/>
        </w:rPr>
      </w:pPr>
      <w:r w:rsidRPr="00BF4AA8">
        <w:rPr>
          <w:rFonts w:ascii="Arial" w:hAnsi="Arial" w:cs="Arial"/>
          <w:b/>
          <w:bCs/>
          <w:sz w:val="22"/>
          <w:szCs w:val="22"/>
        </w:rPr>
        <w:t>Biodiversity &amp; Habitat:</w:t>
      </w:r>
      <w:r w:rsidRPr="00BF4AA8">
        <w:rPr>
          <w:rFonts w:ascii="Arial" w:hAnsi="Arial" w:cs="Arial"/>
          <w:sz w:val="22"/>
          <w:szCs w:val="22"/>
        </w:rPr>
        <w:t xml:space="preserve"> Ranked </w:t>
      </w:r>
      <w:r w:rsidRPr="00BF4AA8">
        <w:rPr>
          <w:rFonts w:ascii="Arial" w:hAnsi="Arial" w:cs="Arial"/>
          <w:b/>
          <w:bCs/>
          <w:sz w:val="22"/>
          <w:szCs w:val="22"/>
        </w:rPr>
        <w:t>57th</w:t>
      </w:r>
      <w:r w:rsidRPr="00BF4AA8">
        <w:rPr>
          <w:rFonts w:ascii="Arial" w:hAnsi="Arial" w:cs="Arial"/>
          <w:sz w:val="22"/>
          <w:szCs w:val="22"/>
        </w:rPr>
        <w:t xml:space="preserve"> with a score of </w:t>
      </w:r>
      <w:r w:rsidRPr="00BF4AA8">
        <w:rPr>
          <w:rFonts w:ascii="Arial" w:hAnsi="Arial" w:cs="Arial"/>
          <w:b/>
          <w:bCs/>
          <w:sz w:val="22"/>
          <w:szCs w:val="22"/>
        </w:rPr>
        <w:t>56.9</w:t>
      </w:r>
      <w:r w:rsidRPr="00BF4AA8">
        <w:rPr>
          <w:rFonts w:ascii="Arial" w:hAnsi="Arial" w:cs="Arial"/>
          <w:sz w:val="22"/>
          <w:szCs w:val="22"/>
        </w:rPr>
        <w:t xml:space="preserve">. The country scores relatively well in protecting specific areas, such as </w:t>
      </w:r>
      <w:r w:rsidRPr="00BF4AA8">
        <w:rPr>
          <w:rFonts w:ascii="Arial" w:hAnsi="Arial" w:cs="Arial"/>
          <w:b/>
          <w:bCs/>
          <w:sz w:val="22"/>
          <w:szCs w:val="22"/>
        </w:rPr>
        <w:t>Terrestrial Biome Protection</w:t>
      </w:r>
      <w:r w:rsidRPr="00BF4AA8">
        <w:rPr>
          <w:rFonts w:ascii="Arial" w:hAnsi="Arial" w:cs="Arial"/>
          <w:sz w:val="22"/>
          <w:szCs w:val="22"/>
        </w:rPr>
        <w:t xml:space="preserve"> (rank 1, score 100.0) and </w:t>
      </w:r>
      <w:r w:rsidRPr="00BF4AA8">
        <w:rPr>
          <w:rFonts w:ascii="Arial" w:hAnsi="Arial" w:cs="Arial"/>
          <w:b/>
          <w:bCs/>
          <w:sz w:val="22"/>
          <w:szCs w:val="22"/>
        </w:rPr>
        <w:t>Species Protection Index</w:t>
      </w:r>
      <w:r w:rsidRPr="00BF4AA8">
        <w:rPr>
          <w:rFonts w:ascii="Arial" w:hAnsi="Arial" w:cs="Arial"/>
          <w:sz w:val="22"/>
          <w:szCs w:val="22"/>
        </w:rPr>
        <w:t xml:space="preserve"> (rank 14), suggesting that a large portion of its terrestrial biomes </w:t>
      </w:r>
      <w:proofErr w:type="gramStart"/>
      <w:r w:rsidRPr="00BF4AA8">
        <w:rPr>
          <w:rFonts w:ascii="Arial" w:hAnsi="Arial" w:cs="Arial"/>
          <w:sz w:val="22"/>
          <w:szCs w:val="22"/>
        </w:rPr>
        <w:t>is formally protected</w:t>
      </w:r>
      <w:proofErr w:type="gramEnd"/>
      <w:r w:rsidRPr="00BF4AA8">
        <w:rPr>
          <w:rFonts w:ascii="Arial" w:hAnsi="Arial" w:cs="Arial"/>
          <w:sz w:val="22"/>
          <w:szCs w:val="22"/>
        </w:rPr>
        <w:t>.</w:t>
      </w:r>
    </w:p>
    <w:p w:rsidR="0098718A" w:rsidRPr="00BF4AA8" w:rsidRDefault="0098718A" w:rsidP="0098718A">
      <w:pPr>
        <w:numPr>
          <w:ilvl w:val="0"/>
          <w:numId w:val="140"/>
        </w:numPr>
        <w:snapToGrid w:val="0"/>
        <w:spacing w:before="120" w:after="120"/>
        <w:ind w:left="714" w:hanging="357"/>
        <w:jc w:val="both"/>
        <w:rPr>
          <w:rStyle w:val="Strong"/>
          <w:rFonts w:ascii="Arial" w:hAnsi="Arial" w:cs="Arial"/>
          <w:b w:val="0"/>
          <w:bCs w:val="0"/>
          <w:sz w:val="22"/>
          <w:szCs w:val="22"/>
        </w:rPr>
      </w:pPr>
      <w:r w:rsidRPr="00BF4AA8">
        <w:rPr>
          <w:rFonts w:ascii="Arial" w:hAnsi="Arial" w:cs="Arial"/>
          <w:b/>
          <w:bCs/>
          <w:sz w:val="22"/>
          <w:szCs w:val="22"/>
        </w:rPr>
        <w:t>Agriculture:</w:t>
      </w:r>
      <w:r w:rsidRPr="00BF4AA8">
        <w:rPr>
          <w:rFonts w:ascii="Arial" w:hAnsi="Arial" w:cs="Arial"/>
          <w:sz w:val="22"/>
          <w:szCs w:val="22"/>
        </w:rPr>
        <w:t xml:space="preserve"> Ranked </w:t>
      </w:r>
      <w:r w:rsidRPr="00BF4AA8">
        <w:rPr>
          <w:rFonts w:ascii="Arial" w:hAnsi="Arial" w:cs="Arial"/>
          <w:b/>
          <w:bCs/>
          <w:sz w:val="22"/>
          <w:szCs w:val="22"/>
        </w:rPr>
        <w:t>48th</w:t>
      </w:r>
      <w:r w:rsidRPr="00BF4AA8">
        <w:rPr>
          <w:rFonts w:ascii="Arial" w:hAnsi="Arial" w:cs="Arial"/>
          <w:sz w:val="22"/>
          <w:szCs w:val="22"/>
        </w:rPr>
        <w:t xml:space="preserve"> with a score of </w:t>
      </w:r>
      <w:r w:rsidRPr="00BF4AA8">
        <w:rPr>
          <w:rFonts w:ascii="Arial" w:hAnsi="Arial" w:cs="Arial"/>
          <w:b/>
          <w:bCs/>
          <w:sz w:val="22"/>
          <w:szCs w:val="22"/>
        </w:rPr>
        <w:t>64.6</w:t>
      </w:r>
      <w:r w:rsidRPr="00BF4AA8">
        <w:rPr>
          <w:rFonts w:ascii="Arial" w:hAnsi="Arial" w:cs="Arial"/>
          <w:sz w:val="22"/>
          <w:szCs w:val="22"/>
        </w:rPr>
        <w:t xml:space="preserve">, notably high in </w:t>
      </w:r>
      <w:r w:rsidRPr="00BF4AA8">
        <w:rPr>
          <w:rFonts w:ascii="Arial" w:hAnsi="Arial" w:cs="Arial"/>
          <w:b/>
          <w:bCs/>
          <w:sz w:val="22"/>
          <w:szCs w:val="22"/>
        </w:rPr>
        <w:t>Phosphorus Surplus</w:t>
      </w:r>
      <w:r w:rsidRPr="00BF4AA8">
        <w:rPr>
          <w:rFonts w:ascii="Arial" w:hAnsi="Arial" w:cs="Arial"/>
          <w:sz w:val="22"/>
          <w:szCs w:val="22"/>
        </w:rPr>
        <w:t xml:space="preserve"> management (rank 1, score 100.0) and </w:t>
      </w:r>
      <w:r w:rsidRPr="00BF4AA8">
        <w:rPr>
          <w:rFonts w:ascii="Arial" w:hAnsi="Arial" w:cs="Arial"/>
          <w:b/>
          <w:bCs/>
          <w:sz w:val="22"/>
          <w:szCs w:val="22"/>
        </w:rPr>
        <w:t>Relative Crop Yield</w:t>
      </w:r>
      <w:r w:rsidRPr="00BF4AA8">
        <w:rPr>
          <w:rFonts w:ascii="Arial" w:hAnsi="Arial" w:cs="Arial"/>
          <w:sz w:val="22"/>
          <w:szCs w:val="22"/>
        </w:rPr>
        <w:t xml:space="preserve"> (rank 45).</w:t>
      </w:r>
    </w:p>
    <w:p w:rsidR="0098718A" w:rsidRPr="00BF4AA8" w:rsidRDefault="0098718A" w:rsidP="0098718A">
      <w:pPr>
        <w:pStyle w:val="NormalWeb"/>
        <w:numPr>
          <w:ilvl w:val="0"/>
          <w:numId w:val="140"/>
        </w:numPr>
        <w:snapToGrid w:val="0"/>
        <w:spacing w:before="120" w:beforeAutospacing="0" w:after="120" w:afterAutospacing="0"/>
        <w:ind w:left="714" w:hanging="357"/>
        <w:jc w:val="both"/>
        <w:rPr>
          <w:rFonts w:ascii="Arial" w:hAnsi="Arial" w:cs="Arial"/>
          <w:sz w:val="22"/>
          <w:szCs w:val="22"/>
        </w:rPr>
      </w:pPr>
      <w:r w:rsidRPr="00BF4AA8">
        <w:rPr>
          <w:rStyle w:val="Strong"/>
          <w:rFonts w:ascii="Arial" w:hAnsi="Arial" w:cs="Arial"/>
          <w:sz w:val="22"/>
          <w:szCs w:val="22"/>
        </w:rPr>
        <w:t>Forest and land-use change:</w:t>
      </w:r>
      <w:r w:rsidRPr="00BF4AA8">
        <w:rPr>
          <w:rFonts w:ascii="Arial" w:hAnsi="Arial" w:cs="Arial"/>
          <w:sz w:val="22"/>
          <w:szCs w:val="22"/>
        </w:rPr>
        <w:t xml:space="preserve">  EPI scores in this domain are moderate, but continued primary forest and tree-cover loss associated with agricultural expansion, economic land concessions and infrastructure development remain evident. These land-use changes increase sediment loads and alter freshwater inflows to estuaries, </w:t>
      </w:r>
      <w:proofErr w:type="gramStart"/>
      <w:r w:rsidRPr="00BF4AA8">
        <w:rPr>
          <w:rFonts w:ascii="Arial" w:hAnsi="Arial" w:cs="Arial"/>
          <w:sz w:val="22"/>
          <w:szCs w:val="22"/>
        </w:rPr>
        <w:t>mangroves</w:t>
      </w:r>
      <w:proofErr w:type="gramEnd"/>
      <w:r w:rsidRPr="00BF4AA8">
        <w:rPr>
          <w:rFonts w:ascii="Arial" w:hAnsi="Arial" w:cs="Arial"/>
          <w:sz w:val="22"/>
          <w:szCs w:val="22"/>
        </w:rPr>
        <w:t xml:space="preserve"> and nearshore habitats, with downstream implications for fisheries productivity and coastal ecosystem health.</w:t>
      </w:r>
    </w:p>
    <w:p w:rsidR="0098718A" w:rsidRPr="00BF4AA8" w:rsidRDefault="0098718A" w:rsidP="0098718A">
      <w:pPr>
        <w:pStyle w:val="NormalWeb"/>
        <w:adjustRightInd w:val="0"/>
        <w:snapToGrid w:val="0"/>
        <w:spacing w:before="240" w:beforeAutospacing="0" w:after="120" w:afterAutospacing="0"/>
        <w:jc w:val="both"/>
        <w:rPr>
          <w:rFonts w:ascii="Arial" w:hAnsi="Arial" w:cs="Arial"/>
          <w:color w:val="002060"/>
          <w:sz w:val="22"/>
          <w:szCs w:val="22"/>
        </w:rPr>
      </w:pPr>
      <w:r w:rsidRPr="00BF4AA8">
        <w:rPr>
          <w:rFonts w:ascii="Arial" w:hAnsi="Arial" w:cs="Arial"/>
          <w:color w:val="002060"/>
          <w:sz w:val="22"/>
          <w:szCs w:val="22"/>
        </w:rPr>
        <w:t>Annex Table 6-</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Annex_Table_6-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10</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Cambodia's EPI 2024 summary</w:t>
      </w:r>
    </w:p>
    <w:tbl>
      <w:tblPr>
        <w:tblStyle w:val="GridTable4-Accent5"/>
        <w:tblW w:w="0" w:type="auto"/>
        <w:tblLook w:val="04A0" w:firstRow="1" w:lastRow="0" w:firstColumn="1" w:lastColumn="0" w:noHBand="0" w:noVBand="1"/>
      </w:tblPr>
      <w:tblGrid>
        <w:gridCol w:w="1730"/>
        <w:gridCol w:w="1910"/>
        <w:gridCol w:w="4848"/>
      </w:tblGrid>
      <w:tr w:rsidR="0098718A" w:rsidRPr="00BF4AA8" w:rsidTr="005F1F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0098718A" w:rsidRPr="00BF4AA8" w:rsidRDefault="0098718A" w:rsidP="005F1F5C">
            <w:pPr>
              <w:jc w:val="both"/>
              <w:rPr>
                <w:rFonts w:ascii="Arial" w:hAnsi="Arial" w:cs="Arial"/>
                <w:sz w:val="22"/>
                <w:szCs w:val="22"/>
              </w:rPr>
            </w:pPr>
            <w:r w:rsidRPr="00BF4AA8">
              <w:rPr>
                <w:rFonts w:ascii="Arial" w:hAnsi="Arial" w:cs="Arial"/>
                <w:sz w:val="22"/>
                <w:szCs w:val="22"/>
              </w:rPr>
              <w:t>Metric</w:t>
            </w:r>
          </w:p>
        </w:tc>
        <w:tc>
          <w:tcPr>
            <w:tcW w:w="0" w:type="auto"/>
            <w:hideMark/>
          </w:tcPr>
          <w:p w:rsidR="0098718A" w:rsidRPr="00BF4AA8" w:rsidRDefault="0098718A"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Value</w:t>
            </w:r>
          </w:p>
        </w:tc>
        <w:tc>
          <w:tcPr>
            <w:tcW w:w="0" w:type="auto"/>
            <w:hideMark/>
          </w:tcPr>
          <w:p w:rsidR="0098718A" w:rsidRPr="00BF4AA8" w:rsidRDefault="0098718A" w:rsidP="005F1F5C">
            <w:pPr>
              <w:jc w:val="both"/>
              <w:cnfStyle w:val="100000000000" w:firstRow="1"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Interpretation</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Global Rank</w:t>
            </w:r>
          </w:p>
        </w:tc>
        <w:tc>
          <w:tcPr>
            <w:tcW w:w="0" w:type="auto"/>
            <w:vAlign w:val="center"/>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b/>
                <w:bCs/>
                <w:sz w:val="22"/>
                <w:szCs w:val="22"/>
              </w:rPr>
              <w:t>170</w:t>
            </w:r>
            <w:r w:rsidRPr="00BF4AA8">
              <w:rPr>
                <w:rFonts w:ascii="Arial" w:hAnsi="Arial" w:cs="Arial"/>
                <w:sz w:val="22"/>
                <w:szCs w:val="22"/>
              </w:rPr>
              <w:t xml:space="preserve"> (out of 180 countries)</w:t>
            </w:r>
          </w:p>
        </w:tc>
        <w:tc>
          <w:tcPr>
            <w:tcW w:w="0" w:type="auto"/>
            <w:vAlign w:val="center"/>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Places Cambodia in the bottom 10% globally, indicating very poor environmental performance.</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EPI Score</w:t>
            </w:r>
          </w:p>
        </w:tc>
        <w:tc>
          <w:tcPr>
            <w:tcW w:w="0" w:type="auto"/>
            <w:vAlign w:val="center"/>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b/>
                <w:bCs/>
                <w:sz w:val="22"/>
                <w:szCs w:val="22"/>
              </w:rPr>
              <w:t>31.2</w:t>
            </w:r>
          </w:p>
        </w:tc>
        <w:tc>
          <w:tcPr>
            <w:tcW w:w="0" w:type="auto"/>
            <w:vAlign w:val="center"/>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This low score suggests that the country is far from meeting established environmental policy targets across various issues.</w:t>
            </w:r>
          </w:p>
        </w:tc>
      </w:tr>
      <w:tr w:rsidR="0098718A" w:rsidRPr="00BF4AA8" w:rsidTr="005F1F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Regional Rank</w:t>
            </w:r>
          </w:p>
        </w:tc>
        <w:tc>
          <w:tcPr>
            <w:tcW w:w="0" w:type="auto"/>
            <w:vAlign w:val="center"/>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b/>
                <w:bCs/>
                <w:sz w:val="22"/>
                <w:szCs w:val="22"/>
              </w:rPr>
              <w:t>22</w:t>
            </w:r>
            <w:r w:rsidRPr="00BF4AA8">
              <w:rPr>
                <w:rFonts w:ascii="Arial" w:hAnsi="Arial" w:cs="Arial"/>
                <w:sz w:val="22"/>
                <w:szCs w:val="22"/>
              </w:rPr>
              <w:t xml:space="preserve"> (e.g., in the Asia-Pacific region)</w:t>
            </w:r>
          </w:p>
        </w:tc>
        <w:tc>
          <w:tcPr>
            <w:tcW w:w="0" w:type="auto"/>
            <w:vAlign w:val="center"/>
            <w:hideMark/>
          </w:tcPr>
          <w:p w:rsidR="0098718A" w:rsidRPr="00BF4AA8" w:rsidRDefault="0098718A" w:rsidP="005F1F5C">
            <w:pPr>
              <w:cnfStyle w:val="000000100000" w:firstRow="0" w:lastRow="0" w:firstColumn="0" w:lastColumn="0" w:oddVBand="0" w:evenVBand="0" w:oddHBand="1" w:evenHBand="0" w:firstRowFirstColumn="0" w:firstRowLastColumn="0" w:lastRowFirstColumn="0" w:lastRowLastColumn="0"/>
              <w:rPr>
                <w:rFonts w:ascii="Arial" w:hAnsi="Arial" w:cs="Arial"/>
                <w:sz w:val="22"/>
                <w:szCs w:val="22"/>
              </w:rPr>
            </w:pPr>
            <w:r w:rsidRPr="00BF4AA8">
              <w:rPr>
                <w:rFonts w:ascii="Arial" w:hAnsi="Arial" w:cs="Arial"/>
                <w:sz w:val="22"/>
                <w:szCs w:val="22"/>
              </w:rPr>
              <w:t>Indicates poor performance relative to its regional peers.</w:t>
            </w:r>
          </w:p>
        </w:tc>
      </w:tr>
      <w:tr w:rsidR="0098718A" w:rsidRPr="00BF4AA8" w:rsidTr="005F1F5C">
        <w:tc>
          <w:tcPr>
            <w:cnfStyle w:val="001000000000" w:firstRow="0" w:lastRow="0" w:firstColumn="1" w:lastColumn="0" w:oddVBand="0" w:evenVBand="0" w:oddHBand="0" w:evenHBand="0" w:firstRowFirstColumn="0" w:firstRowLastColumn="0" w:lastRowFirstColumn="0" w:lastRowLastColumn="0"/>
            <w:tcW w:w="0" w:type="auto"/>
            <w:vAlign w:val="center"/>
            <w:hideMark/>
          </w:tcPr>
          <w:p w:rsidR="0098718A" w:rsidRPr="00BF4AA8" w:rsidRDefault="0098718A" w:rsidP="005F1F5C">
            <w:pPr>
              <w:rPr>
                <w:rFonts w:ascii="Arial" w:hAnsi="Arial" w:cs="Arial"/>
                <w:sz w:val="22"/>
                <w:szCs w:val="22"/>
              </w:rPr>
            </w:pPr>
            <w:r w:rsidRPr="00BF4AA8">
              <w:rPr>
                <w:rFonts w:ascii="Arial" w:hAnsi="Arial" w:cs="Arial"/>
                <w:sz w:val="22"/>
                <w:szCs w:val="22"/>
              </w:rPr>
              <w:t>10-Year Change ($\Delta$)</w:t>
            </w:r>
          </w:p>
        </w:tc>
        <w:tc>
          <w:tcPr>
            <w:tcW w:w="0" w:type="auto"/>
            <w:vAlign w:val="center"/>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b/>
                <w:bCs/>
                <w:sz w:val="22"/>
                <w:szCs w:val="22"/>
              </w:rPr>
              <w:t>0.4</w:t>
            </w:r>
          </w:p>
        </w:tc>
        <w:tc>
          <w:tcPr>
            <w:tcW w:w="0" w:type="auto"/>
            <w:vAlign w:val="center"/>
            <w:hideMark/>
          </w:tcPr>
          <w:p w:rsidR="0098718A" w:rsidRPr="00BF4AA8" w:rsidRDefault="0098718A" w:rsidP="005F1F5C">
            <w:pPr>
              <w:cnfStyle w:val="000000000000" w:firstRow="0" w:lastRow="0" w:firstColumn="0" w:lastColumn="0" w:oddVBand="0" w:evenVBand="0" w:oddHBand="0" w:evenHBand="0" w:firstRowFirstColumn="0" w:firstRowLastColumn="0" w:lastRowFirstColumn="0" w:lastRowLastColumn="0"/>
              <w:rPr>
                <w:rFonts w:ascii="Arial" w:hAnsi="Arial" w:cs="Arial"/>
                <w:sz w:val="22"/>
                <w:szCs w:val="22"/>
              </w:rPr>
            </w:pPr>
            <w:r w:rsidRPr="00BF4AA8">
              <w:rPr>
                <w:rFonts w:ascii="Arial" w:hAnsi="Arial" w:cs="Arial"/>
                <w:sz w:val="22"/>
                <w:szCs w:val="22"/>
              </w:rPr>
              <w:t>Suggests a negligible improvement in environmental performance over the past decade.</w:t>
            </w:r>
          </w:p>
        </w:tc>
      </w:tr>
    </w:tbl>
    <w:p w:rsidR="0098718A" w:rsidRPr="00BF4AA8" w:rsidRDefault="0098718A" w:rsidP="0098718A">
      <w:pPr>
        <w:pStyle w:val="NormalWeb"/>
        <w:spacing w:before="0" w:beforeAutospacing="0"/>
        <w:jc w:val="both"/>
        <w:rPr>
          <w:rFonts w:ascii="Arial" w:hAnsi="Arial" w:cs="Arial"/>
          <w:i/>
          <w:iCs/>
          <w:sz w:val="22"/>
          <w:szCs w:val="22"/>
        </w:rPr>
      </w:pPr>
      <w:r w:rsidRPr="00BF4AA8">
        <w:rPr>
          <w:rFonts w:ascii="Arial" w:hAnsi="Arial" w:cs="Arial"/>
          <w:b/>
          <w:bCs/>
          <w:i/>
          <w:iCs/>
          <w:sz w:val="22"/>
          <w:szCs w:val="22"/>
        </w:rPr>
        <w:t>Source:</w:t>
      </w:r>
      <w:r w:rsidRPr="00BF4AA8">
        <w:rPr>
          <w:rFonts w:ascii="Arial" w:hAnsi="Arial" w:cs="Arial"/>
          <w:i/>
          <w:iCs/>
          <w:sz w:val="22"/>
          <w:szCs w:val="22"/>
        </w:rPr>
        <w:t xml:space="preserve"> Environmental Performance Index (EPI), 2024. Cambodia Country Profile</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Areas of relative strength in the EPI include </w:t>
      </w:r>
      <w:r w:rsidRPr="00BF4AA8">
        <w:rPr>
          <w:rStyle w:val="Strong"/>
          <w:rFonts w:ascii="Arial" w:hAnsi="Arial" w:cs="Arial"/>
          <w:sz w:val="22"/>
          <w:szCs w:val="22"/>
        </w:rPr>
        <w:t>biodiversity and habitat protection</w:t>
      </w:r>
      <w:r w:rsidRPr="00BF4AA8">
        <w:rPr>
          <w:rFonts w:ascii="Arial" w:hAnsi="Arial" w:cs="Arial"/>
          <w:sz w:val="22"/>
          <w:szCs w:val="22"/>
        </w:rPr>
        <w:t xml:space="preserve">, where terrestrial biome protection and species-related indicators score comparatively higher, and certain </w:t>
      </w:r>
      <w:r w:rsidRPr="00BF4AA8">
        <w:rPr>
          <w:rStyle w:val="Strong"/>
          <w:rFonts w:ascii="Arial" w:hAnsi="Arial" w:cs="Arial"/>
          <w:sz w:val="22"/>
          <w:szCs w:val="22"/>
        </w:rPr>
        <w:t>agricultural indicators</w:t>
      </w:r>
      <w:r w:rsidRPr="00BF4AA8">
        <w:rPr>
          <w:rFonts w:ascii="Arial" w:hAnsi="Arial" w:cs="Arial"/>
          <w:sz w:val="22"/>
          <w:szCs w:val="22"/>
        </w:rPr>
        <w:t xml:space="preserve"> (</w:t>
      </w:r>
      <w:proofErr w:type="gramStart"/>
      <w:r w:rsidRPr="00BF4AA8">
        <w:rPr>
          <w:rFonts w:ascii="Arial" w:hAnsi="Arial" w:cs="Arial"/>
          <w:sz w:val="22"/>
          <w:szCs w:val="22"/>
        </w:rPr>
        <w:t>e.g.</w:t>
      </w:r>
      <w:proofErr w:type="gramEnd"/>
      <w:r w:rsidRPr="00BF4AA8">
        <w:rPr>
          <w:rFonts w:ascii="Arial" w:hAnsi="Arial" w:cs="Arial"/>
          <w:sz w:val="22"/>
          <w:szCs w:val="22"/>
        </w:rPr>
        <w:t xml:space="preserve"> phosphorus surplus and relative crop yield). These results suggest that conservation designations and specific sectoral measures can be effective where implementation and enforcement </w:t>
      </w:r>
      <w:proofErr w:type="gramStart"/>
      <w:r w:rsidRPr="00BF4AA8">
        <w:rPr>
          <w:rFonts w:ascii="Arial" w:hAnsi="Arial" w:cs="Arial"/>
          <w:sz w:val="22"/>
          <w:szCs w:val="22"/>
        </w:rPr>
        <w:t>are sustained</w:t>
      </w:r>
      <w:proofErr w:type="gramEnd"/>
      <w:r w:rsidRPr="00BF4AA8">
        <w:rPr>
          <w:rFonts w:ascii="Arial" w:hAnsi="Arial" w:cs="Arial"/>
          <w:sz w:val="22"/>
          <w:szCs w:val="22"/>
        </w:rPr>
        <w:t>.</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Overall, for the purposes of this TDA, the EPI underscores that </w:t>
      </w:r>
      <w:r w:rsidRPr="00BF4AA8">
        <w:rPr>
          <w:rStyle w:val="Strong"/>
          <w:rFonts w:ascii="Arial" w:hAnsi="Arial" w:cs="Arial"/>
          <w:sz w:val="22"/>
          <w:szCs w:val="22"/>
        </w:rPr>
        <w:t>structural pollution pressures, land-use change and climate-related risks remain high</w:t>
      </w:r>
      <w:r w:rsidRPr="00BF4AA8">
        <w:rPr>
          <w:rFonts w:ascii="Arial" w:hAnsi="Arial" w:cs="Arial"/>
          <w:sz w:val="22"/>
          <w:szCs w:val="22"/>
        </w:rPr>
        <w:t xml:space="preserve">, reinforcing the need for sustained investment in wastewater and solid-waste management, air-emissions control, and land-use planning </w:t>
      </w:r>
      <w:proofErr w:type="gramStart"/>
      <w:r w:rsidRPr="00BF4AA8">
        <w:rPr>
          <w:rFonts w:ascii="Arial" w:hAnsi="Arial" w:cs="Arial"/>
          <w:sz w:val="22"/>
          <w:szCs w:val="22"/>
        </w:rPr>
        <w:t>that safeguards</w:t>
      </w:r>
      <w:proofErr w:type="gramEnd"/>
      <w:r w:rsidRPr="00BF4AA8">
        <w:rPr>
          <w:rFonts w:ascii="Arial" w:hAnsi="Arial" w:cs="Arial"/>
          <w:sz w:val="22"/>
          <w:szCs w:val="22"/>
        </w:rPr>
        <w:t xml:space="preserve"> coastal ecosystems.</w:t>
      </w:r>
    </w:p>
    <w:p w:rsidR="0098718A" w:rsidRPr="00BF4AA8" w:rsidRDefault="0098718A" w:rsidP="0098718A">
      <w:pPr>
        <w:adjustRightInd w:val="0"/>
        <w:snapToGrid w:val="0"/>
        <w:spacing w:before="240" w:after="120"/>
        <w:rPr>
          <w:rFonts w:ascii="Arial" w:hAnsi="Arial" w:cs="Arial"/>
          <w:b/>
          <w:bCs/>
          <w:i/>
          <w:iCs/>
          <w:color w:val="0070C0"/>
          <w:sz w:val="22"/>
          <w:szCs w:val="22"/>
        </w:rPr>
      </w:pPr>
      <w:r w:rsidRPr="00BF4AA8">
        <w:rPr>
          <w:rFonts w:ascii="Arial" w:hAnsi="Arial" w:cs="Arial"/>
          <w:b/>
          <w:bCs/>
          <w:i/>
          <w:iCs/>
          <w:color w:val="0070C0"/>
          <w:sz w:val="22"/>
          <w:szCs w:val="22"/>
        </w:rPr>
        <w:t>B. World Bank Worldwide Governance Indicators (WGI)</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The </w:t>
      </w:r>
      <w:r w:rsidRPr="00BF4AA8">
        <w:rPr>
          <w:rStyle w:val="Strong"/>
          <w:rFonts w:ascii="Arial" w:hAnsi="Arial" w:cs="Arial"/>
          <w:sz w:val="22"/>
          <w:szCs w:val="22"/>
        </w:rPr>
        <w:t>World Bank Worldwide Governance Indicators (WGI)</w:t>
      </w:r>
      <w:r w:rsidRPr="00BF4AA8">
        <w:rPr>
          <w:rFonts w:ascii="Arial" w:hAnsi="Arial" w:cs="Arial"/>
          <w:sz w:val="22"/>
          <w:szCs w:val="22"/>
        </w:rPr>
        <w:t xml:space="preserve"> provide complementary insight into Cambodia’s broader governance environment and its implications for coastal and marine management capacity. Cambodia’s scores remain low across several dimensions that are directly relevant to environmental governance.</w:t>
      </w:r>
    </w:p>
    <w:p w:rsidR="0098718A" w:rsidRPr="00BF4AA8" w:rsidRDefault="0098718A" w:rsidP="0098718A">
      <w:pPr>
        <w:pStyle w:val="NormalWeb"/>
        <w:numPr>
          <w:ilvl w:val="0"/>
          <w:numId w:val="141"/>
        </w:numPr>
        <w:adjustRightInd w:val="0"/>
        <w:snapToGrid w:val="0"/>
        <w:spacing w:before="120" w:beforeAutospacing="0" w:after="120" w:afterAutospacing="0"/>
        <w:ind w:left="714" w:hanging="357"/>
        <w:jc w:val="both"/>
        <w:rPr>
          <w:rFonts w:ascii="Arial" w:hAnsi="Arial" w:cs="Arial"/>
          <w:sz w:val="22"/>
          <w:szCs w:val="22"/>
        </w:rPr>
      </w:pPr>
      <w:r w:rsidRPr="00BF4AA8">
        <w:rPr>
          <w:rStyle w:val="Strong"/>
          <w:rFonts w:ascii="Arial" w:hAnsi="Arial" w:cs="Arial"/>
          <w:sz w:val="22"/>
          <w:szCs w:val="22"/>
        </w:rPr>
        <w:t>Government Effectiveness:</w:t>
      </w:r>
      <w:r w:rsidRPr="00BF4AA8">
        <w:rPr>
          <w:rFonts w:ascii="Arial" w:hAnsi="Arial" w:cs="Arial"/>
          <w:sz w:val="22"/>
          <w:szCs w:val="22"/>
        </w:rPr>
        <w:t xml:space="preserve"> Cambodia ranks in approximately the </w:t>
      </w:r>
      <w:r w:rsidRPr="00BF4AA8">
        <w:rPr>
          <w:rStyle w:val="Strong"/>
          <w:rFonts w:ascii="Arial" w:hAnsi="Arial" w:cs="Arial"/>
          <w:sz w:val="22"/>
          <w:szCs w:val="22"/>
        </w:rPr>
        <w:t>10–13th percentile globally</w:t>
      </w:r>
      <w:r w:rsidRPr="00BF4AA8">
        <w:rPr>
          <w:rFonts w:ascii="Arial" w:hAnsi="Arial" w:cs="Arial"/>
          <w:sz w:val="22"/>
          <w:szCs w:val="22"/>
        </w:rPr>
        <w:t xml:space="preserve">, reflecting weak perceptions of public-service quality, policy implementation and bureaucratic capacity. These constraints affect the ability of national and provincial administrations to plan, implement and sustain complex governance instruments such as </w:t>
      </w:r>
      <w:r w:rsidRPr="00BF4AA8">
        <w:rPr>
          <w:rStyle w:val="Strong"/>
          <w:rFonts w:ascii="Arial" w:hAnsi="Arial" w:cs="Arial"/>
          <w:sz w:val="22"/>
          <w:szCs w:val="22"/>
        </w:rPr>
        <w:t>integrated coastal zone management (ICZM)</w:t>
      </w:r>
      <w:r w:rsidRPr="00BF4AA8">
        <w:rPr>
          <w:rFonts w:ascii="Arial" w:hAnsi="Arial" w:cs="Arial"/>
          <w:sz w:val="22"/>
          <w:szCs w:val="22"/>
        </w:rPr>
        <w:t xml:space="preserve">, </w:t>
      </w:r>
      <w:r w:rsidRPr="00BF4AA8">
        <w:rPr>
          <w:rStyle w:val="Strong"/>
          <w:rFonts w:ascii="Arial" w:hAnsi="Arial" w:cs="Arial"/>
          <w:sz w:val="22"/>
          <w:szCs w:val="22"/>
        </w:rPr>
        <w:t>marine spatial planning (MSP)</w:t>
      </w:r>
      <w:r w:rsidRPr="00BF4AA8">
        <w:rPr>
          <w:rFonts w:ascii="Arial" w:hAnsi="Arial" w:cs="Arial"/>
          <w:sz w:val="22"/>
          <w:szCs w:val="22"/>
        </w:rPr>
        <w:t>, routine compliance monitoring and environmental service delivery.</w:t>
      </w:r>
    </w:p>
    <w:p w:rsidR="0098718A" w:rsidRPr="00BF4AA8" w:rsidRDefault="0098718A" w:rsidP="0098718A">
      <w:pPr>
        <w:pStyle w:val="NormalWeb"/>
        <w:numPr>
          <w:ilvl w:val="0"/>
          <w:numId w:val="141"/>
        </w:numPr>
        <w:adjustRightInd w:val="0"/>
        <w:snapToGrid w:val="0"/>
        <w:spacing w:before="120" w:beforeAutospacing="0" w:after="120" w:afterAutospacing="0"/>
        <w:ind w:left="714" w:hanging="357"/>
        <w:jc w:val="both"/>
        <w:rPr>
          <w:rFonts w:ascii="Arial" w:hAnsi="Arial" w:cs="Arial"/>
          <w:sz w:val="22"/>
          <w:szCs w:val="22"/>
        </w:rPr>
      </w:pPr>
      <w:r w:rsidRPr="00BF4AA8">
        <w:rPr>
          <w:rStyle w:val="Strong"/>
          <w:rFonts w:ascii="Arial" w:hAnsi="Arial" w:cs="Arial"/>
          <w:sz w:val="22"/>
          <w:szCs w:val="22"/>
        </w:rPr>
        <w:t>Regulatory Quality:</w:t>
      </w:r>
      <w:r w:rsidRPr="00BF4AA8">
        <w:rPr>
          <w:rFonts w:ascii="Arial" w:hAnsi="Arial" w:cs="Arial"/>
          <w:sz w:val="22"/>
          <w:szCs w:val="22"/>
        </w:rPr>
        <w:t xml:space="preserve"> With scores in the </w:t>
      </w:r>
      <w:r w:rsidRPr="00BF4AA8">
        <w:rPr>
          <w:rStyle w:val="Strong"/>
          <w:rFonts w:ascii="Arial" w:hAnsi="Arial" w:cs="Arial"/>
          <w:sz w:val="22"/>
          <w:szCs w:val="22"/>
        </w:rPr>
        <w:t>15–20th percentile</w:t>
      </w:r>
      <w:r w:rsidRPr="00BF4AA8">
        <w:rPr>
          <w:rFonts w:ascii="Arial" w:hAnsi="Arial" w:cs="Arial"/>
          <w:sz w:val="22"/>
          <w:szCs w:val="22"/>
        </w:rPr>
        <w:t xml:space="preserve">, Cambodia faces challenges in designing and enforcing predictable, </w:t>
      </w:r>
      <w:proofErr w:type="gramStart"/>
      <w:r w:rsidRPr="00BF4AA8">
        <w:rPr>
          <w:rFonts w:ascii="Arial" w:hAnsi="Arial" w:cs="Arial"/>
          <w:sz w:val="22"/>
          <w:szCs w:val="22"/>
        </w:rPr>
        <w:t>transparent</w:t>
      </w:r>
      <w:proofErr w:type="gramEnd"/>
      <w:r w:rsidRPr="00BF4AA8">
        <w:rPr>
          <w:rFonts w:ascii="Arial" w:hAnsi="Arial" w:cs="Arial"/>
          <w:sz w:val="22"/>
          <w:szCs w:val="22"/>
        </w:rPr>
        <w:t xml:space="preserve"> and pro-environment regulatory frameworks. In coastal areas, this is reflected in uneven application of </w:t>
      </w:r>
      <w:r w:rsidRPr="00BF4AA8">
        <w:rPr>
          <w:rStyle w:val="Strong"/>
          <w:rFonts w:ascii="Arial" w:hAnsi="Arial" w:cs="Arial"/>
          <w:sz w:val="22"/>
          <w:szCs w:val="22"/>
        </w:rPr>
        <w:t>EIA/SEA conditions</w:t>
      </w:r>
      <w:r w:rsidRPr="00BF4AA8">
        <w:rPr>
          <w:rFonts w:ascii="Arial" w:hAnsi="Arial" w:cs="Arial"/>
          <w:sz w:val="22"/>
          <w:szCs w:val="22"/>
        </w:rPr>
        <w:t xml:space="preserve">, limited cumulative-impact control, and difficulties in regulating ports, tourism development, fisheries, </w:t>
      </w:r>
      <w:proofErr w:type="gramStart"/>
      <w:r w:rsidRPr="00BF4AA8">
        <w:rPr>
          <w:rFonts w:ascii="Arial" w:hAnsi="Arial" w:cs="Arial"/>
          <w:sz w:val="22"/>
          <w:szCs w:val="22"/>
        </w:rPr>
        <w:t>aquaculture</w:t>
      </w:r>
      <w:proofErr w:type="gramEnd"/>
      <w:r w:rsidRPr="00BF4AA8">
        <w:rPr>
          <w:rFonts w:ascii="Arial" w:hAnsi="Arial" w:cs="Arial"/>
          <w:sz w:val="22"/>
          <w:szCs w:val="22"/>
        </w:rPr>
        <w:t xml:space="preserve"> and pollution sources in a coordinated manner.</w:t>
      </w:r>
    </w:p>
    <w:p w:rsidR="0098718A" w:rsidRPr="00BF4AA8" w:rsidRDefault="0098718A" w:rsidP="0098718A">
      <w:pPr>
        <w:pStyle w:val="NormalWeb"/>
        <w:numPr>
          <w:ilvl w:val="0"/>
          <w:numId w:val="141"/>
        </w:numPr>
        <w:adjustRightInd w:val="0"/>
        <w:snapToGrid w:val="0"/>
        <w:spacing w:before="120" w:beforeAutospacing="0" w:after="120" w:afterAutospacing="0"/>
        <w:ind w:left="714" w:hanging="357"/>
        <w:jc w:val="both"/>
        <w:rPr>
          <w:rFonts w:ascii="Arial" w:hAnsi="Arial" w:cs="Arial"/>
          <w:sz w:val="22"/>
          <w:szCs w:val="22"/>
        </w:rPr>
      </w:pPr>
      <w:r w:rsidRPr="00BF4AA8">
        <w:rPr>
          <w:rStyle w:val="Strong"/>
          <w:rFonts w:ascii="Arial" w:hAnsi="Arial" w:cs="Arial"/>
          <w:sz w:val="22"/>
          <w:szCs w:val="22"/>
        </w:rPr>
        <w:t>Control of Corruption:</w:t>
      </w:r>
      <w:r w:rsidRPr="00BF4AA8">
        <w:rPr>
          <w:rFonts w:ascii="Arial" w:hAnsi="Arial" w:cs="Arial"/>
          <w:sz w:val="22"/>
          <w:szCs w:val="22"/>
        </w:rPr>
        <w:t xml:space="preserve"> Cambodia’s position in the </w:t>
      </w:r>
      <w:r w:rsidRPr="00BF4AA8">
        <w:rPr>
          <w:rStyle w:val="Strong"/>
          <w:rFonts w:ascii="Arial" w:hAnsi="Arial" w:cs="Arial"/>
          <w:sz w:val="22"/>
          <w:szCs w:val="22"/>
        </w:rPr>
        <w:t>5–10th percentile globally</w:t>
      </w:r>
      <w:r w:rsidRPr="00BF4AA8">
        <w:rPr>
          <w:rFonts w:ascii="Arial" w:hAnsi="Arial" w:cs="Arial"/>
          <w:sz w:val="22"/>
          <w:szCs w:val="22"/>
        </w:rPr>
        <w:t xml:space="preserve"> indicates persistent corruption risks in both public and private sectors. These risks undermine equitable benefit-sharing, increase the likelihood of non-compliant or informal development in sensitive coastal zones, and weaken trust in licensing, </w:t>
      </w:r>
      <w:proofErr w:type="gramStart"/>
      <w:r w:rsidRPr="00BF4AA8">
        <w:rPr>
          <w:rFonts w:ascii="Arial" w:hAnsi="Arial" w:cs="Arial"/>
          <w:sz w:val="22"/>
          <w:szCs w:val="22"/>
        </w:rPr>
        <w:t>enforcement</w:t>
      </w:r>
      <w:proofErr w:type="gramEnd"/>
      <w:r w:rsidRPr="00BF4AA8">
        <w:rPr>
          <w:rFonts w:ascii="Arial" w:hAnsi="Arial" w:cs="Arial"/>
          <w:sz w:val="22"/>
          <w:szCs w:val="22"/>
        </w:rPr>
        <w:t xml:space="preserve"> and grievance-redress mechanisms.</w:t>
      </w:r>
    </w:p>
    <w:p w:rsidR="0098718A" w:rsidRPr="00BF4AA8" w:rsidRDefault="0098718A" w:rsidP="0098718A">
      <w:pPr>
        <w:pStyle w:val="NormalWeb"/>
        <w:adjustRightInd w:val="0"/>
        <w:snapToGrid w:val="0"/>
        <w:spacing w:before="120" w:beforeAutospacing="0" w:after="0" w:afterAutospacing="0"/>
        <w:jc w:val="both"/>
        <w:rPr>
          <w:rFonts w:ascii="Arial" w:hAnsi="Arial" w:cs="Arial"/>
          <w:sz w:val="22"/>
          <w:szCs w:val="22"/>
        </w:rPr>
      </w:pPr>
      <w:r w:rsidRPr="00BF4AA8">
        <w:rPr>
          <w:rFonts w:ascii="Arial" w:hAnsi="Arial" w:cs="Arial"/>
          <w:noProof/>
          <w:sz w:val="22"/>
          <w:szCs w:val="22"/>
        </w:rPr>
        <w:drawing>
          <wp:inline distT="0" distB="0" distL="0" distR="0" wp14:anchorId="75FD8354" wp14:editId="19A42062">
            <wp:extent cx="5678424" cy="3651885"/>
            <wp:effectExtent l="12700" t="12700" r="11430" b="18415"/>
            <wp:docPr id="16398501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850160" name=""/>
                    <pic:cNvPicPr/>
                  </pic:nvPicPr>
                  <pic:blipFill rotWithShape="1">
                    <a:blip r:embed="rId10"/>
                    <a:srcRect r="861"/>
                    <a:stretch/>
                  </pic:blipFill>
                  <pic:spPr bwMode="auto">
                    <a:xfrm>
                      <a:off x="0" y="0"/>
                      <a:ext cx="5678424" cy="3651885"/>
                    </a:xfrm>
                    <a:prstGeom prst="rect">
                      <a:avLst/>
                    </a:prstGeom>
                    <a:ln>
                      <a:solidFill>
                        <a:schemeClr val="tx2">
                          <a:lumMod val="40000"/>
                          <a:lumOff val="60000"/>
                        </a:schemeClr>
                      </a:solidFill>
                    </a:ln>
                    <a:extLst>
                      <a:ext uri="{53640926-AAD7-44D8-BBD7-CCE9431645EC}">
                        <a14:shadowObscured xmlns:a14="http://schemas.microsoft.com/office/drawing/2010/main"/>
                      </a:ext>
                    </a:extLst>
                  </pic:spPr>
                </pic:pic>
              </a:graphicData>
            </a:graphic>
          </wp:inline>
        </w:drawing>
      </w:r>
    </w:p>
    <w:p w:rsidR="0098718A" w:rsidRPr="00BF4AA8" w:rsidRDefault="0098718A" w:rsidP="0098718A">
      <w:pPr>
        <w:pStyle w:val="NormalWeb"/>
        <w:adjustRightInd w:val="0"/>
        <w:snapToGrid w:val="0"/>
        <w:spacing w:before="0" w:beforeAutospacing="0" w:after="0" w:afterAutospacing="0"/>
        <w:jc w:val="both"/>
        <w:rPr>
          <w:rFonts w:ascii="Arial" w:hAnsi="Arial" w:cs="Arial"/>
          <w:color w:val="002060"/>
          <w:sz w:val="22"/>
          <w:szCs w:val="22"/>
        </w:rPr>
      </w:pPr>
      <w:r w:rsidRPr="00BF4AA8">
        <w:rPr>
          <w:rFonts w:ascii="Arial" w:hAnsi="Arial" w:cs="Arial"/>
          <w:color w:val="002060"/>
          <w:sz w:val="22"/>
          <w:szCs w:val="22"/>
        </w:rPr>
        <w:t xml:space="preserve">Annex Figure 6- </w:t>
      </w:r>
      <w:r w:rsidRPr="00BF4AA8">
        <w:rPr>
          <w:rFonts w:ascii="Arial" w:hAnsi="Arial" w:cs="Arial"/>
          <w:color w:val="002060"/>
          <w:sz w:val="22"/>
          <w:szCs w:val="22"/>
        </w:rPr>
        <w:fldChar w:fldCharType="begin"/>
      </w:r>
      <w:r w:rsidRPr="00BF4AA8">
        <w:rPr>
          <w:rFonts w:ascii="Arial" w:hAnsi="Arial" w:cs="Arial"/>
          <w:color w:val="002060"/>
          <w:sz w:val="22"/>
          <w:szCs w:val="22"/>
        </w:rPr>
        <w:instrText xml:space="preserve"> SEQ Annex_Figure_6- \* ARABIC </w:instrText>
      </w:r>
      <w:r w:rsidRPr="00BF4AA8">
        <w:rPr>
          <w:rFonts w:ascii="Arial" w:hAnsi="Arial" w:cs="Arial"/>
          <w:color w:val="002060"/>
          <w:sz w:val="22"/>
          <w:szCs w:val="22"/>
        </w:rPr>
        <w:fldChar w:fldCharType="separate"/>
      </w:r>
      <w:r w:rsidR="00836984">
        <w:rPr>
          <w:rFonts w:ascii="Arial" w:hAnsi="Arial" w:cs="Arial"/>
          <w:noProof/>
          <w:color w:val="002060"/>
          <w:sz w:val="22"/>
          <w:szCs w:val="22"/>
        </w:rPr>
        <w:t>1</w:t>
      </w:r>
      <w:r w:rsidRPr="00BF4AA8">
        <w:rPr>
          <w:rFonts w:ascii="Arial" w:hAnsi="Arial" w:cs="Arial"/>
          <w:color w:val="002060"/>
          <w:sz w:val="22"/>
          <w:szCs w:val="22"/>
        </w:rPr>
        <w:fldChar w:fldCharType="end"/>
      </w:r>
      <w:r w:rsidRPr="00BF4AA8">
        <w:rPr>
          <w:rFonts w:ascii="Arial" w:hAnsi="Arial" w:cs="Arial"/>
          <w:color w:val="002060"/>
          <w:sz w:val="22"/>
          <w:szCs w:val="22"/>
        </w:rPr>
        <w:t xml:space="preserve"> World Bank Worldwide Governance Indicators (WGI) – Cambodia</w:t>
      </w:r>
    </w:p>
    <w:p w:rsidR="0098718A" w:rsidRPr="00BF4AA8" w:rsidRDefault="0098718A" w:rsidP="0098718A">
      <w:pPr>
        <w:rPr>
          <w:rFonts w:ascii="Arial" w:hAnsi="Arial" w:cs="Arial"/>
          <w:i/>
          <w:iCs/>
          <w:sz w:val="22"/>
          <w:szCs w:val="22"/>
        </w:rPr>
      </w:pPr>
      <w:r w:rsidRPr="00BF4AA8">
        <w:rPr>
          <w:rFonts w:ascii="Arial" w:hAnsi="Arial" w:cs="Arial"/>
          <w:b/>
          <w:bCs/>
          <w:i/>
          <w:iCs/>
          <w:sz w:val="22"/>
          <w:szCs w:val="22"/>
        </w:rPr>
        <w:t>Source:</w:t>
      </w:r>
      <w:r w:rsidRPr="00BF4AA8">
        <w:rPr>
          <w:rFonts w:ascii="Arial" w:hAnsi="Arial" w:cs="Arial"/>
          <w:i/>
          <w:iCs/>
          <w:sz w:val="22"/>
          <w:szCs w:val="22"/>
        </w:rPr>
        <w:t xml:space="preserve"> World Bank, 2024, Worldwide Governance Indicators, 2024 Update, World Bank. </w:t>
      </w:r>
    </w:p>
    <w:p w:rsidR="0098718A" w:rsidRPr="00BF4AA8" w:rsidRDefault="0098718A" w:rsidP="00BF4AA8">
      <w:pPr>
        <w:pStyle w:val="Heading2"/>
        <w:keepNext/>
        <w:adjustRightInd w:val="0"/>
        <w:snapToGrid w:val="0"/>
        <w:spacing w:before="240" w:beforeAutospacing="0" w:after="120" w:afterAutospacing="0"/>
        <w:rPr>
          <w:rFonts w:ascii="Arial" w:hAnsi="Arial" w:cs="Arial"/>
          <w:color w:val="0070C0"/>
          <w:sz w:val="22"/>
          <w:szCs w:val="22"/>
        </w:rPr>
      </w:pPr>
      <w:bookmarkStart w:id="49" w:name="_Ref216535226"/>
      <w:bookmarkStart w:id="50" w:name="_Toc216681471"/>
      <w:r w:rsidRPr="00BF4AA8">
        <w:rPr>
          <w:rFonts w:ascii="Arial" w:hAnsi="Arial" w:cs="Arial"/>
          <w:color w:val="0070C0"/>
          <w:sz w:val="22"/>
          <w:szCs w:val="22"/>
        </w:rPr>
        <w:t>Annex 6-</w:t>
      </w:r>
      <w:r w:rsidRPr="00BF4AA8">
        <w:rPr>
          <w:rFonts w:ascii="Arial" w:hAnsi="Arial" w:cs="Arial"/>
          <w:color w:val="0070C0"/>
          <w:sz w:val="22"/>
          <w:szCs w:val="22"/>
        </w:rPr>
        <w:fldChar w:fldCharType="begin"/>
      </w:r>
      <w:r w:rsidRPr="00BF4AA8">
        <w:rPr>
          <w:rFonts w:ascii="Arial" w:hAnsi="Arial" w:cs="Arial"/>
          <w:color w:val="0070C0"/>
          <w:sz w:val="22"/>
          <w:szCs w:val="22"/>
        </w:rPr>
        <w:instrText xml:space="preserve"> SEQ Annex_6- \* ARABIC </w:instrText>
      </w:r>
      <w:r w:rsidRPr="00BF4AA8">
        <w:rPr>
          <w:rFonts w:ascii="Arial" w:hAnsi="Arial" w:cs="Arial"/>
          <w:color w:val="0070C0"/>
          <w:sz w:val="22"/>
          <w:szCs w:val="22"/>
        </w:rPr>
        <w:fldChar w:fldCharType="separate"/>
      </w:r>
      <w:r w:rsidR="00836984">
        <w:rPr>
          <w:rFonts w:ascii="Arial" w:hAnsi="Arial" w:cs="Arial"/>
          <w:noProof/>
          <w:color w:val="0070C0"/>
          <w:sz w:val="22"/>
          <w:szCs w:val="22"/>
        </w:rPr>
        <w:t>3</w:t>
      </w:r>
      <w:r w:rsidRPr="00BF4AA8">
        <w:rPr>
          <w:rFonts w:ascii="Arial" w:hAnsi="Arial" w:cs="Arial"/>
          <w:color w:val="0070C0"/>
          <w:sz w:val="22"/>
          <w:szCs w:val="22"/>
        </w:rPr>
        <w:fldChar w:fldCharType="end"/>
      </w:r>
      <w:bookmarkEnd w:id="49"/>
      <w:r w:rsidRPr="00BF4AA8">
        <w:rPr>
          <w:rFonts w:ascii="Arial" w:hAnsi="Arial" w:cs="Arial"/>
          <w:color w:val="0070C0"/>
          <w:sz w:val="22"/>
          <w:szCs w:val="22"/>
        </w:rPr>
        <w:t xml:space="preserve"> Explanatory Note: Rationale for Cambodia’s TWAP Governance Scores</w:t>
      </w:r>
      <w:bookmarkEnd w:id="50"/>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This annex records the basis for Cambodia’s self-assigned scores under the </w:t>
      </w:r>
      <w:r w:rsidRPr="00BF4AA8">
        <w:rPr>
          <w:rStyle w:val="Strong"/>
          <w:rFonts w:ascii="Arial" w:hAnsi="Arial" w:cs="Arial"/>
          <w:sz w:val="22"/>
          <w:szCs w:val="22"/>
        </w:rPr>
        <w:t>TWAP Governance Architecture Assessment Framework</w:t>
      </w:r>
      <w:r w:rsidRPr="00BF4AA8">
        <w:rPr>
          <w:rFonts w:ascii="Arial" w:hAnsi="Arial" w:cs="Arial"/>
          <w:sz w:val="22"/>
          <w:szCs w:val="22"/>
        </w:rPr>
        <w:t xml:space="preserve"> (Fanning et al., 2017). Consistent with TWAP practice, the scoring is an </w:t>
      </w:r>
      <w:r w:rsidRPr="00BF4AA8">
        <w:rPr>
          <w:rStyle w:val="Strong"/>
          <w:rFonts w:ascii="Arial" w:hAnsi="Arial" w:cs="Arial"/>
          <w:sz w:val="22"/>
          <w:szCs w:val="22"/>
        </w:rPr>
        <w:t>evidence-based qualitative judgment</w:t>
      </w:r>
      <w:r w:rsidRPr="00BF4AA8">
        <w:rPr>
          <w:rFonts w:ascii="Arial" w:hAnsi="Arial" w:cs="Arial"/>
          <w:sz w:val="22"/>
          <w:szCs w:val="22"/>
        </w:rPr>
        <w:t xml:space="preserve"> drawing on the institutional review, indicators and risk discussion presented in Chapter 6. The framework assesses three attributes of governance architecture—</w:t>
      </w:r>
      <w:r w:rsidRPr="00BF4AA8">
        <w:rPr>
          <w:rStyle w:val="Strong"/>
          <w:rFonts w:ascii="Arial" w:hAnsi="Arial" w:cs="Arial"/>
          <w:sz w:val="22"/>
          <w:szCs w:val="22"/>
        </w:rPr>
        <w:t>Completeness, Integration and Engagement</w:t>
      </w:r>
      <w:r w:rsidRPr="00BF4AA8">
        <w:rPr>
          <w:rFonts w:ascii="Arial" w:hAnsi="Arial" w:cs="Arial"/>
          <w:sz w:val="22"/>
          <w:szCs w:val="22"/>
        </w:rPr>
        <w:t xml:space="preserve">—as proxies for the extent to which governance arrangements </w:t>
      </w:r>
      <w:proofErr w:type="gramStart"/>
      <w:r w:rsidRPr="00BF4AA8">
        <w:rPr>
          <w:rFonts w:ascii="Arial" w:hAnsi="Arial" w:cs="Arial"/>
          <w:sz w:val="22"/>
          <w:szCs w:val="22"/>
        </w:rPr>
        <w:t>are capable of delivering</w:t>
      </w:r>
      <w:proofErr w:type="gramEnd"/>
      <w:r w:rsidRPr="00BF4AA8">
        <w:rPr>
          <w:rFonts w:ascii="Arial" w:hAnsi="Arial" w:cs="Arial"/>
          <w:sz w:val="22"/>
          <w:szCs w:val="22"/>
        </w:rPr>
        <w:t xml:space="preserve"> coherent, adaptive and inclusive management of coastal and marine systems.</w:t>
      </w:r>
    </w:p>
    <w:p w:rsidR="0098718A" w:rsidRPr="00BF4AA8" w:rsidRDefault="0098718A" w:rsidP="0098718A">
      <w:pPr>
        <w:adjustRightInd w:val="0"/>
        <w:snapToGrid w:val="0"/>
        <w:spacing w:before="240" w:after="120"/>
        <w:rPr>
          <w:rFonts w:ascii="Arial" w:hAnsi="Arial" w:cs="Arial"/>
          <w:b/>
          <w:bCs/>
          <w:i/>
          <w:iCs/>
          <w:color w:val="0070C0"/>
          <w:sz w:val="22"/>
          <w:szCs w:val="22"/>
        </w:rPr>
      </w:pPr>
      <w:r w:rsidRPr="00BF4AA8">
        <w:rPr>
          <w:rFonts w:ascii="Arial" w:hAnsi="Arial" w:cs="Arial"/>
          <w:b/>
          <w:bCs/>
          <w:i/>
          <w:iCs/>
          <w:color w:val="0070C0"/>
          <w:sz w:val="22"/>
          <w:szCs w:val="22"/>
        </w:rPr>
        <w:t>A. Completeness (55–60%; Medium–Low)</w:t>
      </w:r>
    </w:p>
    <w:p w:rsidR="0098718A" w:rsidRPr="00BF4AA8" w:rsidRDefault="0098718A" w:rsidP="0098718A">
      <w:pPr>
        <w:pStyle w:val="NormalWeb"/>
        <w:jc w:val="both"/>
        <w:rPr>
          <w:rFonts w:ascii="Arial" w:hAnsi="Arial" w:cs="Arial"/>
          <w:sz w:val="22"/>
          <w:szCs w:val="22"/>
        </w:rPr>
      </w:pPr>
      <w:r w:rsidRPr="00BF4AA8">
        <w:rPr>
          <w:rStyle w:val="Strong"/>
          <w:rFonts w:ascii="Arial" w:hAnsi="Arial" w:cs="Arial"/>
          <w:sz w:val="22"/>
          <w:szCs w:val="22"/>
        </w:rPr>
        <w:t>Score rationale.</w:t>
      </w:r>
      <w:r w:rsidRPr="00BF4AA8">
        <w:rPr>
          <w:rFonts w:ascii="Arial" w:hAnsi="Arial" w:cs="Arial"/>
          <w:sz w:val="22"/>
          <w:szCs w:val="22"/>
        </w:rPr>
        <w:t xml:space="preserve"> Cambodia’s completeness score reflects that the principal building blocks of a coastal–marine governance system are in place, including: (</w:t>
      </w:r>
      <w:proofErr w:type="spellStart"/>
      <w:r w:rsidRPr="00BF4AA8">
        <w:rPr>
          <w:rFonts w:ascii="Arial" w:hAnsi="Arial" w:cs="Arial"/>
          <w:sz w:val="22"/>
          <w:szCs w:val="22"/>
        </w:rPr>
        <w:t>i</w:t>
      </w:r>
      <w:proofErr w:type="spellEnd"/>
      <w:r w:rsidRPr="00BF4AA8">
        <w:rPr>
          <w:rFonts w:ascii="Arial" w:hAnsi="Arial" w:cs="Arial"/>
          <w:sz w:val="22"/>
          <w:szCs w:val="22"/>
        </w:rPr>
        <w:t>) a broad legal and policy framework for environment, fisheries and protected areas; (ii) designated national and subnational institutions with mandates relevant to coastal and marine management; and (iii) a growing set of management instruments, including co-management arrangements (e.g., MFMAs/CPAs), compliance/patrol mechanisms and emerging monitoring and reporting functions.</w:t>
      </w:r>
    </w:p>
    <w:p w:rsidR="0098718A" w:rsidRPr="00BF4AA8" w:rsidRDefault="0098718A" w:rsidP="0098718A">
      <w:pPr>
        <w:pStyle w:val="NormalWeb"/>
        <w:jc w:val="both"/>
        <w:rPr>
          <w:rFonts w:ascii="Arial" w:hAnsi="Arial" w:cs="Arial"/>
          <w:sz w:val="22"/>
          <w:szCs w:val="22"/>
        </w:rPr>
      </w:pPr>
      <w:r w:rsidRPr="00BF4AA8">
        <w:rPr>
          <w:rStyle w:val="Strong"/>
          <w:rFonts w:ascii="Arial" w:hAnsi="Arial" w:cs="Arial"/>
          <w:sz w:val="22"/>
          <w:szCs w:val="22"/>
        </w:rPr>
        <w:t>Key evidence supporting the score.</w:t>
      </w:r>
    </w:p>
    <w:p w:rsidR="0098718A" w:rsidRPr="00BF4AA8" w:rsidRDefault="0098718A" w:rsidP="0098718A">
      <w:pPr>
        <w:pStyle w:val="NormalWeb"/>
        <w:numPr>
          <w:ilvl w:val="0"/>
          <w:numId w:val="137"/>
        </w:numPr>
        <w:jc w:val="both"/>
        <w:rPr>
          <w:rFonts w:ascii="Arial" w:hAnsi="Arial" w:cs="Arial"/>
          <w:sz w:val="22"/>
          <w:szCs w:val="22"/>
        </w:rPr>
      </w:pPr>
      <w:r w:rsidRPr="00BF4AA8">
        <w:rPr>
          <w:rStyle w:val="Strong"/>
          <w:rFonts w:ascii="Arial" w:hAnsi="Arial" w:cs="Arial"/>
          <w:sz w:val="22"/>
          <w:szCs w:val="22"/>
        </w:rPr>
        <w:t xml:space="preserve">Policy and legal coverage </w:t>
      </w:r>
      <w:proofErr w:type="gramStart"/>
      <w:r w:rsidRPr="00BF4AA8">
        <w:rPr>
          <w:rStyle w:val="Strong"/>
          <w:rFonts w:ascii="Arial" w:hAnsi="Arial" w:cs="Arial"/>
          <w:sz w:val="22"/>
          <w:szCs w:val="22"/>
        </w:rPr>
        <w:t>is</w:t>
      </w:r>
      <w:proofErr w:type="gramEnd"/>
      <w:r w:rsidRPr="00BF4AA8">
        <w:rPr>
          <w:rStyle w:val="Strong"/>
          <w:rFonts w:ascii="Arial" w:hAnsi="Arial" w:cs="Arial"/>
          <w:sz w:val="22"/>
          <w:szCs w:val="22"/>
        </w:rPr>
        <w:t xml:space="preserve"> largely present</w:t>
      </w:r>
      <w:r w:rsidRPr="00BF4AA8">
        <w:rPr>
          <w:rFonts w:ascii="Arial" w:hAnsi="Arial" w:cs="Arial"/>
          <w:sz w:val="22"/>
          <w:szCs w:val="22"/>
        </w:rPr>
        <w:t xml:space="preserve"> across the main management functions (planning, regulation, conservation/co-management, compliance) and aligns with national strategies on environment and climate.</w:t>
      </w:r>
    </w:p>
    <w:p w:rsidR="0098718A" w:rsidRPr="00BF4AA8" w:rsidRDefault="0098718A" w:rsidP="0098718A">
      <w:pPr>
        <w:pStyle w:val="NormalWeb"/>
        <w:numPr>
          <w:ilvl w:val="0"/>
          <w:numId w:val="137"/>
        </w:numPr>
        <w:jc w:val="both"/>
        <w:rPr>
          <w:rFonts w:ascii="Arial" w:hAnsi="Arial" w:cs="Arial"/>
          <w:sz w:val="22"/>
          <w:szCs w:val="22"/>
        </w:rPr>
      </w:pPr>
      <w:r w:rsidRPr="00BF4AA8">
        <w:rPr>
          <w:rStyle w:val="Strong"/>
          <w:rFonts w:ascii="Arial" w:hAnsi="Arial" w:cs="Arial"/>
          <w:sz w:val="22"/>
          <w:szCs w:val="22"/>
        </w:rPr>
        <w:t>Institutions exist at multiple levels</w:t>
      </w:r>
      <w:r w:rsidRPr="00BF4AA8">
        <w:rPr>
          <w:rFonts w:ascii="Arial" w:hAnsi="Arial" w:cs="Arial"/>
          <w:sz w:val="22"/>
          <w:szCs w:val="22"/>
        </w:rPr>
        <w:t xml:space="preserve"> (national–provincial–local) to implement sectoral mandates and coordinate selected cross-sector actions.</w:t>
      </w:r>
    </w:p>
    <w:p w:rsidR="0098718A" w:rsidRPr="00BF4AA8" w:rsidRDefault="0098718A" w:rsidP="0098718A">
      <w:pPr>
        <w:pStyle w:val="NormalWeb"/>
        <w:numPr>
          <w:ilvl w:val="0"/>
          <w:numId w:val="137"/>
        </w:numPr>
        <w:jc w:val="both"/>
        <w:rPr>
          <w:rFonts w:ascii="Arial" w:hAnsi="Arial" w:cs="Arial"/>
          <w:sz w:val="22"/>
          <w:szCs w:val="22"/>
        </w:rPr>
      </w:pPr>
      <w:r w:rsidRPr="00BF4AA8">
        <w:rPr>
          <w:rStyle w:val="Strong"/>
          <w:rFonts w:ascii="Arial" w:hAnsi="Arial" w:cs="Arial"/>
          <w:sz w:val="22"/>
          <w:szCs w:val="22"/>
        </w:rPr>
        <w:t>Monitoring and management tools are expanding</w:t>
      </w:r>
      <w:r w:rsidRPr="00BF4AA8">
        <w:rPr>
          <w:rFonts w:ascii="Arial" w:hAnsi="Arial" w:cs="Arial"/>
          <w:sz w:val="22"/>
          <w:szCs w:val="22"/>
        </w:rPr>
        <w:t>, particularly through site-based co-management and protected area systems.</w:t>
      </w:r>
    </w:p>
    <w:p w:rsidR="0098718A" w:rsidRPr="00BF4AA8" w:rsidRDefault="0098718A" w:rsidP="0098718A">
      <w:pPr>
        <w:pStyle w:val="NormalWeb"/>
        <w:jc w:val="both"/>
        <w:rPr>
          <w:rFonts w:ascii="Arial" w:hAnsi="Arial" w:cs="Arial"/>
          <w:sz w:val="22"/>
          <w:szCs w:val="22"/>
        </w:rPr>
      </w:pPr>
      <w:r w:rsidRPr="00BF4AA8">
        <w:rPr>
          <w:rStyle w:val="Strong"/>
          <w:rFonts w:ascii="Arial" w:hAnsi="Arial" w:cs="Arial"/>
          <w:sz w:val="22"/>
          <w:szCs w:val="22"/>
        </w:rPr>
        <w:t>Why the score is not higher.</w:t>
      </w:r>
      <w:r w:rsidRPr="00BF4AA8">
        <w:rPr>
          <w:rFonts w:ascii="Arial" w:hAnsi="Arial" w:cs="Arial"/>
          <w:sz w:val="22"/>
          <w:szCs w:val="22"/>
        </w:rPr>
        <w:t xml:space="preserve"> The policy cycle is not yet consistently operational across provinces and sectors. Constraints include </w:t>
      </w:r>
      <w:r w:rsidRPr="00BF4AA8">
        <w:rPr>
          <w:rStyle w:val="Strong"/>
          <w:rFonts w:ascii="Arial" w:hAnsi="Arial" w:cs="Arial"/>
          <w:sz w:val="22"/>
          <w:szCs w:val="22"/>
        </w:rPr>
        <w:t>variable implementation and enforcement capacity</w:t>
      </w:r>
      <w:r w:rsidRPr="00BF4AA8">
        <w:rPr>
          <w:rFonts w:ascii="Arial" w:hAnsi="Arial" w:cs="Arial"/>
          <w:sz w:val="22"/>
          <w:szCs w:val="22"/>
        </w:rPr>
        <w:t xml:space="preserve">, uneven resourcing for routine functions (monitoring, laboratories, patrols, wastewater oversight), and limited institutionalization of </w:t>
      </w:r>
      <w:r w:rsidRPr="00BF4AA8">
        <w:rPr>
          <w:rStyle w:val="Strong"/>
          <w:rFonts w:ascii="Arial" w:hAnsi="Arial" w:cs="Arial"/>
          <w:sz w:val="22"/>
          <w:szCs w:val="22"/>
        </w:rPr>
        <w:t>adaptive management</w:t>
      </w:r>
      <w:r w:rsidRPr="00BF4AA8">
        <w:rPr>
          <w:rFonts w:ascii="Arial" w:hAnsi="Arial" w:cs="Arial"/>
          <w:sz w:val="22"/>
          <w:szCs w:val="22"/>
        </w:rPr>
        <w:t xml:space="preserve"> (systematic use of monitoring results to revise rules, zoning, investment priorities and budgets). These limitations reduce the effectiveness of otherwise complete formal arrangements, supporting a Medium–Low score.</w:t>
      </w:r>
    </w:p>
    <w:p w:rsidR="0098718A" w:rsidRPr="00BF4AA8" w:rsidRDefault="0098718A" w:rsidP="0098718A">
      <w:pPr>
        <w:adjustRightInd w:val="0"/>
        <w:snapToGrid w:val="0"/>
        <w:spacing w:before="240" w:after="120"/>
        <w:rPr>
          <w:rFonts w:ascii="Arial" w:hAnsi="Arial" w:cs="Arial"/>
          <w:b/>
          <w:bCs/>
          <w:i/>
          <w:iCs/>
          <w:color w:val="0070C0"/>
          <w:sz w:val="22"/>
          <w:szCs w:val="22"/>
        </w:rPr>
      </w:pPr>
      <w:r w:rsidRPr="00BF4AA8">
        <w:rPr>
          <w:rFonts w:ascii="Arial" w:hAnsi="Arial" w:cs="Arial"/>
          <w:b/>
          <w:bCs/>
          <w:i/>
          <w:iCs/>
          <w:color w:val="0070C0"/>
          <w:sz w:val="22"/>
          <w:szCs w:val="22"/>
        </w:rPr>
        <w:t>B. Integration (0.35–0.45; High–Medium Risk)</w:t>
      </w:r>
    </w:p>
    <w:p w:rsidR="0098718A" w:rsidRPr="00BF4AA8" w:rsidRDefault="0098718A" w:rsidP="0098718A">
      <w:pPr>
        <w:rPr>
          <w:rFonts w:ascii="Arial" w:hAnsi="Arial" w:cs="Arial"/>
          <w:b/>
          <w:bCs/>
          <w:i/>
          <w:iCs/>
          <w:color w:val="0070C0"/>
          <w:sz w:val="22"/>
          <w:szCs w:val="22"/>
        </w:rPr>
      </w:pPr>
      <w:r w:rsidRPr="00BF4AA8">
        <w:rPr>
          <w:rStyle w:val="Strong"/>
          <w:rFonts w:ascii="Arial" w:hAnsi="Arial" w:cs="Arial"/>
          <w:sz w:val="22"/>
          <w:szCs w:val="22"/>
        </w:rPr>
        <w:t>Score rationale.</w:t>
      </w:r>
      <w:r w:rsidRPr="00BF4AA8">
        <w:rPr>
          <w:rFonts w:ascii="Arial" w:hAnsi="Arial" w:cs="Arial"/>
          <w:sz w:val="22"/>
          <w:szCs w:val="22"/>
        </w:rPr>
        <w:t xml:space="preserve"> Integration </w:t>
      </w:r>
      <w:proofErr w:type="gramStart"/>
      <w:r w:rsidRPr="00BF4AA8">
        <w:rPr>
          <w:rFonts w:ascii="Arial" w:hAnsi="Arial" w:cs="Arial"/>
          <w:sz w:val="22"/>
          <w:szCs w:val="22"/>
        </w:rPr>
        <w:t>is assessed</w:t>
      </w:r>
      <w:proofErr w:type="gramEnd"/>
      <w:r w:rsidRPr="00BF4AA8">
        <w:rPr>
          <w:rFonts w:ascii="Arial" w:hAnsi="Arial" w:cs="Arial"/>
          <w:sz w:val="22"/>
          <w:szCs w:val="22"/>
        </w:rPr>
        <w:t xml:space="preserve"> as the main structural weakness. While Cambodia demonstrates progress in selected coordination mechanisms and regional cooperation, governance for the coastal–marine space remains </w:t>
      </w:r>
      <w:r w:rsidRPr="00BF4AA8">
        <w:rPr>
          <w:rStyle w:val="Strong"/>
          <w:rFonts w:ascii="Arial" w:hAnsi="Arial" w:cs="Arial"/>
          <w:sz w:val="22"/>
          <w:szCs w:val="22"/>
        </w:rPr>
        <w:t>fragmented across institutions and sectors</w:t>
      </w:r>
      <w:r w:rsidRPr="00BF4AA8">
        <w:rPr>
          <w:rFonts w:ascii="Arial" w:hAnsi="Arial" w:cs="Arial"/>
          <w:sz w:val="22"/>
          <w:szCs w:val="22"/>
        </w:rPr>
        <w:t>, particularly for sea-use decisions and land–sea interactions.</w:t>
      </w:r>
    </w:p>
    <w:p w:rsidR="0098718A" w:rsidRPr="00BF4AA8" w:rsidRDefault="0098718A" w:rsidP="0098718A">
      <w:pPr>
        <w:pStyle w:val="NormalWeb"/>
        <w:jc w:val="both"/>
        <w:rPr>
          <w:rFonts w:ascii="Arial" w:hAnsi="Arial" w:cs="Arial"/>
          <w:sz w:val="22"/>
          <w:szCs w:val="22"/>
        </w:rPr>
      </w:pPr>
      <w:r w:rsidRPr="00BF4AA8">
        <w:rPr>
          <w:rStyle w:val="Strong"/>
          <w:rFonts w:ascii="Arial" w:hAnsi="Arial" w:cs="Arial"/>
          <w:sz w:val="22"/>
          <w:szCs w:val="22"/>
        </w:rPr>
        <w:t>Key evidence supporting the score.</w:t>
      </w:r>
    </w:p>
    <w:p w:rsidR="0098718A" w:rsidRPr="00BF4AA8" w:rsidRDefault="0098718A" w:rsidP="0098718A">
      <w:pPr>
        <w:pStyle w:val="NormalWeb"/>
        <w:numPr>
          <w:ilvl w:val="0"/>
          <w:numId w:val="138"/>
        </w:numPr>
        <w:jc w:val="both"/>
        <w:rPr>
          <w:rFonts w:ascii="Arial" w:hAnsi="Arial" w:cs="Arial"/>
          <w:sz w:val="22"/>
          <w:szCs w:val="22"/>
        </w:rPr>
      </w:pPr>
      <w:r w:rsidRPr="00BF4AA8">
        <w:rPr>
          <w:rStyle w:val="Strong"/>
          <w:rFonts w:ascii="Arial" w:hAnsi="Arial" w:cs="Arial"/>
          <w:sz w:val="22"/>
          <w:szCs w:val="22"/>
        </w:rPr>
        <w:t>Vertical integration has advanced in principle</w:t>
      </w:r>
      <w:r w:rsidRPr="00BF4AA8">
        <w:rPr>
          <w:rFonts w:ascii="Arial" w:hAnsi="Arial" w:cs="Arial"/>
          <w:sz w:val="22"/>
          <w:szCs w:val="22"/>
        </w:rPr>
        <w:t xml:space="preserve"> through national-to-subnational arrangements and expanding coastal management initiatives, and Cambodia participates actively in </w:t>
      </w:r>
      <w:r w:rsidRPr="00BF4AA8">
        <w:rPr>
          <w:rStyle w:val="Strong"/>
          <w:rFonts w:ascii="Arial" w:hAnsi="Arial" w:cs="Arial"/>
          <w:sz w:val="22"/>
          <w:szCs w:val="22"/>
        </w:rPr>
        <w:t>regional cooperation</w:t>
      </w:r>
      <w:r w:rsidRPr="00BF4AA8">
        <w:rPr>
          <w:rFonts w:ascii="Arial" w:hAnsi="Arial" w:cs="Arial"/>
          <w:sz w:val="22"/>
          <w:szCs w:val="22"/>
        </w:rPr>
        <w:t xml:space="preserve"> platforms relevant to SCS–</w:t>
      </w:r>
      <w:proofErr w:type="spellStart"/>
      <w:r w:rsidRPr="00BF4AA8">
        <w:rPr>
          <w:rFonts w:ascii="Arial" w:hAnsi="Arial" w:cs="Arial"/>
          <w:sz w:val="22"/>
          <w:szCs w:val="22"/>
        </w:rPr>
        <w:t>GoT</w:t>
      </w:r>
      <w:proofErr w:type="spellEnd"/>
      <w:r w:rsidRPr="00BF4AA8">
        <w:rPr>
          <w:rFonts w:ascii="Arial" w:hAnsi="Arial" w:cs="Arial"/>
          <w:sz w:val="22"/>
          <w:szCs w:val="22"/>
        </w:rPr>
        <w:t>.</w:t>
      </w:r>
    </w:p>
    <w:p w:rsidR="0098718A" w:rsidRPr="00BF4AA8" w:rsidRDefault="0098718A" w:rsidP="0098718A">
      <w:pPr>
        <w:pStyle w:val="NormalWeb"/>
        <w:numPr>
          <w:ilvl w:val="0"/>
          <w:numId w:val="138"/>
        </w:numPr>
        <w:jc w:val="both"/>
        <w:rPr>
          <w:rFonts w:ascii="Arial" w:hAnsi="Arial" w:cs="Arial"/>
          <w:sz w:val="22"/>
          <w:szCs w:val="22"/>
        </w:rPr>
      </w:pPr>
      <w:r w:rsidRPr="00BF4AA8">
        <w:rPr>
          <w:rFonts w:ascii="Arial" w:hAnsi="Arial" w:cs="Arial"/>
          <w:sz w:val="22"/>
          <w:szCs w:val="22"/>
        </w:rPr>
        <w:t xml:space="preserve">However, </w:t>
      </w:r>
      <w:r w:rsidRPr="00BF4AA8">
        <w:rPr>
          <w:rStyle w:val="Strong"/>
          <w:rFonts w:ascii="Arial" w:hAnsi="Arial" w:cs="Arial"/>
          <w:sz w:val="22"/>
          <w:szCs w:val="22"/>
        </w:rPr>
        <w:t>horizontal integration remains limited</w:t>
      </w:r>
      <w:r w:rsidRPr="00BF4AA8">
        <w:rPr>
          <w:rFonts w:ascii="Arial" w:hAnsi="Arial" w:cs="Arial"/>
          <w:sz w:val="22"/>
          <w:szCs w:val="22"/>
        </w:rPr>
        <w:t xml:space="preserve"> among core coastal drivers (ports/shipping, tourism, urban development, wastewater/solid waste, </w:t>
      </w:r>
      <w:proofErr w:type="gramStart"/>
      <w:r w:rsidRPr="00BF4AA8">
        <w:rPr>
          <w:rFonts w:ascii="Arial" w:hAnsi="Arial" w:cs="Arial"/>
          <w:sz w:val="22"/>
          <w:szCs w:val="22"/>
        </w:rPr>
        <w:t>fisheries</w:t>
      </w:r>
      <w:proofErr w:type="gramEnd"/>
      <w:r w:rsidRPr="00BF4AA8">
        <w:rPr>
          <w:rFonts w:ascii="Arial" w:hAnsi="Arial" w:cs="Arial"/>
          <w:sz w:val="22"/>
          <w:szCs w:val="22"/>
        </w:rPr>
        <w:t xml:space="preserve"> and aquaculture).</w:t>
      </w:r>
    </w:p>
    <w:p w:rsidR="0098718A" w:rsidRPr="00BF4AA8" w:rsidRDefault="0098718A" w:rsidP="0098718A">
      <w:pPr>
        <w:pStyle w:val="NormalWeb"/>
        <w:numPr>
          <w:ilvl w:val="0"/>
          <w:numId w:val="138"/>
        </w:numPr>
        <w:jc w:val="both"/>
        <w:rPr>
          <w:rFonts w:ascii="Arial" w:hAnsi="Arial" w:cs="Arial"/>
          <w:sz w:val="22"/>
          <w:szCs w:val="22"/>
        </w:rPr>
      </w:pPr>
      <w:r w:rsidRPr="00BF4AA8">
        <w:rPr>
          <w:rStyle w:val="Strong"/>
          <w:rFonts w:ascii="Arial" w:hAnsi="Arial" w:cs="Arial"/>
          <w:sz w:val="22"/>
          <w:szCs w:val="22"/>
        </w:rPr>
        <w:t>Marine spatial planning is not yet fully operational</w:t>
      </w:r>
      <w:r w:rsidRPr="00BF4AA8">
        <w:rPr>
          <w:rFonts w:ascii="Arial" w:hAnsi="Arial" w:cs="Arial"/>
          <w:sz w:val="22"/>
          <w:szCs w:val="22"/>
        </w:rPr>
        <w:t xml:space="preserve">, and mandates related to sea-space planning, licensing, </w:t>
      </w:r>
      <w:proofErr w:type="gramStart"/>
      <w:r w:rsidRPr="00BF4AA8">
        <w:rPr>
          <w:rFonts w:ascii="Arial" w:hAnsi="Arial" w:cs="Arial"/>
          <w:sz w:val="22"/>
          <w:szCs w:val="22"/>
        </w:rPr>
        <w:t>compliance</w:t>
      </w:r>
      <w:proofErr w:type="gramEnd"/>
      <w:r w:rsidRPr="00BF4AA8">
        <w:rPr>
          <w:rFonts w:ascii="Arial" w:hAnsi="Arial" w:cs="Arial"/>
          <w:sz w:val="22"/>
          <w:szCs w:val="22"/>
        </w:rPr>
        <w:t xml:space="preserve"> and monitoring remain distributed, creating coordination gaps at the land–sea interface.</w:t>
      </w:r>
    </w:p>
    <w:p w:rsidR="0098718A" w:rsidRPr="00BF4AA8" w:rsidRDefault="0098718A" w:rsidP="0098718A">
      <w:pPr>
        <w:pStyle w:val="NormalWeb"/>
        <w:jc w:val="both"/>
        <w:rPr>
          <w:rFonts w:ascii="Arial" w:hAnsi="Arial" w:cs="Arial"/>
          <w:sz w:val="22"/>
          <w:szCs w:val="22"/>
        </w:rPr>
      </w:pPr>
      <w:r w:rsidRPr="00BF4AA8">
        <w:rPr>
          <w:rStyle w:val="Strong"/>
          <w:rFonts w:ascii="Arial" w:hAnsi="Arial" w:cs="Arial"/>
          <w:sz w:val="22"/>
          <w:szCs w:val="22"/>
        </w:rPr>
        <w:t>Why the score remains in the High–Medium risk band.</w:t>
      </w:r>
      <w:r w:rsidRPr="00BF4AA8">
        <w:rPr>
          <w:rFonts w:ascii="Arial" w:hAnsi="Arial" w:cs="Arial"/>
          <w:sz w:val="22"/>
          <w:szCs w:val="22"/>
        </w:rPr>
        <w:t xml:space="preserve"> The current architecture does not consistently enable “whole-of-government” coastal planning or cumulative impact control, especially where blue-economy investments intersect with sensitive habitats and pollution pathways. Sectoral decision-making therefore tends to remain </w:t>
      </w:r>
      <w:r w:rsidRPr="00BF4AA8">
        <w:rPr>
          <w:rStyle w:val="Strong"/>
          <w:rFonts w:ascii="Arial" w:hAnsi="Arial" w:cs="Arial"/>
          <w:sz w:val="22"/>
          <w:szCs w:val="22"/>
        </w:rPr>
        <w:t>siloed</w:t>
      </w:r>
      <w:r w:rsidRPr="00BF4AA8">
        <w:rPr>
          <w:rFonts w:ascii="Arial" w:hAnsi="Arial" w:cs="Arial"/>
          <w:sz w:val="22"/>
          <w:szCs w:val="22"/>
        </w:rPr>
        <w:t>, and integration is often project- or site-dependent rather than institutionalized.</w:t>
      </w:r>
    </w:p>
    <w:p w:rsidR="0098718A" w:rsidRPr="00BF4AA8" w:rsidRDefault="0098718A" w:rsidP="0098718A">
      <w:pPr>
        <w:adjustRightInd w:val="0"/>
        <w:snapToGrid w:val="0"/>
        <w:spacing w:before="240" w:after="120"/>
        <w:rPr>
          <w:rFonts w:ascii="Arial" w:hAnsi="Arial" w:cs="Arial"/>
          <w:b/>
          <w:bCs/>
          <w:i/>
          <w:iCs/>
          <w:color w:val="0070C0"/>
          <w:sz w:val="22"/>
          <w:szCs w:val="22"/>
        </w:rPr>
      </w:pPr>
      <w:r w:rsidRPr="00BF4AA8">
        <w:rPr>
          <w:rFonts w:ascii="Arial" w:hAnsi="Arial" w:cs="Arial"/>
          <w:b/>
          <w:bCs/>
          <w:i/>
          <w:iCs/>
          <w:color w:val="0070C0"/>
          <w:sz w:val="22"/>
          <w:szCs w:val="22"/>
        </w:rPr>
        <w:t>C. Engagement (45–55%; Medium)</w:t>
      </w:r>
    </w:p>
    <w:p w:rsidR="0098718A" w:rsidRPr="00BF4AA8" w:rsidRDefault="0098718A" w:rsidP="0098718A">
      <w:pPr>
        <w:pStyle w:val="NormalWeb"/>
        <w:jc w:val="both"/>
        <w:rPr>
          <w:rFonts w:ascii="Arial" w:hAnsi="Arial" w:cs="Arial"/>
          <w:sz w:val="22"/>
          <w:szCs w:val="22"/>
        </w:rPr>
      </w:pPr>
      <w:r w:rsidRPr="00BF4AA8">
        <w:rPr>
          <w:rStyle w:val="Strong"/>
          <w:rFonts w:ascii="Arial" w:hAnsi="Arial" w:cs="Arial"/>
          <w:sz w:val="22"/>
          <w:szCs w:val="22"/>
        </w:rPr>
        <w:t>Score rationale.</w:t>
      </w:r>
      <w:r w:rsidRPr="00BF4AA8">
        <w:rPr>
          <w:rFonts w:ascii="Arial" w:hAnsi="Arial" w:cs="Arial"/>
          <w:sz w:val="22"/>
          <w:szCs w:val="22"/>
        </w:rPr>
        <w:t xml:space="preserve"> Cambodia’s engagement score reflects meaningful stakeholder participation in parts of the system—especially through co-management—while recognizing that participation and accountability mechanisms are </w:t>
      </w:r>
      <w:r w:rsidRPr="00BF4AA8">
        <w:rPr>
          <w:rStyle w:val="Strong"/>
          <w:rFonts w:ascii="Arial" w:hAnsi="Arial" w:cs="Arial"/>
          <w:sz w:val="22"/>
          <w:szCs w:val="22"/>
        </w:rPr>
        <w:t>uneven across sectors and development contexts</w:t>
      </w:r>
      <w:r w:rsidRPr="00BF4AA8">
        <w:rPr>
          <w:rFonts w:ascii="Arial" w:hAnsi="Arial" w:cs="Arial"/>
          <w:sz w:val="22"/>
          <w:szCs w:val="22"/>
        </w:rPr>
        <w:t>.</w:t>
      </w:r>
    </w:p>
    <w:p w:rsidR="0098718A" w:rsidRPr="00BF4AA8" w:rsidRDefault="0098718A" w:rsidP="0098718A">
      <w:pPr>
        <w:pStyle w:val="NormalWeb"/>
        <w:jc w:val="both"/>
        <w:rPr>
          <w:rFonts w:ascii="Arial" w:hAnsi="Arial" w:cs="Arial"/>
          <w:sz w:val="22"/>
          <w:szCs w:val="22"/>
        </w:rPr>
      </w:pPr>
      <w:r w:rsidRPr="00BF4AA8">
        <w:rPr>
          <w:rStyle w:val="Strong"/>
          <w:rFonts w:ascii="Arial" w:hAnsi="Arial" w:cs="Arial"/>
          <w:sz w:val="22"/>
          <w:szCs w:val="22"/>
        </w:rPr>
        <w:t>Key evidence supporting the score.</w:t>
      </w:r>
    </w:p>
    <w:p w:rsidR="0098718A" w:rsidRPr="00BF4AA8" w:rsidRDefault="0098718A" w:rsidP="0098718A">
      <w:pPr>
        <w:pStyle w:val="NormalWeb"/>
        <w:numPr>
          <w:ilvl w:val="0"/>
          <w:numId w:val="139"/>
        </w:numPr>
        <w:jc w:val="both"/>
        <w:rPr>
          <w:rFonts w:ascii="Arial" w:hAnsi="Arial" w:cs="Arial"/>
          <w:sz w:val="22"/>
          <w:szCs w:val="22"/>
        </w:rPr>
      </w:pPr>
      <w:r w:rsidRPr="00BF4AA8">
        <w:rPr>
          <w:rStyle w:val="Strong"/>
          <w:rFonts w:ascii="Arial" w:hAnsi="Arial" w:cs="Arial"/>
          <w:sz w:val="22"/>
          <w:szCs w:val="22"/>
        </w:rPr>
        <w:t>Co-management platforms</w:t>
      </w:r>
      <w:r w:rsidRPr="00BF4AA8">
        <w:rPr>
          <w:rFonts w:ascii="Arial" w:hAnsi="Arial" w:cs="Arial"/>
          <w:sz w:val="22"/>
          <w:szCs w:val="22"/>
        </w:rPr>
        <w:t xml:space="preserve"> (e.g., MFMAs and protected-area community arrangements) provide structured participation and have strengthened local stewardship and compliance in several locations.</w:t>
      </w:r>
    </w:p>
    <w:p w:rsidR="0098718A" w:rsidRPr="00BF4AA8" w:rsidRDefault="0098718A" w:rsidP="0098718A">
      <w:pPr>
        <w:pStyle w:val="NormalWeb"/>
        <w:numPr>
          <w:ilvl w:val="0"/>
          <w:numId w:val="139"/>
        </w:numPr>
        <w:jc w:val="both"/>
        <w:rPr>
          <w:rFonts w:ascii="Arial" w:hAnsi="Arial" w:cs="Arial"/>
          <w:sz w:val="22"/>
          <w:szCs w:val="22"/>
        </w:rPr>
      </w:pPr>
      <w:r w:rsidRPr="00BF4AA8">
        <w:rPr>
          <w:rStyle w:val="Strong"/>
          <w:rFonts w:ascii="Arial" w:hAnsi="Arial" w:cs="Arial"/>
          <w:sz w:val="22"/>
          <w:szCs w:val="22"/>
        </w:rPr>
        <w:t>Formal participation provisions</w:t>
      </w:r>
      <w:r w:rsidRPr="00BF4AA8">
        <w:rPr>
          <w:rFonts w:ascii="Arial" w:hAnsi="Arial" w:cs="Arial"/>
          <w:sz w:val="22"/>
          <w:szCs w:val="22"/>
        </w:rPr>
        <w:t xml:space="preserve"> exist through EIA/SEA-related processes and other consultation mechanisms.</w:t>
      </w:r>
    </w:p>
    <w:p w:rsidR="0098718A" w:rsidRPr="00BF4AA8" w:rsidRDefault="0098718A" w:rsidP="0098718A">
      <w:pPr>
        <w:pStyle w:val="NormalWeb"/>
        <w:jc w:val="both"/>
        <w:rPr>
          <w:rFonts w:ascii="Arial" w:hAnsi="Arial" w:cs="Arial"/>
          <w:sz w:val="22"/>
          <w:szCs w:val="22"/>
        </w:rPr>
      </w:pPr>
      <w:r w:rsidRPr="00BF4AA8">
        <w:rPr>
          <w:rStyle w:val="Strong"/>
          <w:rFonts w:ascii="Arial" w:hAnsi="Arial" w:cs="Arial"/>
          <w:sz w:val="22"/>
          <w:szCs w:val="22"/>
        </w:rPr>
        <w:t>Why the score is not higher.</w:t>
      </w:r>
      <w:r w:rsidRPr="00BF4AA8">
        <w:rPr>
          <w:rFonts w:ascii="Arial" w:hAnsi="Arial" w:cs="Arial"/>
          <w:sz w:val="22"/>
          <w:szCs w:val="22"/>
        </w:rPr>
        <w:t xml:space="preserve"> Engagement is less consistent in large-scale coastal development contexts (e.g., ports/SEZs, reclamation, tourism corridors), where decision-making can be predominantly top-down. Coverage and quality of participation, grievance handling, transparency, and systematic inclusion of women, youth and vulnerable groups are variable. These gaps support a </w:t>
      </w:r>
      <w:proofErr w:type="gramStart"/>
      <w:r w:rsidRPr="00BF4AA8">
        <w:rPr>
          <w:rFonts w:ascii="Arial" w:hAnsi="Arial" w:cs="Arial"/>
          <w:sz w:val="22"/>
          <w:szCs w:val="22"/>
        </w:rPr>
        <w:t>Medium</w:t>
      </w:r>
      <w:proofErr w:type="gramEnd"/>
      <w:r w:rsidRPr="00BF4AA8">
        <w:rPr>
          <w:rFonts w:ascii="Arial" w:hAnsi="Arial" w:cs="Arial"/>
          <w:sz w:val="22"/>
          <w:szCs w:val="22"/>
        </w:rPr>
        <w:t xml:space="preserve"> engagement score.</w:t>
      </w:r>
    </w:p>
    <w:p w:rsidR="0098718A" w:rsidRPr="00BF4AA8" w:rsidRDefault="0098718A" w:rsidP="0098718A">
      <w:pPr>
        <w:adjustRightInd w:val="0"/>
        <w:snapToGrid w:val="0"/>
        <w:spacing w:before="240" w:after="120"/>
        <w:rPr>
          <w:rFonts w:ascii="Arial" w:hAnsi="Arial" w:cs="Arial"/>
          <w:b/>
          <w:bCs/>
          <w:i/>
          <w:iCs/>
          <w:color w:val="0070C0"/>
          <w:sz w:val="22"/>
          <w:szCs w:val="22"/>
        </w:rPr>
      </w:pPr>
      <w:r w:rsidRPr="00BF4AA8">
        <w:rPr>
          <w:rFonts w:ascii="Arial" w:hAnsi="Arial" w:cs="Arial"/>
          <w:b/>
          <w:bCs/>
          <w:i/>
          <w:iCs/>
          <w:color w:val="0070C0"/>
          <w:sz w:val="22"/>
          <w:szCs w:val="22"/>
        </w:rPr>
        <w:t>Summary interpretation</w:t>
      </w:r>
    </w:p>
    <w:p w:rsidR="0098718A" w:rsidRPr="00BF4AA8" w:rsidRDefault="0098718A" w:rsidP="0098718A">
      <w:pPr>
        <w:pStyle w:val="NormalWeb"/>
        <w:jc w:val="both"/>
        <w:rPr>
          <w:rFonts w:ascii="Arial" w:hAnsi="Arial" w:cs="Arial"/>
          <w:sz w:val="22"/>
          <w:szCs w:val="22"/>
        </w:rPr>
      </w:pPr>
      <w:r w:rsidRPr="00BF4AA8">
        <w:rPr>
          <w:rFonts w:ascii="Arial" w:hAnsi="Arial" w:cs="Arial"/>
          <w:sz w:val="22"/>
          <w:szCs w:val="22"/>
        </w:rPr>
        <w:t xml:space="preserve">Overall, Cambodia’s governance architecture </w:t>
      </w:r>
      <w:proofErr w:type="gramStart"/>
      <w:r w:rsidRPr="00BF4AA8">
        <w:rPr>
          <w:rFonts w:ascii="Arial" w:hAnsi="Arial" w:cs="Arial"/>
          <w:sz w:val="22"/>
          <w:szCs w:val="22"/>
        </w:rPr>
        <w:t>is assessed</w:t>
      </w:r>
      <w:proofErr w:type="gramEnd"/>
      <w:r w:rsidRPr="00BF4AA8">
        <w:rPr>
          <w:rFonts w:ascii="Arial" w:hAnsi="Arial" w:cs="Arial"/>
          <w:sz w:val="22"/>
          <w:szCs w:val="22"/>
        </w:rPr>
        <w:t xml:space="preserve"> as </w:t>
      </w:r>
      <w:r w:rsidRPr="00BF4AA8">
        <w:rPr>
          <w:rStyle w:val="Strong"/>
          <w:rFonts w:ascii="Arial" w:hAnsi="Arial" w:cs="Arial"/>
          <w:sz w:val="22"/>
          <w:szCs w:val="22"/>
        </w:rPr>
        <w:t>moderately complete</w:t>
      </w:r>
      <w:r w:rsidRPr="00BF4AA8">
        <w:rPr>
          <w:rFonts w:ascii="Arial" w:hAnsi="Arial" w:cs="Arial"/>
          <w:sz w:val="22"/>
          <w:szCs w:val="22"/>
        </w:rPr>
        <w:t xml:space="preserve"> in terms of formal structures, but </w:t>
      </w:r>
      <w:r w:rsidRPr="00BF4AA8">
        <w:rPr>
          <w:rStyle w:val="Strong"/>
          <w:rFonts w:ascii="Arial" w:hAnsi="Arial" w:cs="Arial"/>
          <w:sz w:val="22"/>
          <w:szCs w:val="22"/>
        </w:rPr>
        <w:t>less mature in integration and consistent implementation</w:t>
      </w:r>
      <w:r w:rsidRPr="00BF4AA8">
        <w:rPr>
          <w:rFonts w:ascii="Arial" w:hAnsi="Arial" w:cs="Arial"/>
          <w:sz w:val="22"/>
          <w:szCs w:val="22"/>
        </w:rPr>
        <w:t xml:space="preserve"> across sectors and provinces. Engagement is </w:t>
      </w:r>
      <w:r w:rsidRPr="00BF4AA8">
        <w:rPr>
          <w:rStyle w:val="Strong"/>
          <w:rFonts w:ascii="Arial" w:hAnsi="Arial" w:cs="Arial"/>
          <w:sz w:val="22"/>
          <w:szCs w:val="22"/>
        </w:rPr>
        <w:t>moderate</w:t>
      </w:r>
      <w:r w:rsidRPr="00BF4AA8">
        <w:rPr>
          <w:rFonts w:ascii="Arial" w:hAnsi="Arial" w:cs="Arial"/>
          <w:sz w:val="22"/>
          <w:szCs w:val="22"/>
        </w:rPr>
        <w:t xml:space="preserve">, anchored by co-management strengths but constrained by uneven participation and accountability in major coastal development processes. These results help explain why cumulative pressures (pollution, habitat conversion, coastal development intensity and resource-use conflicts) remain difficult to manage without further institutionalization of cross-sector planning, sustainable </w:t>
      </w:r>
      <w:proofErr w:type="gramStart"/>
      <w:r w:rsidRPr="00BF4AA8">
        <w:rPr>
          <w:rFonts w:ascii="Arial" w:hAnsi="Arial" w:cs="Arial"/>
          <w:sz w:val="22"/>
          <w:szCs w:val="22"/>
        </w:rPr>
        <w:t>financing</w:t>
      </w:r>
      <w:proofErr w:type="gramEnd"/>
      <w:r w:rsidRPr="00BF4AA8">
        <w:rPr>
          <w:rFonts w:ascii="Arial" w:hAnsi="Arial" w:cs="Arial"/>
          <w:sz w:val="22"/>
          <w:szCs w:val="22"/>
        </w:rPr>
        <w:t xml:space="preserve"> and routine compliance capacity.</w:t>
      </w:r>
    </w:p>
    <w:p w:rsidR="0085713E" w:rsidRPr="00BF4AA8" w:rsidRDefault="0085713E" w:rsidP="0085713E">
      <w:pPr>
        <w:pStyle w:val="NormalWeb"/>
        <w:jc w:val="both"/>
        <w:rPr>
          <w:rFonts w:ascii="Arial" w:hAnsi="Arial" w:cs="Arial"/>
          <w:sz w:val="22"/>
          <w:szCs w:val="22"/>
        </w:rPr>
      </w:pPr>
    </w:p>
    <w:sectPr w:rsidR="0085713E" w:rsidRPr="00BF4AA8" w:rsidSect="00BF4AA8">
      <w:footerReference w:type="even" r:id="rId11"/>
      <w:footerReference w:type="default" r:id="rId12"/>
      <w:pgSz w:w="11900" w:h="16840"/>
      <w:pgMar w:top="1440" w:right="1701" w:bottom="1701" w:left="1701" w:header="720" w:footer="1134"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52DFD" w:rsidRDefault="00C52DFD" w:rsidP="000C0FD2">
      <w:r>
        <w:separator/>
      </w:r>
    </w:p>
  </w:endnote>
  <w:endnote w:type="continuationSeparator" w:id="0">
    <w:p w:rsidR="00C52DFD" w:rsidRDefault="00C52DFD" w:rsidP="000C0F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47DF8" w:rsidRDefault="00647DF8" w:rsidP="00452AF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17221156"/>
      <w:docPartObj>
        <w:docPartGallery w:val="Page Numbers (Bottom of Page)"/>
        <w:docPartUnique/>
      </w:docPartObj>
    </w:sdtPr>
    <w:sdtContent>
      <w:p w:rsidR="000C0FD2" w:rsidRDefault="000C0FD2" w:rsidP="0002121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0C0FD2" w:rsidRDefault="000C0FD2" w:rsidP="000C0FD2">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99890749"/>
      <w:docPartObj>
        <w:docPartGallery w:val="Page Numbers (Bottom of Page)"/>
        <w:docPartUnique/>
      </w:docPartObj>
    </w:sdtPr>
    <w:sdtContent>
      <w:p w:rsidR="000C0FD2" w:rsidRDefault="000C0FD2" w:rsidP="0002121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19</w:t>
        </w:r>
        <w:r>
          <w:rPr>
            <w:rStyle w:val="PageNumber"/>
          </w:rPr>
          <w:fldChar w:fldCharType="end"/>
        </w:r>
      </w:p>
    </w:sdtContent>
  </w:sdt>
  <w:p w:rsidR="000C0FD2" w:rsidRDefault="000C0FD2" w:rsidP="000C0FD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52DFD" w:rsidRDefault="00C52DFD" w:rsidP="000C0FD2">
      <w:r>
        <w:separator/>
      </w:r>
    </w:p>
  </w:footnote>
  <w:footnote w:type="continuationSeparator" w:id="0">
    <w:p w:rsidR="00C52DFD" w:rsidRDefault="00C52DFD" w:rsidP="000C0FD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1" w15:restartNumberingAfterBreak="0">
    <w:nsid w:val="00015A69"/>
    <w:multiLevelType w:val="multilevel"/>
    <w:tmpl w:val="899C98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02F4BE0"/>
    <w:multiLevelType w:val="multilevel"/>
    <w:tmpl w:val="50C89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0DD4EBE"/>
    <w:multiLevelType w:val="multilevel"/>
    <w:tmpl w:val="1F36C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1BB06E0"/>
    <w:multiLevelType w:val="multilevel"/>
    <w:tmpl w:val="C2FE41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2407FFD"/>
    <w:multiLevelType w:val="multilevel"/>
    <w:tmpl w:val="BBB481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3B43119"/>
    <w:multiLevelType w:val="multilevel"/>
    <w:tmpl w:val="9CDE5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47D6AE6"/>
    <w:multiLevelType w:val="multilevel"/>
    <w:tmpl w:val="AED49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48C2C68"/>
    <w:multiLevelType w:val="multilevel"/>
    <w:tmpl w:val="7D800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4DC0C36"/>
    <w:multiLevelType w:val="hybridMultilevel"/>
    <w:tmpl w:val="287697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5E671A3"/>
    <w:multiLevelType w:val="multilevel"/>
    <w:tmpl w:val="9BD26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72F3C47"/>
    <w:multiLevelType w:val="multilevel"/>
    <w:tmpl w:val="4D8688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7F6276D"/>
    <w:multiLevelType w:val="multilevel"/>
    <w:tmpl w:val="68760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8677587"/>
    <w:multiLevelType w:val="multilevel"/>
    <w:tmpl w:val="2354D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8E26C47"/>
    <w:multiLevelType w:val="multilevel"/>
    <w:tmpl w:val="73D2A6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8E321F8"/>
    <w:multiLevelType w:val="multilevel"/>
    <w:tmpl w:val="CAE2F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90653FB"/>
    <w:multiLevelType w:val="multilevel"/>
    <w:tmpl w:val="20581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9D7340B"/>
    <w:multiLevelType w:val="multilevel"/>
    <w:tmpl w:val="8A0A1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AA626E0"/>
    <w:multiLevelType w:val="multilevel"/>
    <w:tmpl w:val="2B8ADA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0AF51A74"/>
    <w:multiLevelType w:val="multilevel"/>
    <w:tmpl w:val="FB3017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0B7F442B"/>
    <w:multiLevelType w:val="multilevel"/>
    <w:tmpl w:val="D53C1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0BA44E07"/>
    <w:multiLevelType w:val="multilevel"/>
    <w:tmpl w:val="602E2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0C5379B9"/>
    <w:multiLevelType w:val="multilevel"/>
    <w:tmpl w:val="FD58A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0D162428"/>
    <w:multiLevelType w:val="multilevel"/>
    <w:tmpl w:val="717E5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0DB47447"/>
    <w:multiLevelType w:val="multilevel"/>
    <w:tmpl w:val="10F6F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0F001AFB"/>
    <w:multiLevelType w:val="multilevel"/>
    <w:tmpl w:val="7B0860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101B0944"/>
    <w:multiLevelType w:val="multilevel"/>
    <w:tmpl w:val="44DE6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0233F84"/>
    <w:multiLevelType w:val="multilevel"/>
    <w:tmpl w:val="F2B6E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10425AA3"/>
    <w:multiLevelType w:val="multilevel"/>
    <w:tmpl w:val="BB6EEC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112141FA"/>
    <w:multiLevelType w:val="multilevel"/>
    <w:tmpl w:val="949CD0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25743F3"/>
    <w:multiLevelType w:val="hybridMultilevel"/>
    <w:tmpl w:val="0D747B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13803C8B"/>
    <w:multiLevelType w:val="multilevel"/>
    <w:tmpl w:val="ACEE9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14192F65"/>
    <w:multiLevelType w:val="multilevel"/>
    <w:tmpl w:val="07F22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14BE7B4C"/>
    <w:multiLevelType w:val="hybridMultilevel"/>
    <w:tmpl w:val="63481620"/>
    <w:lvl w:ilvl="0" w:tplc="04090001">
      <w:start w:val="1"/>
      <w:numFmt w:val="bullet"/>
      <w:lvlText w:val=""/>
      <w:lvlJc w:val="left"/>
      <w:pPr>
        <w:ind w:left="720" w:hanging="360"/>
      </w:pPr>
      <w:rPr>
        <w:rFonts w:ascii="Symbol" w:hAnsi="Symbol" w:hint="default"/>
      </w:rPr>
    </w:lvl>
    <w:lvl w:ilvl="1" w:tplc="2FCCF7E4">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5A50CE9"/>
    <w:multiLevelType w:val="multilevel"/>
    <w:tmpl w:val="D0B06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1606169B"/>
    <w:multiLevelType w:val="multilevel"/>
    <w:tmpl w:val="B5FC1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164F7AF0"/>
    <w:multiLevelType w:val="multilevel"/>
    <w:tmpl w:val="2AC64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168C22AF"/>
    <w:multiLevelType w:val="multilevel"/>
    <w:tmpl w:val="A4F48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16D64D01"/>
    <w:multiLevelType w:val="multilevel"/>
    <w:tmpl w:val="E3586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176409C5"/>
    <w:multiLevelType w:val="multilevel"/>
    <w:tmpl w:val="FB6A9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191453B4"/>
    <w:multiLevelType w:val="multilevel"/>
    <w:tmpl w:val="D08883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195057CD"/>
    <w:multiLevelType w:val="multilevel"/>
    <w:tmpl w:val="1BF85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19835DB3"/>
    <w:multiLevelType w:val="multilevel"/>
    <w:tmpl w:val="B1AA3B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9B30D09"/>
    <w:multiLevelType w:val="hybridMultilevel"/>
    <w:tmpl w:val="B3B494A0"/>
    <w:lvl w:ilvl="0" w:tplc="513E0A9C">
      <w:start w:val="1"/>
      <w:numFmt w:val="decimal"/>
      <w:lvlText w:val="%1."/>
      <w:lvlJc w:val="left"/>
      <w:pPr>
        <w:ind w:left="720" w:hanging="360"/>
      </w:pPr>
      <w:rPr>
        <w:rFonts w:ascii="Arial" w:hAnsi="Arial" w:cs="Arial"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A764CD1"/>
    <w:multiLevelType w:val="multilevel"/>
    <w:tmpl w:val="8C54D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B456577"/>
    <w:multiLevelType w:val="multilevel"/>
    <w:tmpl w:val="CB869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1B7B79B4"/>
    <w:multiLevelType w:val="multilevel"/>
    <w:tmpl w:val="783E4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1B8030E9"/>
    <w:multiLevelType w:val="multilevel"/>
    <w:tmpl w:val="0952E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1BAD6546"/>
    <w:multiLevelType w:val="multilevel"/>
    <w:tmpl w:val="EDEE7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1C423DB9"/>
    <w:multiLevelType w:val="hybridMultilevel"/>
    <w:tmpl w:val="AA7C0236"/>
    <w:lvl w:ilvl="0" w:tplc="04090001">
      <w:start w:val="1"/>
      <w:numFmt w:val="bullet"/>
      <w:lvlText w:val=""/>
      <w:lvlJc w:val="left"/>
      <w:pPr>
        <w:ind w:left="720" w:hanging="360"/>
      </w:pPr>
      <w:rPr>
        <w:rFonts w:ascii="Symbol" w:hAnsi="Symbol" w:hint="default"/>
      </w:rPr>
    </w:lvl>
    <w:lvl w:ilvl="1" w:tplc="4F4431EE">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1D5575F5"/>
    <w:multiLevelType w:val="multilevel"/>
    <w:tmpl w:val="3092DA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1D671C86"/>
    <w:multiLevelType w:val="multilevel"/>
    <w:tmpl w:val="14B27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1DB54FF3"/>
    <w:multiLevelType w:val="multilevel"/>
    <w:tmpl w:val="CCF21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1DFF7D23"/>
    <w:multiLevelType w:val="multilevel"/>
    <w:tmpl w:val="1234A9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1F5F3B1C"/>
    <w:multiLevelType w:val="multilevel"/>
    <w:tmpl w:val="9C68A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210158F5"/>
    <w:multiLevelType w:val="multilevel"/>
    <w:tmpl w:val="DAE4F3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21130701"/>
    <w:multiLevelType w:val="multilevel"/>
    <w:tmpl w:val="E6C24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21266EEE"/>
    <w:multiLevelType w:val="multilevel"/>
    <w:tmpl w:val="EF182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21B43290"/>
    <w:multiLevelType w:val="multilevel"/>
    <w:tmpl w:val="F2404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21ED3ED8"/>
    <w:multiLevelType w:val="multilevel"/>
    <w:tmpl w:val="3EC0C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221379C7"/>
    <w:multiLevelType w:val="multilevel"/>
    <w:tmpl w:val="54AE31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223B6EB0"/>
    <w:multiLevelType w:val="hybridMultilevel"/>
    <w:tmpl w:val="61428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22C4777B"/>
    <w:multiLevelType w:val="multilevel"/>
    <w:tmpl w:val="D292D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234E2F55"/>
    <w:multiLevelType w:val="multilevel"/>
    <w:tmpl w:val="10A03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23621368"/>
    <w:multiLevelType w:val="multilevel"/>
    <w:tmpl w:val="6532B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237E3ECE"/>
    <w:multiLevelType w:val="multilevel"/>
    <w:tmpl w:val="6B7297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24463A68"/>
    <w:multiLevelType w:val="multilevel"/>
    <w:tmpl w:val="F072E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245E54E1"/>
    <w:multiLevelType w:val="multilevel"/>
    <w:tmpl w:val="0B668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247131D1"/>
    <w:multiLevelType w:val="multilevel"/>
    <w:tmpl w:val="A4A0145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24C43A6C"/>
    <w:multiLevelType w:val="multilevel"/>
    <w:tmpl w:val="ECB204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25671E16"/>
    <w:multiLevelType w:val="multilevel"/>
    <w:tmpl w:val="BBBA57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257F39A3"/>
    <w:multiLevelType w:val="hybridMultilevel"/>
    <w:tmpl w:val="CBFAC5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25881B76"/>
    <w:multiLevelType w:val="multilevel"/>
    <w:tmpl w:val="509AB0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25B53D0D"/>
    <w:multiLevelType w:val="multilevel"/>
    <w:tmpl w:val="AAF04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25B95CF7"/>
    <w:multiLevelType w:val="multilevel"/>
    <w:tmpl w:val="9934CC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267F7E26"/>
    <w:multiLevelType w:val="multilevel"/>
    <w:tmpl w:val="9A74B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27286D09"/>
    <w:multiLevelType w:val="multilevel"/>
    <w:tmpl w:val="8020D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2859113D"/>
    <w:multiLevelType w:val="multilevel"/>
    <w:tmpl w:val="06F43A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28CF458A"/>
    <w:multiLevelType w:val="multilevel"/>
    <w:tmpl w:val="17069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2A792DAC"/>
    <w:multiLevelType w:val="multilevel"/>
    <w:tmpl w:val="93163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2B354EF1"/>
    <w:multiLevelType w:val="multilevel"/>
    <w:tmpl w:val="82AC7F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2B9F24DD"/>
    <w:multiLevelType w:val="multilevel"/>
    <w:tmpl w:val="D2C20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2BAA5186"/>
    <w:multiLevelType w:val="multilevel"/>
    <w:tmpl w:val="88000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2BB9112A"/>
    <w:multiLevelType w:val="multilevel"/>
    <w:tmpl w:val="43688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D3345FC"/>
    <w:multiLevelType w:val="multilevel"/>
    <w:tmpl w:val="0AC82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2DA95840"/>
    <w:multiLevelType w:val="multilevel"/>
    <w:tmpl w:val="B11E3F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2E23250E"/>
    <w:multiLevelType w:val="multilevel"/>
    <w:tmpl w:val="739495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301269D7"/>
    <w:multiLevelType w:val="multilevel"/>
    <w:tmpl w:val="43209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30FB3B5D"/>
    <w:multiLevelType w:val="hybridMultilevel"/>
    <w:tmpl w:val="3DD6B9A6"/>
    <w:lvl w:ilvl="0" w:tplc="6F326C4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315B2D16"/>
    <w:multiLevelType w:val="multilevel"/>
    <w:tmpl w:val="B79C6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32646AC6"/>
    <w:multiLevelType w:val="multilevel"/>
    <w:tmpl w:val="11EA86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32BD28D2"/>
    <w:multiLevelType w:val="multilevel"/>
    <w:tmpl w:val="6BCA85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32BF152E"/>
    <w:multiLevelType w:val="multilevel"/>
    <w:tmpl w:val="9744A8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33254A65"/>
    <w:multiLevelType w:val="multilevel"/>
    <w:tmpl w:val="71C05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339E658F"/>
    <w:multiLevelType w:val="multilevel"/>
    <w:tmpl w:val="E4DA1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33D247F7"/>
    <w:multiLevelType w:val="multilevel"/>
    <w:tmpl w:val="384AE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34043B5E"/>
    <w:multiLevelType w:val="multilevel"/>
    <w:tmpl w:val="9230E5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34167585"/>
    <w:multiLevelType w:val="multilevel"/>
    <w:tmpl w:val="6D944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35117C28"/>
    <w:multiLevelType w:val="multilevel"/>
    <w:tmpl w:val="9CDE8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9" w15:restartNumberingAfterBreak="0">
    <w:nsid w:val="35331256"/>
    <w:multiLevelType w:val="multilevel"/>
    <w:tmpl w:val="6832B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359F4F75"/>
    <w:multiLevelType w:val="multilevel"/>
    <w:tmpl w:val="05528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35C624B6"/>
    <w:multiLevelType w:val="multilevel"/>
    <w:tmpl w:val="40B49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35E3732F"/>
    <w:multiLevelType w:val="multilevel"/>
    <w:tmpl w:val="55F8A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36424213"/>
    <w:multiLevelType w:val="hybridMultilevel"/>
    <w:tmpl w:val="04DCE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36CA13E6"/>
    <w:multiLevelType w:val="multilevel"/>
    <w:tmpl w:val="3D9A9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15:restartNumberingAfterBreak="0">
    <w:nsid w:val="36D66E4B"/>
    <w:multiLevelType w:val="hybridMultilevel"/>
    <w:tmpl w:val="1D0A5224"/>
    <w:lvl w:ilvl="0" w:tplc="47DE689C">
      <w:start w:val="1"/>
      <w:numFmt w:val="bullet"/>
      <w:lvlText w:val=""/>
      <w:lvlJc w:val="left"/>
      <w:pPr>
        <w:ind w:left="720" w:hanging="360"/>
      </w:pPr>
      <w:rPr>
        <w:rFonts w:ascii="Symbol" w:hAnsi="Symbol" w:hint="default"/>
        <w:sz w:val="1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36F63C2A"/>
    <w:multiLevelType w:val="multilevel"/>
    <w:tmpl w:val="D458B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370747CC"/>
    <w:multiLevelType w:val="multilevel"/>
    <w:tmpl w:val="1DDCD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37AD172C"/>
    <w:multiLevelType w:val="multilevel"/>
    <w:tmpl w:val="7090DD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396A624D"/>
    <w:multiLevelType w:val="multilevel"/>
    <w:tmpl w:val="FD6A8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15:restartNumberingAfterBreak="0">
    <w:nsid w:val="399E2665"/>
    <w:multiLevelType w:val="multilevel"/>
    <w:tmpl w:val="3E584A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1" w15:restartNumberingAfterBreak="0">
    <w:nsid w:val="39DC669D"/>
    <w:multiLevelType w:val="multilevel"/>
    <w:tmpl w:val="E01660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39F51BD1"/>
    <w:multiLevelType w:val="multilevel"/>
    <w:tmpl w:val="8AC8A8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3AB871C0"/>
    <w:multiLevelType w:val="hybridMultilevel"/>
    <w:tmpl w:val="392476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15:restartNumberingAfterBreak="0">
    <w:nsid w:val="3B9214B9"/>
    <w:multiLevelType w:val="multilevel"/>
    <w:tmpl w:val="6DD863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3C6479CC"/>
    <w:multiLevelType w:val="multilevel"/>
    <w:tmpl w:val="BED20A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6" w15:restartNumberingAfterBreak="0">
    <w:nsid w:val="3C651FE8"/>
    <w:multiLevelType w:val="multilevel"/>
    <w:tmpl w:val="A386B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3CE72ED7"/>
    <w:multiLevelType w:val="multilevel"/>
    <w:tmpl w:val="5C3A7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15:restartNumberingAfterBreak="0">
    <w:nsid w:val="3E260515"/>
    <w:multiLevelType w:val="multilevel"/>
    <w:tmpl w:val="5CDA8E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3E743530"/>
    <w:multiLevelType w:val="multilevel"/>
    <w:tmpl w:val="72E2D4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3ED82CCF"/>
    <w:multiLevelType w:val="multilevel"/>
    <w:tmpl w:val="70087C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3EEE61AB"/>
    <w:multiLevelType w:val="multilevel"/>
    <w:tmpl w:val="3F203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2" w15:restartNumberingAfterBreak="0">
    <w:nsid w:val="3F1F4D1F"/>
    <w:multiLevelType w:val="multilevel"/>
    <w:tmpl w:val="CDE8D1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3" w15:restartNumberingAfterBreak="0">
    <w:nsid w:val="3F7C4601"/>
    <w:multiLevelType w:val="multilevel"/>
    <w:tmpl w:val="A664C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40B47141"/>
    <w:multiLevelType w:val="multilevel"/>
    <w:tmpl w:val="4B125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5" w15:restartNumberingAfterBreak="0">
    <w:nsid w:val="40C335A2"/>
    <w:multiLevelType w:val="hybridMultilevel"/>
    <w:tmpl w:val="9C304E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15:restartNumberingAfterBreak="0">
    <w:nsid w:val="412B5EB9"/>
    <w:multiLevelType w:val="multilevel"/>
    <w:tmpl w:val="77AA3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7" w15:restartNumberingAfterBreak="0">
    <w:nsid w:val="414249E1"/>
    <w:multiLevelType w:val="multilevel"/>
    <w:tmpl w:val="1AD8472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41F9315E"/>
    <w:multiLevelType w:val="multilevel"/>
    <w:tmpl w:val="4134C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42D529CB"/>
    <w:multiLevelType w:val="multilevel"/>
    <w:tmpl w:val="0212B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432812A4"/>
    <w:multiLevelType w:val="hybridMultilevel"/>
    <w:tmpl w:val="F62A5664"/>
    <w:lvl w:ilvl="0" w:tplc="C64497E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437B00C9"/>
    <w:multiLevelType w:val="multilevel"/>
    <w:tmpl w:val="8DB4DB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15:restartNumberingAfterBreak="0">
    <w:nsid w:val="43A133F3"/>
    <w:multiLevelType w:val="multilevel"/>
    <w:tmpl w:val="4FBC53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3" w15:restartNumberingAfterBreak="0">
    <w:nsid w:val="43F67EE6"/>
    <w:multiLevelType w:val="multilevel"/>
    <w:tmpl w:val="17EABB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4" w15:restartNumberingAfterBreak="0">
    <w:nsid w:val="43FD7BF6"/>
    <w:multiLevelType w:val="multilevel"/>
    <w:tmpl w:val="B1A6D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5" w15:restartNumberingAfterBreak="0">
    <w:nsid w:val="44B46E04"/>
    <w:multiLevelType w:val="multilevel"/>
    <w:tmpl w:val="B590DF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6" w15:restartNumberingAfterBreak="0">
    <w:nsid w:val="44F707A7"/>
    <w:multiLevelType w:val="multilevel"/>
    <w:tmpl w:val="9C26E1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7" w15:restartNumberingAfterBreak="0">
    <w:nsid w:val="46BF5F97"/>
    <w:multiLevelType w:val="multilevel"/>
    <w:tmpl w:val="E2880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8" w15:restartNumberingAfterBreak="0">
    <w:nsid w:val="46F55AD0"/>
    <w:multiLevelType w:val="multilevel"/>
    <w:tmpl w:val="64186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9" w15:restartNumberingAfterBreak="0">
    <w:nsid w:val="47FA7881"/>
    <w:multiLevelType w:val="multilevel"/>
    <w:tmpl w:val="73C6E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0" w15:restartNumberingAfterBreak="0">
    <w:nsid w:val="489D7CE9"/>
    <w:multiLevelType w:val="multilevel"/>
    <w:tmpl w:val="9266E4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15:restartNumberingAfterBreak="0">
    <w:nsid w:val="48FE77EC"/>
    <w:multiLevelType w:val="multilevel"/>
    <w:tmpl w:val="BA6E89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2" w15:restartNumberingAfterBreak="0">
    <w:nsid w:val="49185A37"/>
    <w:multiLevelType w:val="multilevel"/>
    <w:tmpl w:val="5942B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3" w15:restartNumberingAfterBreak="0">
    <w:nsid w:val="495222B9"/>
    <w:multiLevelType w:val="multilevel"/>
    <w:tmpl w:val="A4EA5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4" w15:restartNumberingAfterBreak="0">
    <w:nsid w:val="4AB54178"/>
    <w:multiLevelType w:val="multilevel"/>
    <w:tmpl w:val="CA22F9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5" w15:restartNumberingAfterBreak="0">
    <w:nsid w:val="4AC65E75"/>
    <w:multiLevelType w:val="multilevel"/>
    <w:tmpl w:val="D4D469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6" w15:restartNumberingAfterBreak="0">
    <w:nsid w:val="4AF261EA"/>
    <w:multiLevelType w:val="multilevel"/>
    <w:tmpl w:val="15E8B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7" w15:restartNumberingAfterBreak="0">
    <w:nsid w:val="4B566E94"/>
    <w:multiLevelType w:val="hybridMultilevel"/>
    <w:tmpl w:val="D1AEA6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8" w15:restartNumberingAfterBreak="0">
    <w:nsid w:val="4B677920"/>
    <w:multiLevelType w:val="multilevel"/>
    <w:tmpl w:val="08C49184"/>
    <w:lvl w:ilvl="0">
      <w:start w:val="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9" w15:restartNumberingAfterBreak="0">
    <w:nsid w:val="4CCE496F"/>
    <w:multiLevelType w:val="multilevel"/>
    <w:tmpl w:val="CDA0F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0" w15:restartNumberingAfterBreak="0">
    <w:nsid w:val="4CD0087A"/>
    <w:multiLevelType w:val="multilevel"/>
    <w:tmpl w:val="CE760A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4DE45ADB"/>
    <w:multiLevelType w:val="multilevel"/>
    <w:tmpl w:val="9286AA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2" w15:restartNumberingAfterBreak="0">
    <w:nsid w:val="4E0319D4"/>
    <w:multiLevelType w:val="hybridMultilevel"/>
    <w:tmpl w:val="1874A116"/>
    <w:lvl w:ilvl="0" w:tplc="55922ADC">
      <w:start w:val="1"/>
      <w:numFmt w:val="bullet"/>
      <w:lvlText w:val=""/>
      <w:lvlJc w:val="left"/>
      <w:pPr>
        <w:ind w:left="72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3" w15:restartNumberingAfterBreak="0">
    <w:nsid w:val="4E04474D"/>
    <w:multiLevelType w:val="hybridMultilevel"/>
    <w:tmpl w:val="2BB2BC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4" w15:restartNumberingAfterBreak="0">
    <w:nsid w:val="4E31751B"/>
    <w:multiLevelType w:val="multilevel"/>
    <w:tmpl w:val="E1BC64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5" w15:restartNumberingAfterBreak="0">
    <w:nsid w:val="4ECF1D7C"/>
    <w:multiLevelType w:val="multilevel"/>
    <w:tmpl w:val="C57A5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6" w15:restartNumberingAfterBreak="0">
    <w:nsid w:val="4EE8519F"/>
    <w:multiLevelType w:val="multilevel"/>
    <w:tmpl w:val="E9FC04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7" w15:restartNumberingAfterBreak="0">
    <w:nsid w:val="4F471DBD"/>
    <w:multiLevelType w:val="hybridMultilevel"/>
    <w:tmpl w:val="E034C3F0"/>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8" w15:restartNumberingAfterBreak="0">
    <w:nsid w:val="506A26D3"/>
    <w:multiLevelType w:val="multilevel"/>
    <w:tmpl w:val="40E89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9" w15:restartNumberingAfterBreak="0">
    <w:nsid w:val="5083767A"/>
    <w:multiLevelType w:val="multilevel"/>
    <w:tmpl w:val="09984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0" w15:restartNumberingAfterBreak="0">
    <w:nsid w:val="516B38A4"/>
    <w:multiLevelType w:val="multilevel"/>
    <w:tmpl w:val="395E2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1" w15:restartNumberingAfterBreak="0">
    <w:nsid w:val="51783491"/>
    <w:multiLevelType w:val="multilevel"/>
    <w:tmpl w:val="AEDCE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2" w15:restartNumberingAfterBreak="0">
    <w:nsid w:val="534677AA"/>
    <w:multiLevelType w:val="multilevel"/>
    <w:tmpl w:val="252A05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3" w15:restartNumberingAfterBreak="0">
    <w:nsid w:val="534A73CD"/>
    <w:multiLevelType w:val="multilevel"/>
    <w:tmpl w:val="80362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4" w15:restartNumberingAfterBreak="0">
    <w:nsid w:val="54CF40EB"/>
    <w:multiLevelType w:val="multilevel"/>
    <w:tmpl w:val="5FFCA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5" w15:restartNumberingAfterBreak="0">
    <w:nsid w:val="55DE5D22"/>
    <w:multiLevelType w:val="multilevel"/>
    <w:tmpl w:val="4A7271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6" w15:restartNumberingAfterBreak="0">
    <w:nsid w:val="55E0329B"/>
    <w:multiLevelType w:val="multilevel"/>
    <w:tmpl w:val="3C02A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7" w15:restartNumberingAfterBreak="0">
    <w:nsid w:val="56AA0A0D"/>
    <w:multiLevelType w:val="multilevel"/>
    <w:tmpl w:val="6C94DC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8" w15:restartNumberingAfterBreak="0">
    <w:nsid w:val="56D458C2"/>
    <w:multiLevelType w:val="multilevel"/>
    <w:tmpl w:val="A03CB3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9" w15:restartNumberingAfterBreak="0">
    <w:nsid w:val="57424A7F"/>
    <w:multiLevelType w:val="multilevel"/>
    <w:tmpl w:val="550C45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0" w15:restartNumberingAfterBreak="0">
    <w:nsid w:val="581E33DE"/>
    <w:multiLevelType w:val="multilevel"/>
    <w:tmpl w:val="1A2C6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1" w15:restartNumberingAfterBreak="0">
    <w:nsid w:val="58684804"/>
    <w:multiLevelType w:val="multilevel"/>
    <w:tmpl w:val="F16ECC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2" w15:restartNumberingAfterBreak="0">
    <w:nsid w:val="58D07762"/>
    <w:multiLevelType w:val="multilevel"/>
    <w:tmpl w:val="61A44C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3" w15:restartNumberingAfterBreak="0">
    <w:nsid w:val="59155222"/>
    <w:multiLevelType w:val="multilevel"/>
    <w:tmpl w:val="36548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4" w15:restartNumberingAfterBreak="0">
    <w:nsid w:val="592D5239"/>
    <w:multiLevelType w:val="multilevel"/>
    <w:tmpl w:val="4AAC1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5" w15:restartNumberingAfterBreak="0">
    <w:nsid w:val="5968303D"/>
    <w:multiLevelType w:val="multilevel"/>
    <w:tmpl w:val="7D1E7F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6" w15:restartNumberingAfterBreak="0">
    <w:nsid w:val="59AF4EEC"/>
    <w:multiLevelType w:val="multilevel"/>
    <w:tmpl w:val="CD5CE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7" w15:restartNumberingAfterBreak="0">
    <w:nsid w:val="5A0778D1"/>
    <w:multiLevelType w:val="multilevel"/>
    <w:tmpl w:val="910C0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8" w15:restartNumberingAfterBreak="0">
    <w:nsid w:val="5A1D432A"/>
    <w:multiLevelType w:val="multilevel"/>
    <w:tmpl w:val="E71814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9" w15:restartNumberingAfterBreak="0">
    <w:nsid w:val="5CAF72B5"/>
    <w:multiLevelType w:val="multilevel"/>
    <w:tmpl w:val="D66A63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0" w15:restartNumberingAfterBreak="0">
    <w:nsid w:val="5CED4C8A"/>
    <w:multiLevelType w:val="multilevel"/>
    <w:tmpl w:val="198090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1" w15:restartNumberingAfterBreak="0">
    <w:nsid w:val="5DB947A8"/>
    <w:multiLevelType w:val="multilevel"/>
    <w:tmpl w:val="9230A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2" w15:restartNumberingAfterBreak="0">
    <w:nsid w:val="5EE94A5B"/>
    <w:multiLevelType w:val="multilevel"/>
    <w:tmpl w:val="6EF04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3" w15:restartNumberingAfterBreak="0">
    <w:nsid w:val="5FD41467"/>
    <w:multiLevelType w:val="multilevel"/>
    <w:tmpl w:val="DE0E8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60642BDB"/>
    <w:multiLevelType w:val="hybridMultilevel"/>
    <w:tmpl w:val="74044A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5" w15:restartNumberingAfterBreak="0">
    <w:nsid w:val="61210D7D"/>
    <w:multiLevelType w:val="multilevel"/>
    <w:tmpl w:val="35BE3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6" w15:restartNumberingAfterBreak="0">
    <w:nsid w:val="61E8404E"/>
    <w:multiLevelType w:val="multilevel"/>
    <w:tmpl w:val="3DDED6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7" w15:restartNumberingAfterBreak="0">
    <w:nsid w:val="623842CD"/>
    <w:multiLevelType w:val="multilevel"/>
    <w:tmpl w:val="CB90F1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8" w15:restartNumberingAfterBreak="0">
    <w:nsid w:val="653B4977"/>
    <w:multiLevelType w:val="multilevel"/>
    <w:tmpl w:val="37703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658909E8"/>
    <w:multiLevelType w:val="hybridMultilevel"/>
    <w:tmpl w:val="5726BE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0" w15:restartNumberingAfterBreak="0">
    <w:nsid w:val="658A3013"/>
    <w:multiLevelType w:val="multilevel"/>
    <w:tmpl w:val="043A8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1" w15:restartNumberingAfterBreak="0">
    <w:nsid w:val="661A3185"/>
    <w:multiLevelType w:val="multilevel"/>
    <w:tmpl w:val="02E0A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2" w15:restartNumberingAfterBreak="0">
    <w:nsid w:val="665E69DF"/>
    <w:multiLevelType w:val="multilevel"/>
    <w:tmpl w:val="DAAA5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3" w15:restartNumberingAfterBreak="0">
    <w:nsid w:val="66AE5F03"/>
    <w:multiLevelType w:val="multilevel"/>
    <w:tmpl w:val="967CB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4" w15:restartNumberingAfterBreak="0">
    <w:nsid w:val="67087B1D"/>
    <w:multiLevelType w:val="multilevel"/>
    <w:tmpl w:val="AA3AE3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67DD44AD"/>
    <w:multiLevelType w:val="multilevel"/>
    <w:tmpl w:val="C6205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6" w15:restartNumberingAfterBreak="0">
    <w:nsid w:val="681367D9"/>
    <w:multiLevelType w:val="multilevel"/>
    <w:tmpl w:val="966880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7" w15:restartNumberingAfterBreak="0">
    <w:nsid w:val="683B6F7D"/>
    <w:multiLevelType w:val="multilevel"/>
    <w:tmpl w:val="C16A8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8" w15:restartNumberingAfterBreak="0">
    <w:nsid w:val="684B49AD"/>
    <w:multiLevelType w:val="multilevel"/>
    <w:tmpl w:val="6E5E8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9" w15:restartNumberingAfterBreak="0">
    <w:nsid w:val="69693CC3"/>
    <w:multiLevelType w:val="hybridMultilevel"/>
    <w:tmpl w:val="8A685DB2"/>
    <w:lvl w:ilvl="0" w:tplc="47DE689C">
      <w:start w:val="1"/>
      <w:numFmt w:val="bullet"/>
      <w:lvlText w:val=""/>
      <w:lvlJc w:val="left"/>
      <w:pPr>
        <w:ind w:left="720" w:hanging="360"/>
      </w:pPr>
      <w:rPr>
        <w:rFonts w:ascii="Symbol" w:hAnsi="Symbol" w:hint="default"/>
        <w:sz w:val="1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0" w15:restartNumberingAfterBreak="0">
    <w:nsid w:val="69C74740"/>
    <w:multiLevelType w:val="multilevel"/>
    <w:tmpl w:val="57B67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1" w15:restartNumberingAfterBreak="0">
    <w:nsid w:val="6A2C68B1"/>
    <w:multiLevelType w:val="hybridMultilevel"/>
    <w:tmpl w:val="53766050"/>
    <w:lvl w:ilvl="0" w:tplc="7996F90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2" w15:restartNumberingAfterBreak="0">
    <w:nsid w:val="6A405863"/>
    <w:multiLevelType w:val="multilevel"/>
    <w:tmpl w:val="08EED2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3" w15:restartNumberingAfterBreak="0">
    <w:nsid w:val="6A422401"/>
    <w:multiLevelType w:val="multilevel"/>
    <w:tmpl w:val="CD1C6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6A906D16"/>
    <w:multiLevelType w:val="multilevel"/>
    <w:tmpl w:val="46CC68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5" w15:restartNumberingAfterBreak="0">
    <w:nsid w:val="6A9F2FD1"/>
    <w:multiLevelType w:val="multilevel"/>
    <w:tmpl w:val="9ECEB384"/>
    <w:lvl w:ilvl="0">
      <w:start w:val="1"/>
      <w:numFmt w:val="decimal"/>
      <w:lvlText w:val="%1."/>
      <w:lvlJc w:val="left"/>
      <w:pPr>
        <w:ind w:left="360" w:hanging="360"/>
      </w:pPr>
      <w:rPr>
        <w:rFonts w:hint="default"/>
      </w:rPr>
    </w:lvl>
    <w:lvl w:ilvl="1">
      <w:start w:val="1"/>
      <w:numFmt w:val="decimal"/>
      <w:lvlText w:val="%1.%2."/>
      <w:lvlJc w:val="left"/>
      <w:pPr>
        <w:ind w:left="720" w:hanging="720"/>
      </w:pPr>
      <w:rPr>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06" w15:restartNumberingAfterBreak="0">
    <w:nsid w:val="6AAA3E35"/>
    <w:multiLevelType w:val="multilevel"/>
    <w:tmpl w:val="74D48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7" w15:restartNumberingAfterBreak="0">
    <w:nsid w:val="6AAC0FEE"/>
    <w:multiLevelType w:val="hybridMultilevel"/>
    <w:tmpl w:val="9154A5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8" w15:restartNumberingAfterBreak="0">
    <w:nsid w:val="6B71262C"/>
    <w:multiLevelType w:val="multilevel"/>
    <w:tmpl w:val="3E9A2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9" w15:restartNumberingAfterBreak="0">
    <w:nsid w:val="6B917A20"/>
    <w:multiLevelType w:val="multilevel"/>
    <w:tmpl w:val="E1D408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0" w15:restartNumberingAfterBreak="0">
    <w:nsid w:val="6BED27F9"/>
    <w:multiLevelType w:val="multilevel"/>
    <w:tmpl w:val="51F22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6CD90D16"/>
    <w:multiLevelType w:val="multilevel"/>
    <w:tmpl w:val="93F824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2" w15:restartNumberingAfterBreak="0">
    <w:nsid w:val="6D0F38B2"/>
    <w:multiLevelType w:val="multilevel"/>
    <w:tmpl w:val="8954F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3" w15:restartNumberingAfterBreak="0">
    <w:nsid w:val="6D5D46DA"/>
    <w:multiLevelType w:val="multilevel"/>
    <w:tmpl w:val="AE14DC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4" w15:restartNumberingAfterBreak="0">
    <w:nsid w:val="6D814C95"/>
    <w:multiLevelType w:val="multilevel"/>
    <w:tmpl w:val="8384B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5" w15:restartNumberingAfterBreak="0">
    <w:nsid w:val="6DCA1C97"/>
    <w:multiLevelType w:val="multilevel"/>
    <w:tmpl w:val="1AB63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6" w15:restartNumberingAfterBreak="0">
    <w:nsid w:val="6DD00241"/>
    <w:multiLevelType w:val="multilevel"/>
    <w:tmpl w:val="8DE0415C"/>
    <w:lvl w:ilvl="0">
      <w:start w:val="2"/>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7" w15:restartNumberingAfterBreak="0">
    <w:nsid w:val="6DF5111A"/>
    <w:multiLevelType w:val="multilevel"/>
    <w:tmpl w:val="ACE42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8" w15:restartNumberingAfterBreak="0">
    <w:nsid w:val="6EAF0430"/>
    <w:multiLevelType w:val="multilevel"/>
    <w:tmpl w:val="CD96A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9" w15:restartNumberingAfterBreak="0">
    <w:nsid w:val="6F5D00AB"/>
    <w:multiLevelType w:val="multilevel"/>
    <w:tmpl w:val="99666A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0" w15:restartNumberingAfterBreak="0">
    <w:nsid w:val="6F9B667C"/>
    <w:multiLevelType w:val="multilevel"/>
    <w:tmpl w:val="F710C9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1" w15:restartNumberingAfterBreak="0">
    <w:nsid w:val="70665107"/>
    <w:multiLevelType w:val="hybridMultilevel"/>
    <w:tmpl w:val="9F5655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2" w15:restartNumberingAfterBreak="0">
    <w:nsid w:val="70D72648"/>
    <w:multiLevelType w:val="multilevel"/>
    <w:tmpl w:val="BD5E42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3" w15:restartNumberingAfterBreak="0">
    <w:nsid w:val="711037DB"/>
    <w:multiLevelType w:val="multilevel"/>
    <w:tmpl w:val="1E7CE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4" w15:restartNumberingAfterBreak="0">
    <w:nsid w:val="71A926D9"/>
    <w:multiLevelType w:val="multilevel"/>
    <w:tmpl w:val="37E24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5" w15:restartNumberingAfterBreak="0">
    <w:nsid w:val="72B56C26"/>
    <w:multiLevelType w:val="multilevel"/>
    <w:tmpl w:val="58764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6" w15:restartNumberingAfterBreak="0">
    <w:nsid w:val="72D11189"/>
    <w:multiLevelType w:val="multilevel"/>
    <w:tmpl w:val="B69AC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7" w15:restartNumberingAfterBreak="0">
    <w:nsid w:val="737050C5"/>
    <w:multiLevelType w:val="multilevel"/>
    <w:tmpl w:val="CF64CC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73D32C7F"/>
    <w:multiLevelType w:val="multilevel"/>
    <w:tmpl w:val="8CD66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9" w15:restartNumberingAfterBreak="0">
    <w:nsid w:val="74B16CC8"/>
    <w:multiLevelType w:val="multilevel"/>
    <w:tmpl w:val="E1A62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0" w15:restartNumberingAfterBreak="0">
    <w:nsid w:val="74EE3185"/>
    <w:multiLevelType w:val="multilevel"/>
    <w:tmpl w:val="16921D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1" w15:restartNumberingAfterBreak="0">
    <w:nsid w:val="74FA773D"/>
    <w:multiLevelType w:val="multilevel"/>
    <w:tmpl w:val="4762E5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2" w15:restartNumberingAfterBreak="0">
    <w:nsid w:val="75405C73"/>
    <w:multiLevelType w:val="multilevel"/>
    <w:tmpl w:val="DA08F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3" w15:restartNumberingAfterBreak="0">
    <w:nsid w:val="75935D99"/>
    <w:multiLevelType w:val="multilevel"/>
    <w:tmpl w:val="FA16B1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4" w15:restartNumberingAfterBreak="0">
    <w:nsid w:val="775263B2"/>
    <w:multiLevelType w:val="multilevel"/>
    <w:tmpl w:val="DBA03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5" w15:restartNumberingAfterBreak="0">
    <w:nsid w:val="778325D8"/>
    <w:multiLevelType w:val="multilevel"/>
    <w:tmpl w:val="F692F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6" w15:restartNumberingAfterBreak="0">
    <w:nsid w:val="77A41585"/>
    <w:multiLevelType w:val="multilevel"/>
    <w:tmpl w:val="8CFC27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7" w15:restartNumberingAfterBreak="0">
    <w:nsid w:val="79464677"/>
    <w:multiLevelType w:val="multilevel"/>
    <w:tmpl w:val="167E5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8" w15:restartNumberingAfterBreak="0">
    <w:nsid w:val="79B9794E"/>
    <w:multiLevelType w:val="multilevel"/>
    <w:tmpl w:val="D186C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9" w15:restartNumberingAfterBreak="0">
    <w:nsid w:val="7A4F6F04"/>
    <w:multiLevelType w:val="multilevel"/>
    <w:tmpl w:val="83388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0" w15:restartNumberingAfterBreak="0">
    <w:nsid w:val="7A642DCF"/>
    <w:multiLevelType w:val="multilevel"/>
    <w:tmpl w:val="30BE4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1" w15:restartNumberingAfterBreak="0">
    <w:nsid w:val="7A68341C"/>
    <w:multiLevelType w:val="multilevel"/>
    <w:tmpl w:val="8CD2D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2" w15:restartNumberingAfterBreak="0">
    <w:nsid w:val="7B163EE1"/>
    <w:multiLevelType w:val="multilevel"/>
    <w:tmpl w:val="F4FAAA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7B595ECE"/>
    <w:multiLevelType w:val="multilevel"/>
    <w:tmpl w:val="A3DCAE6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4" w15:restartNumberingAfterBreak="0">
    <w:nsid w:val="7B8A24F1"/>
    <w:multiLevelType w:val="multilevel"/>
    <w:tmpl w:val="C826E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5" w15:restartNumberingAfterBreak="0">
    <w:nsid w:val="7BE83C87"/>
    <w:multiLevelType w:val="hybridMultilevel"/>
    <w:tmpl w:val="6B1816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6" w15:restartNumberingAfterBreak="0">
    <w:nsid w:val="7C0C3C88"/>
    <w:multiLevelType w:val="multilevel"/>
    <w:tmpl w:val="C66A66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7" w15:restartNumberingAfterBreak="0">
    <w:nsid w:val="7C6870B7"/>
    <w:multiLevelType w:val="multilevel"/>
    <w:tmpl w:val="FA88B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8" w15:restartNumberingAfterBreak="0">
    <w:nsid w:val="7DA14F96"/>
    <w:multiLevelType w:val="multilevel"/>
    <w:tmpl w:val="DFD46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9" w15:restartNumberingAfterBreak="0">
    <w:nsid w:val="7E167112"/>
    <w:multiLevelType w:val="multilevel"/>
    <w:tmpl w:val="26888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0" w15:restartNumberingAfterBreak="0">
    <w:nsid w:val="7E2A5A25"/>
    <w:multiLevelType w:val="multilevel"/>
    <w:tmpl w:val="ED9653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1" w15:restartNumberingAfterBreak="0">
    <w:nsid w:val="7E957DD1"/>
    <w:multiLevelType w:val="multilevel"/>
    <w:tmpl w:val="15BAD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2" w15:restartNumberingAfterBreak="0">
    <w:nsid w:val="7ECF1A41"/>
    <w:multiLevelType w:val="multilevel"/>
    <w:tmpl w:val="AD4A61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75812791">
    <w:abstractNumId w:val="205"/>
  </w:num>
  <w:num w:numId="2" w16cid:durableId="1935747357">
    <w:abstractNumId w:val="133"/>
  </w:num>
  <w:num w:numId="3" w16cid:durableId="1724331054">
    <w:abstractNumId w:val="225"/>
  </w:num>
  <w:num w:numId="4" w16cid:durableId="1097288905">
    <w:abstractNumId w:val="143"/>
  </w:num>
  <w:num w:numId="5" w16cid:durableId="2082826239">
    <w:abstractNumId w:val="27"/>
  </w:num>
  <w:num w:numId="6" w16cid:durableId="1901671154">
    <w:abstractNumId w:val="180"/>
  </w:num>
  <w:num w:numId="7" w16cid:durableId="1134055449">
    <w:abstractNumId w:val="112"/>
  </w:num>
  <w:num w:numId="8" w16cid:durableId="879129404">
    <w:abstractNumId w:val="22"/>
  </w:num>
  <w:num w:numId="9" w16cid:durableId="2077048709">
    <w:abstractNumId w:val="40"/>
  </w:num>
  <w:num w:numId="10" w16cid:durableId="1938051965">
    <w:abstractNumId w:val="56"/>
  </w:num>
  <w:num w:numId="11" w16cid:durableId="1927614756">
    <w:abstractNumId w:val="92"/>
  </w:num>
  <w:num w:numId="12" w16cid:durableId="561477756">
    <w:abstractNumId w:val="162"/>
  </w:num>
  <w:num w:numId="13" w16cid:durableId="1255164196">
    <w:abstractNumId w:val="241"/>
  </w:num>
  <w:num w:numId="14" w16cid:durableId="1510483508">
    <w:abstractNumId w:val="118"/>
  </w:num>
  <w:num w:numId="15" w16cid:durableId="889849993">
    <w:abstractNumId w:val="165"/>
  </w:num>
  <w:num w:numId="16" w16cid:durableId="1150252920">
    <w:abstractNumId w:val="90"/>
  </w:num>
  <w:num w:numId="17" w16cid:durableId="1599673324">
    <w:abstractNumId w:val="249"/>
  </w:num>
  <w:num w:numId="18" w16cid:durableId="1071150468">
    <w:abstractNumId w:val="18"/>
  </w:num>
  <w:num w:numId="19" w16cid:durableId="101925290">
    <w:abstractNumId w:val="3"/>
  </w:num>
  <w:num w:numId="20" w16cid:durableId="13649985">
    <w:abstractNumId w:val="170"/>
  </w:num>
  <w:num w:numId="21" w16cid:durableId="1337264555">
    <w:abstractNumId w:val="78"/>
  </w:num>
  <w:num w:numId="22" w16cid:durableId="1952782004">
    <w:abstractNumId w:val="46"/>
  </w:num>
  <w:num w:numId="23" w16cid:durableId="1311903450">
    <w:abstractNumId w:val="142"/>
  </w:num>
  <w:num w:numId="24" w16cid:durableId="1993371197">
    <w:abstractNumId w:val="243"/>
  </w:num>
  <w:num w:numId="25" w16cid:durableId="921912424">
    <w:abstractNumId w:val="181"/>
  </w:num>
  <w:num w:numId="26" w16cid:durableId="1323002597">
    <w:abstractNumId w:val="39"/>
  </w:num>
  <w:num w:numId="27" w16cid:durableId="8604848">
    <w:abstractNumId w:val="96"/>
  </w:num>
  <w:num w:numId="28" w16cid:durableId="788233823">
    <w:abstractNumId w:val="145"/>
  </w:num>
  <w:num w:numId="29" w16cid:durableId="554052591">
    <w:abstractNumId w:val="136"/>
  </w:num>
  <w:num w:numId="30" w16cid:durableId="1291126087">
    <w:abstractNumId w:val="106"/>
  </w:num>
  <w:num w:numId="31" w16cid:durableId="48845105">
    <w:abstractNumId w:val="108"/>
  </w:num>
  <w:num w:numId="32" w16cid:durableId="658578004">
    <w:abstractNumId w:val="79"/>
  </w:num>
  <w:num w:numId="33" w16cid:durableId="1105226308">
    <w:abstractNumId w:val="141"/>
  </w:num>
  <w:num w:numId="34" w16cid:durableId="1059785392">
    <w:abstractNumId w:val="219"/>
  </w:num>
  <w:num w:numId="35" w16cid:durableId="122624872">
    <w:abstractNumId w:val="123"/>
  </w:num>
  <w:num w:numId="36" w16cid:durableId="862129993">
    <w:abstractNumId w:val="19"/>
  </w:num>
  <w:num w:numId="37" w16cid:durableId="1533346855">
    <w:abstractNumId w:val="38"/>
  </w:num>
  <w:num w:numId="38" w16cid:durableId="507912331">
    <w:abstractNumId w:val="230"/>
  </w:num>
  <w:num w:numId="39" w16cid:durableId="1090854381">
    <w:abstractNumId w:val="120"/>
  </w:num>
  <w:num w:numId="40" w16cid:durableId="274797366">
    <w:abstractNumId w:val="154"/>
  </w:num>
  <w:num w:numId="41" w16cid:durableId="1557429051">
    <w:abstractNumId w:val="132"/>
  </w:num>
  <w:num w:numId="42" w16cid:durableId="497422213">
    <w:abstractNumId w:val="196"/>
  </w:num>
  <w:num w:numId="43" w16cid:durableId="892497536">
    <w:abstractNumId w:val="64"/>
  </w:num>
  <w:num w:numId="44" w16cid:durableId="1353265552">
    <w:abstractNumId w:val="185"/>
  </w:num>
  <w:num w:numId="45" w16cid:durableId="72551664">
    <w:abstractNumId w:val="252"/>
  </w:num>
  <w:num w:numId="46" w16cid:durableId="768815745">
    <w:abstractNumId w:val="232"/>
  </w:num>
  <w:num w:numId="47" w16cid:durableId="2029790210">
    <w:abstractNumId w:val="97"/>
  </w:num>
  <w:num w:numId="48" w16cid:durableId="1518108224">
    <w:abstractNumId w:val="29"/>
  </w:num>
  <w:num w:numId="49" w16cid:durableId="951089912">
    <w:abstractNumId w:val="134"/>
  </w:num>
  <w:num w:numId="50" w16cid:durableId="163475582">
    <w:abstractNumId w:val="140"/>
  </w:num>
  <w:num w:numId="51" w16cid:durableId="2081900908">
    <w:abstractNumId w:val="156"/>
  </w:num>
  <w:num w:numId="52" w16cid:durableId="1981961779">
    <w:abstractNumId w:val="212"/>
  </w:num>
  <w:num w:numId="53" w16cid:durableId="1126922287">
    <w:abstractNumId w:val="104"/>
  </w:num>
  <w:num w:numId="54" w16cid:durableId="206068552">
    <w:abstractNumId w:val="235"/>
  </w:num>
  <w:num w:numId="55" w16cid:durableId="618687575">
    <w:abstractNumId w:val="81"/>
  </w:num>
  <w:num w:numId="56" w16cid:durableId="1432236063">
    <w:abstractNumId w:val="20"/>
  </w:num>
  <w:num w:numId="57" w16cid:durableId="430704865">
    <w:abstractNumId w:val="124"/>
  </w:num>
  <w:num w:numId="58" w16cid:durableId="1089159703">
    <w:abstractNumId w:val="151"/>
  </w:num>
  <w:num w:numId="59" w16cid:durableId="917860035">
    <w:abstractNumId w:val="128"/>
  </w:num>
  <w:num w:numId="60" w16cid:durableId="285308441">
    <w:abstractNumId w:val="222"/>
  </w:num>
  <w:num w:numId="61" w16cid:durableId="1875731955">
    <w:abstractNumId w:val="218"/>
  </w:num>
  <w:num w:numId="62" w16cid:durableId="13575050">
    <w:abstractNumId w:val="174"/>
  </w:num>
  <w:num w:numId="63" w16cid:durableId="1999072762">
    <w:abstractNumId w:val="57"/>
  </w:num>
  <w:num w:numId="64" w16cid:durableId="973608032">
    <w:abstractNumId w:val="202"/>
  </w:num>
  <w:num w:numId="65" w16cid:durableId="553932434">
    <w:abstractNumId w:val="163"/>
  </w:num>
  <w:num w:numId="66" w16cid:durableId="1811628873">
    <w:abstractNumId w:val="191"/>
  </w:num>
  <w:num w:numId="67" w16cid:durableId="1725375699">
    <w:abstractNumId w:val="5"/>
  </w:num>
  <w:num w:numId="68" w16cid:durableId="2132548343">
    <w:abstractNumId w:val="237"/>
  </w:num>
  <w:num w:numId="69" w16cid:durableId="192110644">
    <w:abstractNumId w:val="111"/>
  </w:num>
  <w:num w:numId="70" w16cid:durableId="1292906933">
    <w:abstractNumId w:val="220"/>
  </w:num>
  <w:num w:numId="71" w16cid:durableId="169565177">
    <w:abstractNumId w:val="54"/>
  </w:num>
  <w:num w:numId="72" w16cid:durableId="1691685192">
    <w:abstractNumId w:val="107"/>
  </w:num>
  <w:num w:numId="73" w16cid:durableId="1190029052">
    <w:abstractNumId w:val="86"/>
  </w:num>
  <w:num w:numId="74" w16cid:durableId="1997419176">
    <w:abstractNumId w:val="45"/>
  </w:num>
  <w:num w:numId="75" w16cid:durableId="2103330068">
    <w:abstractNumId w:val="173"/>
  </w:num>
  <w:num w:numId="76" w16cid:durableId="729303779">
    <w:abstractNumId w:val="168"/>
  </w:num>
  <w:num w:numId="77" w16cid:durableId="613748319">
    <w:abstractNumId w:val="216"/>
  </w:num>
  <w:num w:numId="78" w16cid:durableId="1272931701">
    <w:abstractNumId w:val="0"/>
  </w:num>
  <w:num w:numId="79" w16cid:durableId="1347561674">
    <w:abstractNumId w:val="43"/>
  </w:num>
  <w:num w:numId="80" w16cid:durableId="313491424">
    <w:abstractNumId w:val="30"/>
  </w:num>
  <w:num w:numId="81" w16cid:durableId="1460224690">
    <w:abstractNumId w:val="245"/>
  </w:num>
  <w:num w:numId="82" w16cid:durableId="823929574">
    <w:abstractNumId w:val="221"/>
  </w:num>
  <w:num w:numId="83" w16cid:durableId="351957013">
    <w:abstractNumId w:val="179"/>
  </w:num>
  <w:num w:numId="84" w16cid:durableId="392504273">
    <w:abstractNumId w:val="48"/>
  </w:num>
  <w:num w:numId="85" w16cid:durableId="2024014374">
    <w:abstractNumId w:val="110"/>
  </w:num>
  <w:num w:numId="86" w16cid:durableId="1725909898">
    <w:abstractNumId w:val="69"/>
  </w:num>
  <w:num w:numId="87" w16cid:durableId="6106685">
    <w:abstractNumId w:val="61"/>
  </w:num>
  <w:num w:numId="88" w16cid:durableId="972441659">
    <w:abstractNumId w:val="201"/>
  </w:num>
  <w:num w:numId="89" w16cid:durableId="374938016">
    <w:abstractNumId w:val="152"/>
  </w:num>
  <w:num w:numId="90" w16cid:durableId="1155293867">
    <w:abstractNumId w:val="223"/>
  </w:num>
  <w:num w:numId="91" w16cid:durableId="588584212">
    <w:abstractNumId w:val="155"/>
  </w:num>
  <w:num w:numId="92" w16cid:durableId="1486358519">
    <w:abstractNumId w:val="147"/>
  </w:num>
  <w:num w:numId="93" w16cid:durableId="1999915991">
    <w:abstractNumId w:val="197"/>
  </w:num>
  <w:num w:numId="94" w16cid:durableId="1697080833">
    <w:abstractNumId w:val="149"/>
  </w:num>
  <w:num w:numId="95" w16cid:durableId="1347052601">
    <w:abstractNumId w:val="14"/>
  </w:num>
  <w:num w:numId="96" w16cid:durableId="1898397015">
    <w:abstractNumId w:val="116"/>
  </w:num>
  <w:num w:numId="97" w16cid:durableId="1712654711">
    <w:abstractNumId w:val="192"/>
  </w:num>
  <w:num w:numId="98" w16cid:durableId="1979798577">
    <w:abstractNumId w:val="127"/>
  </w:num>
  <w:num w:numId="99" w16cid:durableId="958537265">
    <w:abstractNumId w:val="68"/>
  </w:num>
  <w:num w:numId="100" w16cid:durableId="1242569653">
    <w:abstractNumId w:val="109"/>
  </w:num>
  <w:num w:numId="101" w16cid:durableId="1349916277">
    <w:abstractNumId w:val="66"/>
  </w:num>
  <w:num w:numId="102" w16cid:durableId="1755588852">
    <w:abstractNumId w:val="99"/>
  </w:num>
  <w:num w:numId="103" w16cid:durableId="548028266">
    <w:abstractNumId w:val="161"/>
  </w:num>
  <w:num w:numId="104" w16cid:durableId="60492243">
    <w:abstractNumId w:val="53"/>
  </w:num>
  <w:num w:numId="105" w16cid:durableId="847133768">
    <w:abstractNumId w:val="131"/>
  </w:num>
  <w:num w:numId="106" w16cid:durableId="1260718901">
    <w:abstractNumId w:val="31"/>
  </w:num>
  <w:num w:numId="107" w16cid:durableId="272589471">
    <w:abstractNumId w:val="215"/>
  </w:num>
  <w:num w:numId="108" w16cid:durableId="1594512123">
    <w:abstractNumId w:val="63"/>
  </w:num>
  <w:num w:numId="109" w16cid:durableId="175580071">
    <w:abstractNumId w:val="189"/>
  </w:num>
  <w:num w:numId="110" w16cid:durableId="183135221">
    <w:abstractNumId w:val="98"/>
  </w:num>
  <w:num w:numId="111" w16cid:durableId="1508330582">
    <w:abstractNumId w:val="91"/>
  </w:num>
  <w:num w:numId="112" w16cid:durableId="1873691621">
    <w:abstractNumId w:val="93"/>
  </w:num>
  <w:num w:numId="113" w16cid:durableId="1785075671">
    <w:abstractNumId w:val="194"/>
  </w:num>
  <w:num w:numId="114" w16cid:durableId="1034768280">
    <w:abstractNumId w:val="144"/>
  </w:num>
  <w:num w:numId="115" w16cid:durableId="578758214">
    <w:abstractNumId w:val="160"/>
  </w:num>
  <w:num w:numId="116" w16cid:durableId="288627481">
    <w:abstractNumId w:val="23"/>
  </w:num>
  <w:num w:numId="117" w16cid:durableId="2085519257">
    <w:abstractNumId w:val="129"/>
  </w:num>
  <w:num w:numId="118" w16cid:durableId="631326847">
    <w:abstractNumId w:val="233"/>
  </w:num>
  <w:num w:numId="119" w16cid:durableId="1130706954">
    <w:abstractNumId w:val="198"/>
  </w:num>
  <w:num w:numId="120" w16cid:durableId="526985873">
    <w:abstractNumId w:val="67"/>
  </w:num>
  <w:num w:numId="121" w16cid:durableId="1621572926">
    <w:abstractNumId w:val="121"/>
  </w:num>
  <w:num w:numId="122" w16cid:durableId="1292323925">
    <w:abstractNumId w:val="55"/>
  </w:num>
  <w:num w:numId="123" w16cid:durableId="1816679330">
    <w:abstractNumId w:val="35"/>
  </w:num>
  <w:num w:numId="124" w16cid:durableId="722098095">
    <w:abstractNumId w:val="138"/>
  </w:num>
  <w:num w:numId="125" w16cid:durableId="625625495">
    <w:abstractNumId w:val="157"/>
  </w:num>
  <w:num w:numId="126" w16cid:durableId="1895004754">
    <w:abstractNumId w:val="199"/>
  </w:num>
  <w:num w:numId="127" w16cid:durableId="760416785">
    <w:abstractNumId w:val="130"/>
  </w:num>
  <w:num w:numId="128" w16cid:durableId="2043090065">
    <w:abstractNumId w:val="60"/>
  </w:num>
  <w:num w:numId="129" w16cid:durableId="1288585780">
    <w:abstractNumId w:val="94"/>
  </w:num>
  <w:num w:numId="130" w16cid:durableId="1452477112">
    <w:abstractNumId w:val="234"/>
  </w:num>
  <w:num w:numId="131" w16cid:durableId="1730759751">
    <w:abstractNumId w:val="164"/>
  </w:num>
  <w:num w:numId="132" w16cid:durableId="1238704817">
    <w:abstractNumId w:val="33"/>
  </w:num>
  <w:num w:numId="133" w16cid:durableId="257569111">
    <w:abstractNumId w:val="49"/>
  </w:num>
  <w:num w:numId="134" w16cid:durableId="131290615">
    <w:abstractNumId w:val="148"/>
  </w:num>
  <w:num w:numId="135" w16cid:durableId="2051226430">
    <w:abstractNumId w:val="4"/>
  </w:num>
  <w:num w:numId="136" w16cid:durableId="1273589715">
    <w:abstractNumId w:val="153"/>
  </w:num>
  <w:num w:numId="137" w16cid:durableId="91166350">
    <w:abstractNumId w:val="248"/>
  </w:num>
  <w:num w:numId="138" w16cid:durableId="163398784">
    <w:abstractNumId w:val="204"/>
  </w:num>
  <w:num w:numId="139" w16cid:durableId="595675980">
    <w:abstractNumId w:val="75"/>
  </w:num>
  <w:num w:numId="140" w16cid:durableId="156265659">
    <w:abstractNumId w:val="42"/>
  </w:num>
  <w:num w:numId="141" w16cid:durableId="414866807">
    <w:abstractNumId w:val="65"/>
  </w:num>
  <w:num w:numId="142" w16cid:durableId="295529616">
    <w:abstractNumId w:val="190"/>
  </w:num>
  <w:num w:numId="143" w16cid:durableId="56755118">
    <w:abstractNumId w:val="227"/>
  </w:num>
  <w:num w:numId="144" w16cid:durableId="865213747">
    <w:abstractNumId w:val="139"/>
  </w:num>
  <w:num w:numId="145" w16cid:durableId="1387099760">
    <w:abstractNumId w:val="178"/>
  </w:num>
  <w:num w:numId="146" w16cid:durableId="2032221102">
    <w:abstractNumId w:val="105"/>
  </w:num>
  <w:num w:numId="147" w16cid:durableId="462045094">
    <w:abstractNumId w:val="47"/>
  </w:num>
  <w:num w:numId="148" w16cid:durableId="1564750422">
    <w:abstractNumId w:val="21"/>
  </w:num>
  <w:num w:numId="149" w16cid:durableId="774909332">
    <w:abstractNumId w:val="159"/>
  </w:num>
  <w:num w:numId="150" w16cid:durableId="602034811">
    <w:abstractNumId w:val="122"/>
  </w:num>
  <w:num w:numId="151" w16cid:durableId="911815548">
    <w:abstractNumId w:val="213"/>
  </w:num>
  <w:num w:numId="152" w16cid:durableId="956374845">
    <w:abstractNumId w:val="150"/>
  </w:num>
  <w:num w:numId="153" w16cid:durableId="967007792">
    <w:abstractNumId w:val="70"/>
  </w:num>
  <w:num w:numId="154" w16cid:durableId="1032800508">
    <w:abstractNumId w:val="76"/>
  </w:num>
  <w:num w:numId="155" w16cid:durableId="718554058">
    <w:abstractNumId w:val="52"/>
  </w:num>
  <w:num w:numId="156" w16cid:durableId="1990550748">
    <w:abstractNumId w:val="167"/>
  </w:num>
  <w:num w:numId="157" w16cid:durableId="1658877331">
    <w:abstractNumId w:val="59"/>
  </w:num>
  <w:num w:numId="158" w16cid:durableId="93284446">
    <w:abstractNumId w:val="182"/>
  </w:num>
  <w:num w:numId="159" w16cid:durableId="520125972">
    <w:abstractNumId w:val="187"/>
  </w:num>
  <w:num w:numId="160" w16cid:durableId="2069724662">
    <w:abstractNumId w:val="41"/>
  </w:num>
  <w:num w:numId="161" w16cid:durableId="1311011781">
    <w:abstractNumId w:val="71"/>
  </w:num>
  <w:num w:numId="162" w16cid:durableId="11038094">
    <w:abstractNumId w:val="88"/>
  </w:num>
  <w:num w:numId="163" w16cid:durableId="1160265821">
    <w:abstractNumId w:val="184"/>
  </w:num>
  <w:num w:numId="164" w16cid:durableId="1168250196">
    <w:abstractNumId w:val="77"/>
  </w:num>
  <w:num w:numId="165" w16cid:durableId="1073235938">
    <w:abstractNumId w:val="239"/>
  </w:num>
  <w:num w:numId="166" w16cid:durableId="1446189600">
    <w:abstractNumId w:val="231"/>
  </w:num>
  <w:num w:numId="167" w16cid:durableId="123274631">
    <w:abstractNumId w:val="113"/>
  </w:num>
  <w:num w:numId="168" w16cid:durableId="1180700496">
    <w:abstractNumId w:val="175"/>
  </w:num>
  <w:num w:numId="169" w16cid:durableId="2134864418">
    <w:abstractNumId w:val="34"/>
  </w:num>
  <w:num w:numId="170" w16cid:durableId="939797297">
    <w:abstractNumId w:val="177"/>
  </w:num>
  <w:num w:numId="171" w16cid:durableId="1743944980">
    <w:abstractNumId w:val="83"/>
  </w:num>
  <w:num w:numId="172" w16cid:durableId="1910573516">
    <w:abstractNumId w:val="119"/>
  </w:num>
  <w:num w:numId="173" w16cid:durableId="1100636240">
    <w:abstractNumId w:val="72"/>
  </w:num>
  <w:num w:numId="174" w16cid:durableId="1994334313">
    <w:abstractNumId w:val="89"/>
  </w:num>
  <w:num w:numId="175" w16cid:durableId="1901476704">
    <w:abstractNumId w:val="74"/>
  </w:num>
  <w:num w:numId="176" w16cid:durableId="116217363">
    <w:abstractNumId w:val="8"/>
  </w:num>
  <w:num w:numId="177" w16cid:durableId="753207599">
    <w:abstractNumId w:val="9"/>
  </w:num>
  <w:num w:numId="178" w16cid:durableId="1930579359">
    <w:abstractNumId w:val="16"/>
  </w:num>
  <w:num w:numId="179" w16cid:durableId="1240601152">
    <w:abstractNumId w:val="50"/>
  </w:num>
  <w:num w:numId="180" w16cid:durableId="2056926844">
    <w:abstractNumId w:val="176"/>
  </w:num>
  <w:num w:numId="181" w16cid:durableId="1603024893">
    <w:abstractNumId w:val="6"/>
  </w:num>
  <w:num w:numId="182" w16cid:durableId="474034179">
    <w:abstractNumId w:val="84"/>
  </w:num>
  <w:num w:numId="183" w16cid:durableId="1502506777">
    <w:abstractNumId w:val="28"/>
  </w:num>
  <w:num w:numId="184" w16cid:durableId="1396466013">
    <w:abstractNumId w:val="166"/>
  </w:num>
  <w:num w:numId="185" w16cid:durableId="488984812">
    <w:abstractNumId w:val="211"/>
  </w:num>
  <w:num w:numId="186" w16cid:durableId="807362716">
    <w:abstractNumId w:val="126"/>
  </w:num>
  <w:num w:numId="187" w16cid:durableId="1191643277">
    <w:abstractNumId w:val="37"/>
  </w:num>
  <w:num w:numId="188" w16cid:durableId="1989356159">
    <w:abstractNumId w:val="203"/>
  </w:num>
  <w:num w:numId="189" w16cid:durableId="1780220791">
    <w:abstractNumId w:val="229"/>
  </w:num>
  <w:num w:numId="190" w16cid:durableId="285430291">
    <w:abstractNumId w:val="207"/>
  </w:num>
  <w:num w:numId="191" w16cid:durableId="1210190592">
    <w:abstractNumId w:val="103"/>
  </w:num>
  <w:num w:numId="192" w16cid:durableId="164177133">
    <w:abstractNumId w:val="125"/>
  </w:num>
  <w:num w:numId="193" w16cid:durableId="1889341587">
    <w:abstractNumId w:val="206"/>
  </w:num>
  <w:num w:numId="194" w16cid:durableId="328293935">
    <w:abstractNumId w:val="10"/>
  </w:num>
  <w:num w:numId="195" w16cid:durableId="1363551595">
    <w:abstractNumId w:val="24"/>
  </w:num>
  <w:num w:numId="196" w16cid:durableId="966469984">
    <w:abstractNumId w:val="87"/>
  </w:num>
  <w:num w:numId="197" w16cid:durableId="103771755">
    <w:abstractNumId w:val="1"/>
  </w:num>
  <w:num w:numId="198" w16cid:durableId="424542270">
    <w:abstractNumId w:val="117"/>
  </w:num>
  <w:num w:numId="199" w16cid:durableId="625084445">
    <w:abstractNumId w:val="214"/>
  </w:num>
  <w:num w:numId="200" w16cid:durableId="841315137">
    <w:abstractNumId w:val="250"/>
  </w:num>
  <w:num w:numId="201" w16cid:durableId="1791051314">
    <w:abstractNumId w:val="210"/>
  </w:num>
  <w:num w:numId="202" w16cid:durableId="1613633066">
    <w:abstractNumId w:val="25"/>
  </w:num>
  <w:num w:numId="203" w16cid:durableId="1741054100">
    <w:abstractNumId w:val="217"/>
  </w:num>
  <w:num w:numId="204" w16cid:durableId="352877183">
    <w:abstractNumId w:val="208"/>
  </w:num>
  <w:num w:numId="205" w16cid:durableId="1721442642">
    <w:abstractNumId w:val="102"/>
  </w:num>
  <w:num w:numId="206" w16cid:durableId="216861757">
    <w:abstractNumId w:val="236"/>
  </w:num>
  <w:num w:numId="207" w16cid:durableId="1040396227">
    <w:abstractNumId w:val="62"/>
  </w:num>
  <w:num w:numId="208" w16cid:durableId="299261758">
    <w:abstractNumId w:val="238"/>
  </w:num>
  <w:num w:numId="209" w16cid:durableId="1836797032">
    <w:abstractNumId w:val="36"/>
  </w:num>
  <w:num w:numId="210" w16cid:durableId="299189731">
    <w:abstractNumId w:val="158"/>
  </w:num>
  <w:num w:numId="211" w16cid:durableId="1969626972">
    <w:abstractNumId w:val="186"/>
  </w:num>
  <w:num w:numId="212" w16cid:durableId="1453985733">
    <w:abstractNumId w:val="137"/>
  </w:num>
  <w:num w:numId="213" w16cid:durableId="268896700">
    <w:abstractNumId w:val="100"/>
  </w:num>
  <w:num w:numId="214" w16cid:durableId="1431507678">
    <w:abstractNumId w:val="73"/>
  </w:num>
  <w:num w:numId="215" w16cid:durableId="891700092">
    <w:abstractNumId w:val="13"/>
  </w:num>
  <w:num w:numId="216" w16cid:durableId="1978029136">
    <w:abstractNumId w:val="85"/>
  </w:num>
  <w:num w:numId="217" w16cid:durableId="307243950">
    <w:abstractNumId w:val="114"/>
  </w:num>
  <w:num w:numId="218" w16cid:durableId="1687558644">
    <w:abstractNumId w:val="2"/>
  </w:num>
  <w:num w:numId="219" w16cid:durableId="715397257">
    <w:abstractNumId w:val="200"/>
  </w:num>
  <w:num w:numId="220" w16cid:durableId="384526232">
    <w:abstractNumId w:val="12"/>
  </w:num>
  <w:num w:numId="221" w16cid:durableId="1255046688">
    <w:abstractNumId w:val="247"/>
  </w:num>
  <w:num w:numId="222" w16cid:durableId="507794473">
    <w:abstractNumId w:val="209"/>
  </w:num>
  <w:num w:numId="223" w16cid:durableId="1031301009">
    <w:abstractNumId w:val="146"/>
  </w:num>
  <w:num w:numId="224" w16cid:durableId="721557517">
    <w:abstractNumId w:val="228"/>
  </w:num>
  <w:num w:numId="225" w16cid:durableId="84956512">
    <w:abstractNumId w:val="193"/>
  </w:num>
  <w:num w:numId="226" w16cid:durableId="912354931">
    <w:abstractNumId w:val="251"/>
  </w:num>
  <w:num w:numId="227" w16cid:durableId="2062095407">
    <w:abstractNumId w:val="226"/>
  </w:num>
  <w:num w:numId="228" w16cid:durableId="352803600">
    <w:abstractNumId w:val="244"/>
  </w:num>
  <w:num w:numId="229" w16cid:durableId="107238331">
    <w:abstractNumId w:val="135"/>
  </w:num>
  <w:num w:numId="230" w16cid:durableId="1488129083">
    <w:abstractNumId w:val="188"/>
  </w:num>
  <w:num w:numId="231" w16cid:durableId="1794253399">
    <w:abstractNumId w:val="183"/>
  </w:num>
  <w:num w:numId="232" w16cid:durableId="1402828432">
    <w:abstractNumId w:val="17"/>
  </w:num>
  <w:num w:numId="233" w16cid:durableId="2076664581">
    <w:abstractNumId w:val="115"/>
  </w:num>
  <w:num w:numId="234" w16cid:durableId="1359046333">
    <w:abstractNumId w:val="32"/>
  </w:num>
  <w:num w:numId="235" w16cid:durableId="1425685588">
    <w:abstractNumId w:val="101"/>
  </w:num>
  <w:num w:numId="236" w16cid:durableId="1172642314">
    <w:abstractNumId w:val="26"/>
  </w:num>
  <w:num w:numId="237" w16cid:durableId="883642773">
    <w:abstractNumId w:val="95"/>
  </w:num>
  <w:num w:numId="238" w16cid:durableId="612246554">
    <w:abstractNumId w:val="240"/>
  </w:num>
  <w:num w:numId="239" w16cid:durableId="547110125">
    <w:abstractNumId w:val="80"/>
  </w:num>
  <w:num w:numId="240" w16cid:durableId="217324421">
    <w:abstractNumId w:val="15"/>
  </w:num>
  <w:num w:numId="241" w16cid:durableId="780338823">
    <w:abstractNumId w:val="246"/>
  </w:num>
  <w:num w:numId="242" w16cid:durableId="1806965433">
    <w:abstractNumId w:val="58"/>
  </w:num>
  <w:num w:numId="243" w16cid:durableId="538589575">
    <w:abstractNumId w:val="171"/>
  </w:num>
  <w:num w:numId="244" w16cid:durableId="1433210072">
    <w:abstractNumId w:val="51"/>
  </w:num>
  <w:num w:numId="245" w16cid:durableId="2003582568">
    <w:abstractNumId w:val="242"/>
  </w:num>
  <w:num w:numId="246" w16cid:durableId="455952132">
    <w:abstractNumId w:val="172"/>
  </w:num>
  <w:num w:numId="247" w16cid:durableId="190916495">
    <w:abstractNumId w:val="82"/>
  </w:num>
  <w:num w:numId="248" w16cid:durableId="1895464056">
    <w:abstractNumId w:val="169"/>
  </w:num>
  <w:num w:numId="249" w16cid:durableId="1455514143">
    <w:abstractNumId w:val="195"/>
  </w:num>
  <w:num w:numId="250" w16cid:durableId="845754501">
    <w:abstractNumId w:val="11"/>
  </w:num>
  <w:num w:numId="251" w16cid:durableId="1279138800">
    <w:abstractNumId w:val="44"/>
  </w:num>
  <w:num w:numId="252" w16cid:durableId="696733921">
    <w:abstractNumId w:val="224"/>
  </w:num>
  <w:num w:numId="253" w16cid:durableId="9465432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9"/>
  <w:proofState w:spelling="clean" w:grammar="clean"/>
  <w:defaultTabStop w:val="720"/>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0D6B"/>
    <w:rsid w:val="00016802"/>
    <w:rsid w:val="00032396"/>
    <w:rsid w:val="00067B26"/>
    <w:rsid w:val="000C0FD2"/>
    <w:rsid w:val="00102B9C"/>
    <w:rsid w:val="0011717E"/>
    <w:rsid w:val="00130FEA"/>
    <w:rsid w:val="00146746"/>
    <w:rsid w:val="00151F2F"/>
    <w:rsid w:val="00172991"/>
    <w:rsid w:val="001804DB"/>
    <w:rsid w:val="001D0099"/>
    <w:rsid w:val="001F7BB6"/>
    <w:rsid w:val="002133A7"/>
    <w:rsid w:val="00237E34"/>
    <w:rsid w:val="002675E0"/>
    <w:rsid w:val="00290845"/>
    <w:rsid w:val="002A7E58"/>
    <w:rsid w:val="002B5388"/>
    <w:rsid w:val="003518C4"/>
    <w:rsid w:val="00356D19"/>
    <w:rsid w:val="00370CC1"/>
    <w:rsid w:val="003B0C6D"/>
    <w:rsid w:val="0048209E"/>
    <w:rsid w:val="004B2A3D"/>
    <w:rsid w:val="004B5264"/>
    <w:rsid w:val="005309D6"/>
    <w:rsid w:val="00531E01"/>
    <w:rsid w:val="00544FC5"/>
    <w:rsid w:val="005510FA"/>
    <w:rsid w:val="0058400F"/>
    <w:rsid w:val="005B3D05"/>
    <w:rsid w:val="00647DF8"/>
    <w:rsid w:val="00673A74"/>
    <w:rsid w:val="00686DFD"/>
    <w:rsid w:val="00691808"/>
    <w:rsid w:val="006B046F"/>
    <w:rsid w:val="006B2E19"/>
    <w:rsid w:val="00704B24"/>
    <w:rsid w:val="007374D5"/>
    <w:rsid w:val="007625D6"/>
    <w:rsid w:val="00771666"/>
    <w:rsid w:val="007742B7"/>
    <w:rsid w:val="00792F8A"/>
    <w:rsid w:val="007A20DC"/>
    <w:rsid w:val="007C03AA"/>
    <w:rsid w:val="00836984"/>
    <w:rsid w:val="0085713E"/>
    <w:rsid w:val="00867AAB"/>
    <w:rsid w:val="00877E4C"/>
    <w:rsid w:val="008931B0"/>
    <w:rsid w:val="008A1AD7"/>
    <w:rsid w:val="008C5C82"/>
    <w:rsid w:val="008F2864"/>
    <w:rsid w:val="00941310"/>
    <w:rsid w:val="00956510"/>
    <w:rsid w:val="0096749B"/>
    <w:rsid w:val="0098718A"/>
    <w:rsid w:val="009D5D25"/>
    <w:rsid w:val="009E6B4E"/>
    <w:rsid w:val="00A54420"/>
    <w:rsid w:val="00A74302"/>
    <w:rsid w:val="00A97B24"/>
    <w:rsid w:val="00AB2A61"/>
    <w:rsid w:val="00AF7F11"/>
    <w:rsid w:val="00B10668"/>
    <w:rsid w:val="00B15FE7"/>
    <w:rsid w:val="00B677E0"/>
    <w:rsid w:val="00B84088"/>
    <w:rsid w:val="00BB4A2C"/>
    <w:rsid w:val="00BF4AA8"/>
    <w:rsid w:val="00BF79A7"/>
    <w:rsid w:val="00C52DFD"/>
    <w:rsid w:val="00C61DC2"/>
    <w:rsid w:val="00C86706"/>
    <w:rsid w:val="00CA5FCF"/>
    <w:rsid w:val="00D10D6B"/>
    <w:rsid w:val="00D14DBA"/>
    <w:rsid w:val="00D43E04"/>
    <w:rsid w:val="00D46CD7"/>
    <w:rsid w:val="00D61C59"/>
    <w:rsid w:val="00DF79EE"/>
    <w:rsid w:val="00E06BEC"/>
    <w:rsid w:val="00E1701B"/>
    <w:rsid w:val="00E527B0"/>
    <w:rsid w:val="00EA0880"/>
    <w:rsid w:val="00F04907"/>
    <w:rsid w:val="00F23AFD"/>
    <w:rsid w:val="00F55744"/>
    <w:rsid w:val="00F55F93"/>
    <w:rsid w:val="00FF23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efaultImageDpi w14:val="32767"/>
  <w15:chartTrackingRefBased/>
  <w15:docId w15:val="{BB3364F5-C181-0347-AD68-EBEEFEF7BC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0C0FD2"/>
    <w:rPr>
      <w:rFonts w:ascii="Times New Roman" w:eastAsia="Times New Roman" w:hAnsi="Times New Roman" w:cs="Times New Roman"/>
      <w:kern w:val="0"/>
      <w14:ligatures w14:val="none"/>
    </w:rPr>
  </w:style>
  <w:style w:type="paragraph" w:styleId="Heading1">
    <w:name w:val="heading 1"/>
    <w:basedOn w:val="Normal"/>
    <w:next w:val="Normal"/>
    <w:link w:val="Heading1Char"/>
    <w:autoRedefine/>
    <w:uiPriority w:val="9"/>
    <w:qFormat/>
    <w:rsid w:val="00BF4AA8"/>
    <w:pPr>
      <w:keepNext/>
      <w:spacing w:before="240" w:after="240"/>
      <w:ind w:left="357" w:hanging="357"/>
      <w:outlineLvl w:val="0"/>
    </w:pPr>
    <w:rPr>
      <w:rFonts w:ascii="Arial" w:hAnsi="Arial" w:cs="Arial"/>
      <w:b/>
      <w:bCs/>
      <w:sz w:val="28"/>
      <w:szCs w:val="28"/>
    </w:rPr>
  </w:style>
  <w:style w:type="paragraph" w:styleId="Heading2">
    <w:name w:val="heading 2"/>
    <w:basedOn w:val="Normal"/>
    <w:link w:val="Heading2Char"/>
    <w:uiPriority w:val="9"/>
    <w:qFormat/>
    <w:rsid w:val="00D10D6B"/>
    <w:pPr>
      <w:spacing w:before="100" w:beforeAutospacing="1" w:after="100" w:afterAutospacing="1"/>
      <w:outlineLvl w:val="1"/>
    </w:pPr>
    <w:rPr>
      <w:b/>
      <w:bCs/>
      <w:sz w:val="36"/>
      <w:szCs w:val="36"/>
    </w:rPr>
  </w:style>
  <w:style w:type="paragraph" w:styleId="Heading3">
    <w:name w:val="heading 3"/>
    <w:basedOn w:val="Normal"/>
    <w:link w:val="Heading3Char"/>
    <w:uiPriority w:val="9"/>
    <w:qFormat/>
    <w:rsid w:val="00D10D6B"/>
    <w:pPr>
      <w:spacing w:before="100" w:beforeAutospacing="1" w:after="100" w:afterAutospacing="1"/>
      <w:outlineLvl w:val="2"/>
    </w:pPr>
    <w:rPr>
      <w:b/>
      <w:bCs/>
      <w:sz w:val="27"/>
      <w:szCs w:val="27"/>
    </w:rPr>
  </w:style>
  <w:style w:type="paragraph" w:styleId="Heading4">
    <w:name w:val="heading 4"/>
    <w:basedOn w:val="Normal"/>
    <w:next w:val="Normal"/>
    <w:link w:val="Heading4Char"/>
    <w:uiPriority w:val="9"/>
    <w:unhideWhenUsed/>
    <w:qFormat/>
    <w:rsid w:val="007625D6"/>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98718A"/>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98718A"/>
    <w:pPr>
      <w:keepNext/>
      <w:keepLines/>
      <w:spacing w:before="4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4AA8"/>
    <w:rPr>
      <w:rFonts w:ascii="Arial" w:eastAsia="Times New Roman" w:hAnsi="Arial" w:cs="Arial"/>
      <w:b/>
      <w:bCs/>
      <w:kern w:val="0"/>
      <w:sz w:val="28"/>
      <w:szCs w:val="28"/>
      <w14:ligatures w14:val="none"/>
    </w:rPr>
  </w:style>
  <w:style w:type="character" w:customStyle="1" w:styleId="Heading2Char">
    <w:name w:val="Heading 2 Char"/>
    <w:basedOn w:val="DefaultParagraphFont"/>
    <w:link w:val="Heading2"/>
    <w:uiPriority w:val="9"/>
    <w:rsid w:val="00D10D6B"/>
    <w:rPr>
      <w:rFonts w:ascii="Times New Roman" w:eastAsia="Times New Roman" w:hAnsi="Times New Roman" w:cs="Times New Roman"/>
      <w:b/>
      <w:bCs/>
      <w:kern w:val="0"/>
      <w:sz w:val="36"/>
      <w:szCs w:val="36"/>
      <w14:ligatures w14:val="none"/>
    </w:rPr>
  </w:style>
  <w:style w:type="character" w:customStyle="1" w:styleId="Heading3Char">
    <w:name w:val="Heading 3 Char"/>
    <w:basedOn w:val="DefaultParagraphFont"/>
    <w:link w:val="Heading3"/>
    <w:uiPriority w:val="9"/>
    <w:rsid w:val="00D10D6B"/>
    <w:rPr>
      <w:rFonts w:ascii="Times New Roman" w:eastAsia="Times New Roman" w:hAnsi="Times New Roman" w:cs="Times New Roman"/>
      <w:b/>
      <w:bCs/>
      <w:kern w:val="0"/>
      <w:sz w:val="27"/>
      <w:szCs w:val="27"/>
      <w14:ligatures w14:val="none"/>
    </w:rPr>
  </w:style>
  <w:style w:type="character" w:styleId="Strong">
    <w:name w:val="Strong"/>
    <w:basedOn w:val="DefaultParagraphFont"/>
    <w:uiPriority w:val="22"/>
    <w:qFormat/>
    <w:rsid w:val="00D10D6B"/>
    <w:rPr>
      <w:b/>
      <w:bCs/>
    </w:rPr>
  </w:style>
  <w:style w:type="paragraph" w:styleId="NormalWeb">
    <w:name w:val="Normal (Web)"/>
    <w:basedOn w:val="Normal"/>
    <w:uiPriority w:val="99"/>
    <w:unhideWhenUsed/>
    <w:rsid w:val="00D10D6B"/>
    <w:pPr>
      <w:spacing w:before="100" w:beforeAutospacing="1" w:after="100" w:afterAutospacing="1"/>
    </w:pPr>
  </w:style>
  <w:style w:type="character" w:styleId="Emphasis">
    <w:name w:val="Emphasis"/>
    <w:basedOn w:val="DefaultParagraphFont"/>
    <w:uiPriority w:val="20"/>
    <w:qFormat/>
    <w:rsid w:val="00D10D6B"/>
    <w:rPr>
      <w:i/>
      <w:iCs/>
    </w:rPr>
  </w:style>
  <w:style w:type="character" w:customStyle="1" w:styleId="relative">
    <w:name w:val="relative"/>
    <w:basedOn w:val="DefaultParagraphFont"/>
    <w:rsid w:val="00D10D6B"/>
  </w:style>
  <w:style w:type="paragraph" w:customStyle="1" w:styleId="not-prose">
    <w:name w:val="not-prose"/>
    <w:basedOn w:val="Normal"/>
    <w:rsid w:val="00D10D6B"/>
    <w:pPr>
      <w:spacing w:before="100" w:beforeAutospacing="1" w:after="100" w:afterAutospacing="1"/>
    </w:pPr>
  </w:style>
  <w:style w:type="table" w:styleId="GridTable4-Accent5">
    <w:name w:val="Grid Table 4 Accent 5"/>
    <w:basedOn w:val="TableNormal"/>
    <w:uiPriority w:val="49"/>
    <w:rsid w:val="00AF7F11"/>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Caption">
    <w:name w:val="caption"/>
    <w:basedOn w:val="Normal"/>
    <w:next w:val="Normal"/>
    <w:uiPriority w:val="35"/>
    <w:unhideWhenUsed/>
    <w:qFormat/>
    <w:rsid w:val="00AF7F11"/>
    <w:pPr>
      <w:spacing w:after="200"/>
    </w:pPr>
    <w:rPr>
      <w:i/>
      <w:iCs/>
      <w:color w:val="44546A" w:themeColor="text2"/>
      <w:sz w:val="18"/>
      <w:szCs w:val="18"/>
    </w:rPr>
  </w:style>
  <w:style w:type="character" w:styleId="Hyperlink">
    <w:name w:val="Hyperlink"/>
    <w:basedOn w:val="DefaultParagraphFont"/>
    <w:uiPriority w:val="99"/>
    <w:unhideWhenUsed/>
    <w:rsid w:val="00356D19"/>
    <w:rPr>
      <w:color w:val="0000FF"/>
      <w:u w:val="single"/>
    </w:rPr>
  </w:style>
  <w:style w:type="character" w:customStyle="1" w:styleId="ms-1">
    <w:name w:val="ms-1"/>
    <w:basedOn w:val="DefaultParagraphFont"/>
    <w:rsid w:val="00356D19"/>
  </w:style>
  <w:style w:type="character" w:customStyle="1" w:styleId="max-w-15ch">
    <w:name w:val="max-w-[15ch]"/>
    <w:basedOn w:val="DefaultParagraphFont"/>
    <w:rsid w:val="00356D19"/>
  </w:style>
  <w:style w:type="character" w:customStyle="1" w:styleId="-me-1">
    <w:name w:val="-me-1"/>
    <w:basedOn w:val="DefaultParagraphFont"/>
    <w:rsid w:val="00356D19"/>
  </w:style>
  <w:style w:type="character" w:customStyle="1" w:styleId="Heading4Char">
    <w:name w:val="Heading 4 Char"/>
    <w:basedOn w:val="DefaultParagraphFont"/>
    <w:link w:val="Heading4"/>
    <w:uiPriority w:val="9"/>
    <w:rsid w:val="007625D6"/>
    <w:rPr>
      <w:rFonts w:asciiTheme="majorHAnsi" w:eastAsiaTheme="majorEastAsia" w:hAnsiTheme="majorHAnsi" w:cstheme="majorBidi"/>
      <w:i/>
      <w:iCs/>
      <w:color w:val="2F5496" w:themeColor="accent1" w:themeShade="BF"/>
    </w:rPr>
  </w:style>
  <w:style w:type="character" w:styleId="UnresolvedMention">
    <w:name w:val="Unresolved Mention"/>
    <w:basedOn w:val="DefaultParagraphFont"/>
    <w:uiPriority w:val="99"/>
    <w:rsid w:val="006B046F"/>
    <w:rPr>
      <w:color w:val="605E5C"/>
      <w:shd w:val="clear" w:color="auto" w:fill="E1DFDD"/>
    </w:rPr>
  </w:style>
  <w:style w:type="paragraph" w:styleId="Header">
    <w:name w:val="header"/>
    <w:basedOn w:val="Normal"/>
    <w:link w:val="HeaderChar"/>
    <w:uiPriority w:val="99"/>
    <w:unhideWhenUsed/>
    <w:rsid w:val="000C0FD2"/>
    <w:pPr>
      <w:tabs>
        <w:tab w:val="center" w:pos="4680"/>
        <w:tab w:val="right" w:pos="9360"/>
      </w:tabs>
    </w:pPr>
  </w:style>
  <w:style w:type="character" w:customStyle="1" w:styleId="HeaderChar">
    <w:name w:val="Header Char"/>
    <w:basedOn w:val="DefaultParagraphFont"/>
    <w:link w:val="Header"/>
    <w:uiPriority w:val="99"/>
    <w:rsid w:val="000C0FD2"/>
    <w:rPr>
      <w:rFonts w:ascii="Times New Roman" w:eastAsia="Times New Roman" w:hAnsi="Times New Roman" w:cs="Times New Roman"/>
      <w:kern w:val="0"/>
      <w14:ligatures w14:val="none"/>
    </w:rPr>
  </w:style>
  <w:style w:type="paragraph" w:styleId="Footer">
    <w:name w:val="footer"/>
    <w:basedOn w:val="Normal"/>
    <w:link w:val="FooterChar"/>
    <w:uiPriority w:val="99"/>
    <w:unhideWhenUsed/>
    <w:rsid w:val="000C0FD2"/>
    <w:pPr>
      <w:tabs>
        <w:tab w:val="center" w:pos="4680"/>
        <w:tab w:val="right" w:pos="9360"/>
      </w:tabs>
    </w:pPr>
  </w:style>
  <w:style w:type="character" w:customStyle="1" w:styleId="FooterChar">
    <w:name w:val="Footer Char"/>
    <w:basedOn w:val="DefaultParagraphFont"/>
    <w:link w:val="Footer"/>
    <w:uiPriority w:val="99"/>
    <w:rsid w:val="000C0FD2"/>
    <w:rPr>
      <w:rFonts w:ascii="Times New Roman" w:eastAsia="Times New Roman" w:hAnsi="Times New Roman" w:cs="Times New Roman"/>
      <w:kern w:val="0"/>
      <w14:ligatures w14:val="none"/>
    </w:rPr>
  </w:style>
  <w:style w:type="character" w:styleId="PageNumber">
    <w:name w:val="page number"/>
    <w:basedOn w:val="DefaultParagraphFont"/>
    <w:uiPriority w:val="99"/>
    <w:semiHidden/>
    <w:unhideWhenUsed/>
    <w:rsid w:val="000C0FD2"/>
  </w:style>
  <w:style w:type="table" w:styleId="GridTable5Dark">
    <w:name w:val="Grid Table 5 Dark"/>
    <w:basedOn w:val="TableNormal"/>
    <w:uiPriority w:val="50"/>
    <w:rsid w:val="00E1701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character" w:customStyle="1" w:styleId="katex-mathml">
    <w:name w:val="katex-mathml"/>
    <w:basedOn w:val="DefaultParagraphFont"/>
    <w:rsid w:val="00544FC5"/>
  </w:style>
  <w:style w:type="character" w:customStyle="1" w:styleId="mord">
    <w:name w:val="mord"/>
    <w:basedOn w:val="DefaultParagraphFont"/>
    <w:rsid w:val="00544FC5"/>
  </w:style>
  <w:style w:type="character" w:customStyle="1" w:styleId="mrel">
    <w:name w:val="mrel"/>
    <w:basedOn w:val="DefaultParagraphFont"/>
    <w:rsid w:val="00544FC5"/>
  </w:style>
  <w:style w:type="character" w:customStyle="1" w:styleId="mbin">
    <w:name w:val="mbin"/>
    <w:basedOn w:val="DefaultParagraphFont"/>
    <w:rsid w:val="00544FC5"/>
  </w:style>
  <w:style w:type="character" w:customStyle="1" w:styleId="vlist-s">
    <w:name w:val="vlist-s"/>
    <w:basedOn w:val="DefaultParagraphFont"/>
    <w:rsid w:val="00544FC5"/>
  </w:style>
  <w:style w:type="paragraph" w:styleId="ListParagraph">
    <w:name w:val="List Paragraph"/>
    <w:basedOn w:val="Normal"/>
    <w:uiPriority w:val="34"/>
    <w:qFormat/>
    <w:rsid w:val="00F55F93"/>
    <w:pPr>
      <w:ind w:left="720"/>
      <w:contextualSpacing/>
    </w:pPr>
  </w:style>
  <w:style w:type="character" w:styleId="FollowedHyperlink">
    <w:name w:val="FollowedHyperlink"/>
    <w:basedOn w:val="DefaultParagraphFont"/>
    <w:uiPriority w:val="99"/>
    <w:semiHidden/>
    <w:unhideWhenUsed/>
    <w:rsid w:val="00A97B24"/>
    <w:rPr>
      <w:color w:val="954F72" w:themeColor="followedHyperlink"/>
      <w:u w:val="single"/>
    </w:rPr>
  </w:style>
  <w:style w:type="paragraph" w:styleId="TOCHeading">
    <w:name w:val="TOC Heading"/>
    <w:basedOn w:val="Heading1"/>
    <w:next w:val="Normal"/>
    <w:uiPriority w:val="39"/>
    <w:unhideWhenUsed/>
    <w:qFormat/>
    <w:rsid w:val="00877E4C"/>
    <w:pPr>
      <w:keepLines/>
      <w:spacing w:before="480" w:line="276" w:lineRule="auto"/>
      <w:ind w:left="0" w:firstLine="0"/>
      <w:outlineLvl w:val="9"/>
    </w:pPr>
    <w:rPr>
      <w:rFonts w:asciiTheme="majorHAnsi" w:eastAsiaTheme="majorEastAsia" w:hAnsiTheme="majorHAnsi" w:cstheme="majorBidi"/>
      <w:color w:val="2F5496" w:themeColor="accent1" w:themeShade="BF"/>
    </w:rPr>
  </w:style>
  <w:style w:type="paragraph" w:styleId="TOC1">
    <w:name w:val="toc 1"/>
    <w:basedOn w:val="Normal"/>
    <w:next w:val="Normal"/>
    <w:autoRedefine/>
    <w:uiPriority w:val="39"/>
    <w:unhideWhenUsed/>
    <w:rsid w:val="00877E4C"/>
    <w:pPr>
      <w:spacing w:before="120"/>
    </w:pPr>
    <w:rPr>
      <w:rFonts w:asciiTheme="minorHAnsi" w:hAnsiTheme="minorHAnsi" w:cstheme="minorHAnsi"/>
      <w:b/>
      <w:bCs/>
      <w:i/>
      <w:iCs/>
    </w:rPr>
  </w:style>
  <w:style w:type="paragraph" w:styleId="TOC2">
    <w:name w:val="toc 2"/>
    <w:basedOn w:val="Normal"/>
    <w:next w:val="Normal"/>
    <w:autoRedefine/>
    <w:uiPriority w:val="39"/>
    <w:unhideWhenUsed/>
    <w:rsid w:val="00877E4C"/>
    <w:pPr>
      <w:spacing w:before="120"/>
      <w:ind w:left="240"/>
    </w:pPr>
    <w:rPr>
      <w:rFonts w:asciiTheme="minorHAnsi" w:hAnsiTheme="minorHAnsi" w:cstheme="minorHAnsi"/>
      <w:b/>
      <w:bCs/>
      <w:sz w:val="22"/>
      <w:szCs w:val="22"/>
    </w:rPr>
  </w:style>
  <w:style w:type="paragraph" w:styleId="TOC3">
    <w:name w:val="toc 3"/>
    <w:basedOn w:val="Normal"/>
    <w:next w:val="Normal"/>
    <w:autoRedefine/>
    <w:uiPriority w:val="39"/>
    <w:unhideWhenUsed/>
    <w:rsid w:val="00877E4C"/>
    <w:pPr>
      <w:ind w:left="480"/>
    </w:pPr>
    <w:rPr>
      <w:rFonts w:asciiTheme="minorHAnsi" w:hAnsiTheme="minorHAnsi" w:cstheme="minorHAnsi"/>
      <w:sz w:val="20"/>
      <w:szCs w:val="20"/>
    </w:rPr>
  </w:style>
  <w:style w:type="paragraph" w:styleId="TOC4">
    <w:name w:val="toc 4"/>
    <w:basedOn w:val="Normal"/>
    <w:next w:val="Normal"/>
    <w:autoRedefine/>
    <w:uiPriority w:val="39"/>
    <w:semiHidden/>
    <w:unhideWhenUsed/>
    <w:rsid w:val="00877E4C"/>
    <w:pPr>
      <w:ind w:left="720"/>
    </w:pPr>
    <w:rPr>
      <w:rFonts w:asciiTheme="minorHAnsi" w:hAnsiTheme="minorHAnsi" w:cstheme="minorHAnsi"/>
      <w:sz w:val="20"/>
      <w:szCs w:val="20"/>
    </w:rPr>
  </w:style>
  <w:style w:type="paragraph" w:styleId="TOC5">
    <w:name w:val="toc 5"/>
    <w:basedOn w:val="Normal"/>
    <w:next w:val="Normal"/>
    <w:autoRedefine/>
    <w:uiPriority w:val="39"/>
    <w:semiHidden/>
    <w:unhideWhenUsed/>
    <w:rsid w:val="00877E4C"/>
    <w:pPr>
      <w:ind w:left="960"/>
    </w:pPr>
    <w:rPr>
      <w:rFonts w:asciiTheme="minorHAnsi" w:hAnsiTheme="minorHAnsi" w:cstheme="minorHAnsi"/>
      <w:sz w:val="20"/>
      <w:szCs w:val="20"/>
    </w:rPr>
  </w:style>
  <w:style w:type="paragraph" w:styleId="TOC6">
    <w:name w:val="toc 6"/>
    <w:basedOn w:val="Normal"/>
    <w:next w:val="Normal"/>
    <w:autoRedefine/>
    <w:uiPriority w:val="39"/>
    <w:semiHidden/>
    <w:unhideWhenUsed/>
    <w:rsid w:val="00877E4C"/>
    <w:pPr>
      <w:ind w:left="1200"/>
    </w:pPr>
    <w:rPr>
      <w:rFonts w:asciiTheme="minorHAnsi" w:hAnsiTheme="minorHAnsi" w:cstheme="minorHAnsi"/>
      <w:sz w:val="20"/>
      <w:szCs w:val="20"/>
    </w:rPr>
  </w:style>
  <w:style w:type="paragraph" w:styleId="TOC7">
    <w:name w:val="toc 7"/>
    <w:basedOn w:val="Normal"/>
    <w:next w:val="Normal"/>
    <w:autoRedefine/>
    <w:uiPriority w:val="39"/>
    <w:semiHidden/>
    <w:unhideWhenUsed/>
    <w:rsid w:val="00877E4C"/>
    <w:pPr>
      <w:ind w:left="1440"/>
    </w:pPr>
    <w:rPr>
      <w:rFonts w:asciiTheme="minorHAnsi" w:hAnsiTheme="minorHAnsi" w:cstheme="minorHAnsi"/>
      <w:sz w:val="20"/>
      <w:szCs w:val="20"/>
    </w:rPr>
  </w:style>
  <w:style w:type="paragraph" w:styleId="TOC8">
    <w:name w:val="toc 8"/>
    <w:basedOn w:val="Normal"/>
    <w:next w:val="Normal"/>
    <w:autoRedefine/>
    <w:uiPriority w:val="39"/>
    <w:semiHidden/>
    <w:unhideWhenUsed/>
    <w:rsid w:val="00877E4C"/>
    <w:pPr>
      <w:ind w:left="1680"/>
    </w:pPr>
    <w:rPr>
      <w:rFonts w:asciiTheme="minorHAnsi" w:hAnsiTheme="minorHAnsi" w:cstheme="minorHAnsi"/>
      <w:sz w:val="20"/>
      <w:szCs w:val="20"/>
    </w:rPr>
  </w:style>
  <w:style w:type="paragraph" w:styleId="TOC9">
    <w:name w:val="toc 9"/>
    <w:basedOn w:val="Normal"/>
    <w:next w:val="Normal"/>
    <w:autoRedefine/>
    <w:uiPriority w:val="39"/>
    <w:semiHidden/>
    <w:unhideWhenUsed/>
    <w:rsid w:val="00877E4C"/>
    <w:pPr>
      <w:ind w:left="1920"/>
    </w:pPr>
    <w:rPr>
      <w:rFonts w:asciiTheme="minorHAnsi" w:hAnsiTheme="minorHAnsi" w:cstheme="minorHAnsi"/>
      <w:sz w:val="20"/>
      <w:szCs w:val="20"/>
    </w:rPr>
  </w:style>
  <w:style w:type="paragraph" w:styleId="TableofFigures">
    <w:name w:val="table of figures"/>
    <w:basedOn w:val="Normal"/>
    <w:next w:val="Normal"/>
    <w:uiPriority w:val="99"/>
    <w:unhideWhenUsed/>
    <w:rsid w:val="00877E4C"/>
  </w:style>
  <w:style w:type="paragraph" w:styleId="ListBullet2">
    <w:name w:val="List Bullet 2"/>
    <w:basedOn w:val="Normal"/>
    <w:uiPriority w:val="99"/>
    <w:unhideWhenUsed/>
    <w:rsid w:val="0085713E"/>
    <w:pPr>
      <w:numPr>
        <w:numId w:val="78"/>
      </w:numPr>
      <w:spacing w:after="200" w:line="276" w:lineRule="auto"/>
      <w:contextualSpacing/>
    </w:pPr>
    <w:rPr>
      <w:rFonts w:asciiTheme="minorHAnsi" w:eastAsiaTheme="minorEastAsia" w:hAnsiTheme="minorHAnsi" w:cstheme="minorBidi"/>
      <w:sz w:val="22"/>
      <w:szCs w:val="22"/>
    </w:rPr>
  </w:style>
  <w:style w:type="table" w:styleId="GridTable1Light-Accent5">
    <w:name w:val="Grid Table 1 Light Accent 5"/>
    <w:basedOn w:val="TableNormal"/>
    <w:uiPriority w:val="46"/>
    <w:rsid w:val="0085713E"/>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paragraph" w:customStyle="1" w:styleId="p1">
    <w:name w:val="p1"/>
    <w:basedOn w:val="Normal"/>
    <w:rsid w:val="0085713E"/>
    <w:rPr>
      <w:color w:val="000000"/>
      <w:sz w:val="18"/>
      <w:szCs w:val="18"/>
    </w:rPr>
  </w:style>
  <w:style w:type="paragraph" w:customStyle="1" w:styleId="p2">
    <w:name w:val="p2"/>
    <w:basedOn w:val="Normal"/>
    <w:rsid w:val="0085713E"/>
    <w:rPr>
      <w:color w:val="000000"/>
      <w:sz w:val="18"/>
      <w:szCs w:val="18"/>
    </w:rPr>
  </w:style>
  <w:style w:type="character" w:customStyle="1" w:styleId="apple-converted-space">
    <w:name w:val="apple-converted-space"/>
    <w:basedOn w:val="DefaultParagraphFont"/>
    <w:rsid w:val="0085713E"/>
  </w:style>
  <w:style w:type="table" w:styleId="GridTable1Light-Accent1">
    <w:name w:val="Grid Table 1 Light Accent 1"/>
    <w:basedOn w:val="TableNormal"/>
    <w:uiPriority w:val="46"/>
    <w:rsid w:val="0085713E"/>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mopen">
    <w:name w:val="mopen"/>
    <w:basedOn w:val="DefaultParagraphFont"/>
    <w:rsid w:val="0085713E"/>
  </w:style>
  <w:style w:type="character" w:customStyle="1" w:styleId="delimsizing">
    <w:name w:val="delimsizing"/>
    <w:basedOn w:val="DefaultParagraphFont"/>
    <w:rsid w:val="0085713E"/>
  </w:style>
  <w:style w:type="character" w:customStyle="1" w:styleId="mclose">
    <w:name w:val="mclose"/>
    <w:basedOn w:val="DefaultParagraphFont"/>
    <w:rsid w:val="0085713E"/>
  </w:style>
  <w:style w:type="paragraph" w:styleId="Revision">
    <w:name w:val="Revision"/>
    <w:hidden/>
    <w:uiPriority w:val="99"/>
    <w:semiHidden/>
    <w:rsid w:val="0085713E"/>
    <w:rPr>
      <w:rFonts w:ascii="Times New Roman" w:eastAsia="Times New Roman" w:hAnsi="Times New Roman" w:cs="Times New Roman"/>
      <w:kern w:val="0"/>
      <w14:ligatures w14:val="none"/>
    </w:rPr>
  </w:style>
  <w:style w:type="character" w:styleId="CommentReference">
    <w:name w:val="annotation reference"/>
    <w:basedOn w:val="DefaultParagraphFont"/>
    <w:uiPriority w:val="99"/>
    <w:semiHidden/>
    <w:unhideWhenUsed/>
    <w:rsid w:val="0085713E"/>
    <w:rPr>
      <w:sz w:val="16"/>
      <w:szCs w:val="16"/>
    </w:rPr>
  </w:style>
  <w:style w:type="paragraph" w:styleId="CommentText">
    <w:name w:val="annotation text"/>
    <w:basedOn w:val="Normal"/>
    <w:link w:val="CommentTextChar"/>
    <w:uiPriority w:val="99"/>
    <w:semiHidden/>
    <w:unhideWhenUsed/>
    <w:rsid w:val="0085713E"/>
    <w:rPr>
      <w:sz w:val="20"/>
      <w:szCs w:val="20"/>
    </w:rPr>
  </w:style>
  <w:style w:type="character" w:customStyle="1" w:styleId="CommentTextChar">
    <w:name w:val="Comment Text Char"/>
    <w:basedOn w:val="DefaultParagraphFont"/>
    <w:link w:val="CommentText"/>
    <w:uiPriority w:val="99"/>
    <w:semiHidden/>
    <w:rsid w:val="0085713E"/>
    <w:rPr>
      <w:rFonts w:ascii="Times New Roman" w:eastAsia="Times New Roman" w:hAnsi="Times New Roman"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85713E"/>
    <w:rPr>
      <w:b/>
      <w:bCs/>
    </w:rPr>
  </w:style>
  <w:style w:type="character" w:customStyle="1" w:styleId="CommentSubjectChar">
    <w:name w:val="Comment Subject Char"/>
    <w:basedOn w:val="CommentTextChar"/>
    <w:link w:val="CommentSubject"/>
    <w:uiPriority w:val="99"/>
    <w:semiHidden/>
    <w:rsid w:val="0085713E"/>
    <w:rPr>
      <w:rFonts w:ascii="Times New Roman" w:eastAsia="Times New Roman" w:hAnsi="Times New Roman" w:cs="Times New Roman"/>
      <w:b/>
      <w:bCs/>
      <w:kern w:val="0"/>
      <w:sz w:val="20"/>
      <w:szCs w:val="20"/>
      <w14:ligatures w14:val="none"/>
    </w:rPr>
  </w:style>
  <w:style w:type="character" w:customStyle="1" w:styleId="Heading5Char">
    <w:name w:val="Heading 5 Char"/>
    <w:basedOn w:val="DefaultParagraphFont"/>
    <w:link w:val="Heading5"/>
    <w:uiPriority w:val="9"/>
    <w:semiHidden/>
    <w:rsid w:val="0098718A"/>
    <w:rPr>
      <w:rFonts w:asciiTheme="majorHAnsi" w:eastAsiaTheme="majorEastAsia" w:hAnsiTheme="majorHAnsi" w:cstheme="majorBidi"/>
      <w:color w:val="2F5496" w:themeColor="accent1" w:themeShade="BF"/>
      <w:kern w:val="0"/>
      <w14:ligatures w14:val="none"/>
    </w:rPr>
  </w:style>
  <w:style w:type="character" w:customStyle="1" w:styleId="Heading6Char">
    <w:name w:val="Heading 6 Char"/>
    <w:basedOn w:val="DefaultParagraphFont"/>
    <w:link w:val="Heading6"/>
    <w:uiPriority w:val="9"/>
    <w:semiHidden/>
    <w:rsid w:val="0098718A"/>
    <w:rPr>
      <w:rFonts w:asciiTheme="majorHAnsi" w:eastAsiaTheme="majorEastAsia" w:hAnsiTheme="majorHAnsi" w:cstheme="majorBidi"/>
      <w:color w:val="1F3763" w:themeColor="accent1" w:themeShade="7F"/>
      <w:kern w:val="0"/>
      <w14:ligatures w14:val="none"/>
    </w:rPr>
  </w:style>
  <w:style w:type="table" w:styleId="GridTable2-Accent1">
    <w:name w:val="Grid Table 2 Accent 1"/>
    <w:basedOn w:val="TableNormal"/>
    <w:uiPriority w:val="47"/>
    <w:rsid w:val="0098718A"/>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NoSpacing">
    <w:name w:val="No Spacing"/>
    <w:uiPriority w:val="1"/>
    <w:qFormat/>
    <w:rsid w:val="0098718A"/>
    <w:rPr>
      <w:rFonts w:ascii="Times New Roman" w:eastAsia="Times New Roman" w:hAnsi="Times New Roman" w:cs="Times New Roman"/>
      <w:kern w:val="0"/>
      <w14:ligatures w14:val="none"/>
    </w:rPr>
  </w:style>
  <w:style w:type="table" w:styleId="TableGrid">
    <w:name w:val="Table Grid"/>
    <w:basedOn w:val="TableNormal"/>
    <w:uiPriority w:val="39"/>
    <w:rsid w:val="009871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g-binding">
    <w:name w:val="ng-binding"/>
    <w:basedOn w:val="DefaultParagraphFont"/>
    <w:rsid w:val="00B106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18601">
      <w:bodyDiv w:val="1"/>
      <w:marLeft w:val="0"/>
      <w:marRight w:val="0"/>
      <w:marTop w:val="0"/>
      <w:marBottom w:val="0"/>
      <w:divBdr>
        <w:top w:val="none" w:sz="0" w:space="0" w:color="auto"/>
        <w:left w:val="none" w:sz="0" w:space="0" w:color="auto"/>
        <w:bottom w:val="none" w:sz="0" w:space="0" w:color="auto"/>
        <w:right w:val="none" w:sz="0" w:space="0" w:color="auto"/>
      </w:divBdr>
    </w:div>
    <w:div w:id="77363301">
      <w:bodyDiv w:val="1"/>
      <w:marLeft w:val="0"/>
      <w:marRight w:val="0"/>
      <w:marTop w:val="0"/>
      <w:marBottom w:val="0"/>
      <w:divBdr>
        <w:top w:val="none" w:sz="0" w:space="0" w:color="auto"/>
        <w:left w:val="none" w:sz="0" w:space="0" w:color="auto"/>
        <w:bottom w:val="none" w:sz="0" w:space="0" w:color="auto"/>
        <w:right w:val="none" w:sz="0" w:space="0" w:color="auto"/>
      </w:divBdr>
    </w:div>
    <w:div w:id="135996379">
      <w:bodyDiv w:val="1"/>
      <w:marLeft w:val="0"/>
      <w:marRight w:val="0"/>
      <w:marTop w:val="0"/>
      <w:marBottom w:val="0"/>
      <w:divBdr>
        <w:top w:val="none" w:sz="0" w:space="0" w:color="auto"/>
        <w:left w:val="none" w:sz="0" w:space="0" w:color="auto"/>
        <w:bottom w:val="none" w:sz="0" w:space="0" w:color="auto"/>
        <w:right w:val="none" w:sz="0" w:space="0" w:color="auto"/>
      </w:divBdr>
    </w:div>
    <w:div w:id="228807411">
      <w:bodyDiv w:val="1"/>
      <w:marLeft w:val="0"/>
      <w:marRight w:val="0"/>
      <w:marTop w:val="0"/>
      <w:marBottom w:val="0"/>
      <w:divBdr>
        <w:top w:val="none" w:sz="0" w:space="0" w:color="auto"/>
        <w:left w:val="none" w:sz="0" w:space="0" w:color="auto"/>
        <w:bottom w:val="none" w:sz="0" w:space="0" w:color="auto"/>
        <w:right w:val="none" w:sz="0" w:space="0" w:color="auto"/>
      </w:divBdr>
      <w:divsChild>
        <w:div w:id="867833786">
          <w:marLeft w:val="0"/>
          <w:marRight w:val="0"/>
          <w:marTop w:val="0"/>
          <w:marBottom w:val="0"/>
          <w:divBdr>
            <w:top w:val="none" w:sz="0" w:space="0" w:color="auto"/>
            <w:left w:val="none" w:sz="0" w:space="0" w:color="auto"/>
            <w:bottom w:val="none" w:sz="0" w:space="0" w:color="auto"/>
            <w:right w:val="none" w:sz="0" w:space="0" w:color="auto"/>
          </w:divBdr>
          <w:divsChild>
            <w:div w:id="1071928167">
              <w:marLeft w:val="0"/>
              <w:marRight w:val="0"/>
              <w:marTop w:val="0"/>
              <w:marBottom w:val="0"/>
              <w:divBdr>
                <w:top w:val="none" w:sz="0" w:space="0" w:color="auto"/>
                <w:left w:val="none" w:sz="0" w:space="0" w:color="auto"/>
                <w:bottom w:val="none" w:sz="0" w:space="0" w:color="auto"/>
                <w:right w:val="none" w:sz="0" w:space="0" w:color="auto"/>
              </w:divBdr>
            </w:div>
          </w:divsChild>
        </w:div>
        <w:div w:id="251865478">
          <w:marLeft w:val="0"/>
          <w:marRight w:val="0"/>
          <w:marTop w:val="0"/>
          <w:marBottom w:val="0"/>
          <w:divBdr>
            <w:top w:val="none" w:sz="0" w:space="0" w:color="auto"/>
            <w:left w:val="none" w:sz="0" w:space="0" w:color="auto"/>
            <w:bottom w:val="none" w:sz="0" w:space="0" w:color="auto"/>
            <w:right w:val="none" w:sz="0" w:space="0" w:color="auto"/>
          </w:divBdr>
          <w:divsChild>
            <w:div w:id="1433864677">
              <w:marLeft w:val="0"/>
              <w:marRight w:val="0"/>
              <w:marTop w:val="0"/>
              <w:marBottom w:val="0"/>
              <w:divBdr>
                <w:top w:val="none" w:sz="0" w:space="0" w:color="auto"/>
                <w:left w:val="none" w:sz="0" w:space="0" w:color="auto"/>
                <w:bottom w:val="none" w:sz="0" w:space="0" w:color="auto"/>
                <w:right w:val="none" w:sz="0" w:space="0" w:color="auto"/>
              </w:divBdr>
            </w:div>
          </w:divsChild>
        </w:div>
        <w:div w:id="2120640428">
          <w:marLeft w:val="0"/>
          <w:marRight w:val="0"/>
          <w:marTop w:val="0"/>
          <w:marBottom w:val="0"/>
          <w:divBdr>
            <w:top w:val="none" w:sz="0" w:space="0" w:color="auto"/>
            <w:left w:val="none" w:sz="0" w:space="0" w:color="auto"/>
            <w:bottom w:val="none" w:sz="0" w:space="0" w:color="auto"/>
            <w:right w:val="none" w:sz="0" w:space="0" w:color="auto"/>
          </w:divBdr>
          <w:divsChild>
            <w:div w:id="994843379">
              <w:marLeft w:val="0"/>
              <w:marRight w:val="0"/>
              <w:marTop w:val="0"/>
              <w:marBottom w:val="0"/>
              <w:divBdr>
                <w:top w:val="none" w:sz="0" w:space="0" w:color="auto"/>
                <w:left w:val="none" w:sz="0" w:space="0" w:color="auto"/>
                <w:bottom w:val="none" w:sz="0" w:space="0" w:color="auto"/>
                <w:right w:val="none" w:sz="0" w:space="0" w:color="auto"/>
              </w:divBdr>
            </w:div>
          </w:divsChild>
        </w:div>
        <w:div w:id="1069838972">
          <w:marLeft w:val="0"/>
          <w:marRight w:val="0"/>
          <w:marTop w:val="0"/>
          <w:marBottom w:val="0"/>
          <w:divBdr>
            <w:top w:val="none" w:sz="0" w:space="0" w:color="auto"/>
            <w:left w:val="none" w:sz="0" w:space="0" w:color="auto"/>
            <w:bottom w:val="none" w:sz="0" w:space="0" w:color="auto"/>
            <w:right w:val="none" w:sz="0" w:space="0" w:color="auto"/>
          </w:divBdr>
          <w:divsChild>
            <w:div w:id="1748113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5670863">
      <w:bodyDiv w:val="1"/>
      <w:marLeft w:val="0"/>
      <w:marRight w:val="0"/>
      <w:marTop w:val="0"/>
      <w:marBottom w:val="0"/>
      <w:divBdr>
        <w:top w:val="none" w:sz="0" w:space="0" w:color="auto"/>
        <w:left w:val="none" w:sz="0" w:space="0" w:color="auto"/>
        <w:bottom w:val="none" w:sz="0" w:space="0" w:color="auto"/>
        <w:right w:val="none" w:sz="0" w:space="0" w:color="auto"/>
      </w:divBdr>
    </w:div>
    <w:div w:id="360907179">
      <w:bodyDiv w:val="1"/>
      <w:marLeft w:val="0"/>
      <w:marRight w:val="0"/>
      <w:marTop w:val="0"/>
      <w:marBottom w:val="0"/>
      <w:divBdr>
        <w:top w:val="none" w:sz="0" w:space="0" w:color="auto"/>
        <w:left w:val="none" w:sz="0" w:space="0" w:color="auto"/>
        <w:bottom w:val="none" w:sz="0" w:space="0" w:color="auto"/>
        <w:right w:val="none" w:sz="0" w:space="0" w:color="auto"/>
      </w:divBdr>
    </w:div>
    <w:div w:id="367460692">
      <w:bodyDiv w:val="1"/>
      <w:marLeft w:val="0"/>
      <w:marRight w:val="0"/>
      <w:marTop w:val="0"/>
      <w:marBottom w:val="0"/>
      <w:divBdr>
        <w:top w:val="none" w:sz="0" w:space="0" w:color="auto"/>
        <w:left w:val="none" w:sz="0" w:space="0" w:color="auto"/>
        <w:bottom w:val="none" w:sz="0" w:space="0" w:color="auto"/>
        <w:right w:val="none" w:sz="0" w:space="0" w:color="auto"/>
      </w:divBdr>
    </w:div>
    <w:div w:id="689331153">
      <w:bodyDiv w:val="1"/>
      <w:marLeft w:val="0"/>
      <w:marRight w:val="0"/>
      <w:marTop w:val="0"/>
      <w:marBottom w:val="0"/>
      <w:divBdr>
        <w:top w:val="none" w:sz="0" w:space="0" w:color="auto"/>
        <w:left w:val="none" w:sz="0" w:space="0" w:color="auto"/>
        <w:bottom w:val="none" w:sz="0" w:space="0" w:color="auto"/>
        <w:right w:val="none" w:sz="0" w:space="0" w:color="auto"/>
      </w:divBdr>
    </w:div>
    <w:div w:id="714239929">
      <w:bodyDiv w:val="1"/>
      <w:marLeft w:val="0"/>
      <w:marRight w:val="0"/>
      <w:marTop w:val="0"/>
      <w:marBottom w:val="0"/>
      <w:divBdr>
        <w:top w:val="none" w:sz="0" w:space="0" w:color="auto"/>
        <w:left w:val="none" w:sz="0" w:space="0" w:color="auto"/>
        <w:bottom w:val="none" w:sz="0" w:space="0" w:color="auto"/>
        <w:right w:val="none" w:sz="0" w:space="0" w:color="auto"/>
      </w:divBdr>
    </w:div>
    <w:div w:id="777524897">
      <w:bodyDiv w:val="1"/>
      <w:marLeft w:val="0"/>
      <w:marRight w:val="0"/>
      <w:marTop w:val="0"/>
      <w:marBottom w:val="0"/>
      <w:divBdr>
        <w:top w:val="none" w:sz="0" w:space="0" w:color="auto"/>
        <w:left w:val="none" w:sz="0" w:space="0" w:color="auto"/>
        <w:bottom w:val="none" w:sz="0" w:space="0" w:color="auto"/>
        <w:right w:val="none" w:sz="0" w:space="0" w:color="auto"/>
      </w:divBdr>
    </w:div>
    <w:div w:id="801309148">
      <w:bodyDiv w:val="1"/>
      <w:marLeft w:val="0"/>
      <w:marRight w:val="0"/>
      <w:marTop w:val="0"/>
      <w:marBottom w:val="0"/>
      <w:divBdr>
        <w:top w:val="none" w:sz="0" w:space="0" w:color="auto"/>
        <w:left w:val="none" w:sz="0" w:space="0" w:color="auto"/>
        <w:bottom w:val="none" w:sz="0" w:space="0" w:color="auto"/>
        <w:right w:val="none" w:sz="0" w:space="0" w:color="auto"/>
      </w:divBdr>
    </w:div>
    <w:div w:id="813066739">
      <w:bodyDiv w:val="1"/>
      <w:marLeft w:val="0"/>
      <w:marRight w:val="0"/>
      <w:marTop w:val="0"/>
      <w:marBottom w:val="0"/>
      <w:divBdr>
        <w:top w:val="none" w:sz="0" w:space="0" w:color="auto"/>
        <w:left w:val="none" w:sz="0" w:space="0" w:color="auto"/>
        <w:bottom w:val="none" w:sz="0" w:space="0" w:color="auto"/>
        <w:right w:val="none" w:sz="0" w:space="0" w:color="auto"/>
      </w:divBdr>
    </w:div>
    <w:div w:id="868835220">
      <w:bodyDiv w:val="1"/>
      <w:marLeft w:val="0"/>
      <w:marRight w:val="0"/>
      <w:marTop w:val="0"/>
      <w:marBottom w:val="0"/>
      <w:divBdr>
        <w:top w:val="none" w:sz="0" w:space="0" w:color="auto"/>
        <w:left w:val="none" w:sz="0" w:space="0" w:color="auto"/>
        <w:bottom w:val="none" w:sz="0" w:space="0" w:color="auto"/>
        <w:right w:val="none" w:sz="0" w:space="0" w:color="auto"/>
      </w:divBdr>
    </w:div>
    <w:div w:id="919221071">
      <w:bodyDiv w:val="1"/>
      <w:marLeft w:val="0"/>
      <w:marRight w:val="0"/>
      <w:marTop w:val="0"/>
      <w:marBottom w:val="0"/>
      <w:divBdr>
        <w:top w:val="none" w:sz="0" w:space="0" w:color="auto"/>
        <w:left w:val="none" w:sz="0" w:space="0" w:color="auto"/>
        <w:bottom w:val="none" w:sz="0" w:space="0" w:color="auto"/>
        <w:right w:val="none" w:sz="0" w:space="0" w:color="auto"/>
      </w:divBdr>
      <w:divsChild>
        <w:div w:id="870534799">
          <w:marLeft w:val="0"/>
          <w:marRight w:val="0"/>
          <w:marTop w:val="0"/>
          <w:marBottom w:val="0"/>
          <w:divBdr>
            <w:top w:val="none" w:sz="0" w:space="0" w:color="auto"/>
            <w:left w:val="none" w:sz="0" w:space="0" w:color="auto"/>
            <w:bottom w:val="none" w:sz="0" w:space="0" w:color="auto"/>
            <w:right w:val="none" w:sz="0" w:space="0" w:color="auto"/>
          </w:divBdr>
          <w:divsChild>
            <w:div w:id="1287546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6691063">
      <w:bodyDiv w:val="1"/>
      <w:marLeft w:val="0"/>
      <w:marRight w:val="0"/>
      <w:marTop w:val="0"/>
      <w:marBottom w:val="0"/>
      <w:divBdr>
        <w:top w:val="none" w:sz="0" w:space="0" w:color="auto"/>
        <w:left w:val="none" w:sz="0" w:space="0" w:color="auto"/>
        <w:bottom w:val="none" w:sz="0" w:space="0" w:color="auto"/>
        <w:right w:val="none" w:sz="0" w:space="0" w:color="auto"/>
      </w:divBdr>
    </w:div>
    <w:div w:id="1558322106">
      <w:bodyDiv w:val="1"/>
      <w:marLeft w:val="0"/>
      <w:marRight w:val="0"/>
      <w:marTop w:val="0"/>
      <w:marBottom w:val="0"/>
      <w:divBdr>
        <w:top w:val="none" w:sz="0" w:space="0" w:color="auto"/>
        <w:left w:val="none" w:sz="0" w:space="0" w:color="auto"/>
        <w:bottom w:val="none" w:sz="0" w:space="0" w:color="auto"/>
        <w:right w:val="none" w:sz="0" w:space="0" w:color="auto"/>
      </w:divBdr>
    </w:div>
    <w:div w:id="1628852530">
      <w:bodyDiv w:val="1"/>
      <w:marLeft w:val="0"/>
      <w:marRight w:val="0"/>
      <w:marTop w:val="0"/>
      <w:marBottom w:val="0"/>
      <w:divBdr>
        <w:top w:val="none" w:sz="0" w:space="0" w:color="auto"/>
        <w:left w:val="none" w:sz="0" w:space="0" w:color="auto"/>
        <w:bottom w:val="none" w:sz="0" w:space="0" w:color="auto"/>
        <w:right w:val="none" w:sz="0" w:space="0" w:color="auto"/>
      </w:divBdr>
    </w:div>
    <w:div w:id="2049648071">
      <w:bodyDiv w:val="1"/>
      <w:marLeft w:val="0"/>
      <w:marRight w:val="0"/>
      <w:marTop w:val="0"/>
      <w:marBottom w:val="0"/>
      <w:divBdr>
        <w:top w:val="none" w:sz="0" w:space="0" w:color="auto"/>
        <w:left w:val="none" w:sz="0" w:space="0" w:color="auto"/>
        <w:bottom w:val="none" w:sz="0" w:space="0" w:color="auto"/>
        <w:right w:val="none" w:sz="0" w:space="0" w:color="auto"/>
      </w:divBdr>
    </w:div>
    <w:div w:id="2061201636">
      <w:bodyDiv w:val="1"/>
      <w:marLeft w:val="0"/>
      <w:marRight w:val="0"/>
      <w:marTop w:val="0"/>
      <w:marBottom w:val="0"/>
      <w:divBdr>
        <w:top w:val="none" w:sz="0" w:space="0" w:color="auto"/>
        <w:left w:val="none" w:sz="0" w:space="0" w:color="auto"/>
        <w:bottom w:val="none" w:sz="0" w:space="0" w:color="auto"/>
        <w:right w:val="none" w:sz="0" w:space="0" w:color="auto"/>
      </w:divBdr>
      <w:divsChild>
        <w:div w:id="1891528950">
          <w:marLeft w:val="0"/>
          <w:marRight w:val="0"/>
          <w:marTop w:val="0"/>
          <w:marBottom w:val="0"/>
          <w:divBdr>
            <w:top w:val="none" w:sz="0" w:space="0" w:color="auto"/>
            <w:left w:val="none" w:sz="0" w:space="0" w:color="auto"/>
            <w:bottom w:val="none" w:sz="0" w:space="0" w:color="auto"/>
            <w:right w:val="none" w:sz="0" w:space="0" w:color="auto"/>
          </w:divBdr>
          <w:divsChild>
            <w:div w:id="1522164662">
              <w:marLeft w:val="0"/>
              <w:marRight w:val="0"/>
              <w:marTop w:val="0"/>
              <w:marBottom w:val="0"/>
              <w:divBdr>
                <w:top w:val="none" w:sz="0" w:space="0" w:color="auto"/>
                <w:left w:val="none" w:sz="0" w:space="0" w:color="auto"/>
                <w:bottom w:val="none" w:sz="0" w:space="0" w:color="auto"/>
                <w:right w:val="none" w:sz="0" w:space="0" w:color="auto"/>
              </w:divBdr>
            </w:div>
          </w:divsChild>
        </w:div>
        <w:div w:id="208805618">
          <w:marLeft w:val="0"/>
          <w:marRight w:val="0"/>
          <w:marTop w:val="0"/>
          <w:marBottom w:val="0"/>
          <w:divBdr>
            <w:top w:val="none" w:sz="0" w:space="0" w:color="auto"/>
            <w:left w:val="none" w:sz="0" w:space="0" w:color="auto"/>
            <w:bottom w:val="none" w:sz="0" w:space="0" w:color="auto"/>
            <w:right w:val="none" w:sz="0" w:space="0" w:color="auto"/>
          </w:divBdr>
          <w:divsChild>
            <w:div w:id="2035183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ppp.mef.gov.kh/projects/solicited-projects"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DB693F-1458-5A4F-AD37-85FD39D293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88</Pages>
  <Words>27965</Words>
  <Characters>159405</Characters>
  <Application>Microsoft Office Word</Application>
  <DocSecurity>0</DocSecurity>
  <Lines>1328</Lines>
  <Paragraphs>373</Paragraphs>
  <ScaleCrop>false</ScaleCrop>
  <HeadingPairs>
    <vt:vector size="4" baseType="variant">
      <vt:variant>
        <vt:lpstr>Title</vt:lpstr>
      </vt:variant>
      <vt:variant>
        <vt:i4>1</vt:i4>
      </vt:variant>
      <vt:variant>
        <vt:lpstr>Headings</vt:lpstr>
      </vt:variant>
      <vt:variant>
        <vt:i4>17</vt:i4>
      </vt:variant>
    </vt:vector>
  </HeadingPairs>
  <TitlesOfParts>
    <vt:vector size="18" baseType="lpstr">
      <vt:lpstr/>
      <vt:lpstr>Annex 1</vt:lpstr>
      <vt:lpstr>    Annex 1-1 Comparative Assessment: Major Water-Related Environmental Problems (20</vt:lpstr>
      <vt:lpstr>    Annex 1-2 New or Intensifying Issues Not Assessed in 2000</vt:lpstr>
      <vt:lpstr>    Annex 1-3 Subnational Geographic Divisions</vt:lpstr>
      <vt:lpstr>    Annex 1-4 Indicator Inventory</vt:lpstr>
      <vt:lpstr>    Annex 1-5 Expanded Risk-Assessment Methods</vt:lpstr>
      <vt:lpstr>    Annex 1-6 Supplementary Notes (Supporting Materials)</vt:lpstr>
      <vt:lpstr>Annex 2</vt:lpstr>
      <vt:lpstr>    Annex 2-1 Dataset and analysis framework, and complimentary note</vt:lpstr>
      <vt:lpstr>Annex 3</vt:lpstr>
      <vt:lpstr>    Annex 3-1 Dataset and analysis framework, and complimentary note </vt:lpstr>
      <vt:lpstr>Annex 4</vt:lpstr>
      <vt:lpstr>    Annex 4-1 Data sources </vt:lpstr>
      <vt:lpstr>    Annex 4-2 Indicator construction &amp; computations</vt:lpstr>
      <vt:lpstr>    Annex 4-3 Spatial &amp; temporal frame</vt:lpstr>
      <vt:lpstr>    Annex 4-4 Quality assurance, triangulation &amp; treatment of uncertainty</vt:lpstr>
      <vt:lpstr>    Annex 4-5 Extended explanatory note on mangrove and wetland status and site pres</vt:lpstr>
    </vt:vector>
  </TitlesOfParts>
  <Company/>
  <LinksUpToDate>false</LinksUpToDate>
  <CharactersWithSpaces>186997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Chhun Vireak</dc:creator>
  <cp:keywords/>
  <dc:description/>
  <cp:lastModifiedBy>Chhun Vireak</cp:lastModifiedBy>
  <cp:revision>3</cp:revision>
  <cp:lastPrinted>2025-12-15T01:59:00Z</cp:lastPrinted>
  <dcterms:created xsi:type="dcterms:W3CDTF">2025-12-15T01:58:00Z</dcterms:created>
  <dcterms:modified xsi:type="dcterms:W3CDTF">2025-12-15T02:18:00Z</dcterms:modified>
</cp:coreProperties>
</file>