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C56E92" w14:textId="74B7C63C" w:rsidR="00A21948" w:rsidRPr="00F92E24" w:rsidRDefault="00A21948" w:rsidP="00F92E24">
      <w:pPr>
        <w:spacing w:line="276" w:lineRule="auto"/>
        <w:ind w:firstLine="0"/>
        <w:jc w:val="center"/>
        <w:rPr>
          <w:szCs w:val="22"/>
        </w:rPr>
      </w:pPr>
      <w:r>
        <w:rPr>
          <w:rFonts w:eastAsia="Aptos"/>
          <w:b/>
          <w:bCs/>
          <w:iCs/>
          <w:lang w:val="en-ID" w:eastAsia="en-PH"/>
        </w:rPr>
        <w:t>“Been there, done that, and yet things have gotten worse somewhat”</w:t>
      </w:r>
    </w:p>
    <w:p w14:paraId="73C6FE15" w14:textId="77311AEC" w:rsidR="00315920" w:rsidRDefault="0058785E" w:rsidP="00F92E24">
      <w:pPr>
        <w:spacing w:after="240" w:line="276" w:lineRule="auto"/>
        <w:ind w:left="714" w:hanging="357"/>
        <w:jc w:val="center"/>
        <w:rPr>
          <w:rFonts w:eastAsia="Aptos"/>
          <w:b/>
          <w:bCs/>
          <w:iCs/>
          <w:lang w:val="en-ID" w:eastAsia="en-PH"/>
        </w:rPr>
      </w:pPr>
      <w:r>
        <w:rPr>
          <w:rFonts w:eastAsia="Aptos"/>
          <w:b/>
          <w:bCs/>
          <w:iCs/>
          <w:lang w:val="en-ID" w:eastAsia="en-PH"/>
        </w:rPr>
        <w:t>An Update on the Philippine</w:t>
      </w:r>
      <w:r w:rsidRPr="00BC416B">
        <w:rPr>
          <w:rFonts w:eastAsia="Aptos"/>
          <w:b/>
          <w:bCs/>
          <w:iCs/>
          <w:lang w:val="en-ID" w:eastAsia="en-PH"/>
        </w:rPr>
        <w:t xml:space="preserve"> </w:t>
      </w:r>
      <w:r w:rsidR="00315920" w:rsidRPr="00BC416B">
        <w:rPr>
          <w:rFonts w:eastAsia="Aptos"/>
          <w:b/>
          <w:bCs/>
          <w:iCs/>
          <w:lang w:val="en-ID" w:eastAsia="en-PH"/>
        </w:rPr>
        <w:t xml:space="preserve">Coastal and Marine </w:t>
      </w:r>
      <w:r>
        <w:rPr>
          <w:rFonts w:eastAsia="Aptos"/>
          <w:b/>
          <w:bCs/>
          <w:iCs/>
          <w:lang w:val="en-ID" w:eastAsia="en-PH"/>
        </w:rPr>
        <w:t>Policy and Governance Set-up</w:t>
      </w:r>
    </w:p>
    <w:p w14:paraId="46AAAED4" w14:textId="091DC086" w:rsidR="00315920" w:rsidRPr="00315920" w:rsidRDefault="00315920" w:rsidP="00D11FA7">
      <w:pPr>
        <w:spacing w:after="240" w:line="276" w:lineRule="auto"/>
        <w:ind w:left="714" w:hanging="357"/>
        <w:jc w:val="center"/>
        <w:rPr>
          <w:rFonts w:eastAsia="Aptos"/>
          <w:iCs/>
          <w:lang w:val="en-ID" w:eastAsia="en-PH"/>
        </w:rPr>
      </w:pPr>
      <w:r w:rsidRPr="00315920">
        <w:rPr>
          <w:rFonts w:eastAsia="Aptos"/>
          <w:iCs/>
          <w:lang w:val="en-ID" w:eastAsia="en-PH"/>
        </w:rPr>
        <w:t>Elpidio Ven Peria</w:t>
      </w:r>
      <w:r w:rsidRPr="00A21948">
        <w:rPr>
          <w:rFonts w:eastAsia="Aptos"/>
          <w:iCs/>
          <w:vertAlign w:val="superscript"/>
          <w:lang w:val="en-ID" w:eastAsia="en-PH"/>
        </w:rPr>
        <w:t>*</w:t>
      </w:r>
    </w:p>
    <w:p w14:paraId="7F73D901" w14:textId="49B1902D" w:rsidR="00315920" w:rsidRDefault="00A21948" w:rsidP="00F72E59">
      <w:pPr>
        <w:spacing w:after="240" w:line="276" w:lineRule="auto"/>
        <w:ind w:firstLine="0"/>
        <w:rPr>
          <w:rFonts w:eastAsia="Aptos"/>
          <w:iCs/>
          <w:lang w:val="en-ID" w:eastAsia="en-PH"/>
        </w:rPr>
      </w:pPr>
      <w:r>
        <w:rPr>
          <w:rFonts w:eastAsia="Aptos"/>
          <w:iCs/>
          <w:lang w:val="en-ID" w:eastAsia="en-PH"/>
        </w:rPr>
        <w:t xml:space="preserve">Society for the Conservation of Philippine Wetlands, Inc. </w:t>
      </w:r>
      <w:r w:rsidR="00080C7E">
        <w:rPr>
          <w:rFonts w:eastAsia="Aptos"/>
          <w:iCs/>
          <w:lang w:val="en-ID" w:eastAsia="en-PH"/>
        </w:rPr>
        <w:t xml:space="preserve">(SCPW), </w:t>
      </w:r>
      <w:r>
        <w:rPr>
          <w:rFonts w:eastAsia="Aptos"/>
          <w:iCs/>
          <w:lang w:val="en-ID" w:eastAsia="en-PH"/>
        </w:rPr>
        <w:t xml:space="preserve">Unit 208 Grand Emerald Tower, F. Ortigas Jr cor. Garnet St., Ortigas </w:t>
      </w:r>
      <w:proofErr w:type="spellStart"/>
      <w:r>
        <w:rPr>
          <w:rFonts w:eastAsia="Aptos"/>
          <w:iCs/>
          <w:lang w:val="en-ID" w:eastAsia="en-PH"/>
        </w:rPr>
        <w:t>Center</w:t>
      </w:r>
      <w:proofErr w:type="spellEnd"/>
      <w:r>
        <w:rPr>
          <w:rFonts w:eastAsia="Aptos"/>
          <w:iCs/>
          <w:lang w:val="en-ID" w:eastAsia="en-PH"/>
        </w:rPr>
        <w:t>, Pasig. 1605 Metro Manila</w:t>
      </w:r>
    </w:p>
    <w:p w14:paraId="52B4D532" w14:textId="43046F0F" w:rsidR="00315920" w:rsidRDefault="00315920" w:rsidP="00D11FA7">
      <w:pPr>
        <w:spacing w:after="240" w:line="276" w:lineRule="auto"/>
        <w:ind w:firstLine="0"/>
        <w:rPr>
          <w:szCs w:val="22"/>
        </w:rPr>
      </w:pPr>
      <w:r>
        <w:rPr>
          <w:szCs w:val="22"/>
        </w:rPr>
        <w:t>*</w:t>
      </w:r>
      <w:proofErr w:type="gramStart"/>
      <w:r>
        <w:rPr>
          <w:szCs w:val="22"/>
        </w:rPr>
        <w:t>corresponding</w:t>
      </w:r>
      <w:proofErr w:type="gramEnd"/>
      <w:r>
        <w:rPr>
          <w:szCs w:val="22"/>
        </w:rPr>
        <w:t xml:space="preserve"> author: pingperia16@gmail.com</w:t>
      </w:r>
    </w:p>
    <w:p w14:paraId="61119790" w14:textId="766275F5" w:rsidR="00315920" w:rsidRPr="00D11FA7" w:rsidRDefault="00D11FA7" w:rsidP="00D11FA7">
      <w:pPr>
        <w:spacing w:after="240" w:line="276" w:lineRule="auto"/>
        <w:ind w:firstLine="0"/>
        <w:jc w:val="center"/>
        <w:rPr>
          <w:b/>
          <w:bCs/>
          <w:szCs w:val="22"/>
        </w:rPr>
      </w:pPr>
      <w:r w:rsidRPr="00D11FA7">
        <w:rPr>
          <w:b/>
          <w:bCs/>
          <w:szCs w:val="22"/>
        </w:rPr>
        <w:t>Abstract</w:t>
      </w:r>
    </w:p>
    <w:p w14:paraId="6DD9F3E8" w14:textId="77777777" w:rsidR="005E6AD8" w:rsidRDefault="005E6AD8" w:rsidP="005E4F4D">
      <w:pPr>
        <w:spacing w:after="240" w:line="276" w:lineRule="auto"/>
        <w:rPr>
          <w:rFonts w:eastAsia="Aptos"/>
          <w:iCs/>
          <w:lang w:val="en-ID" w:eastAsia="en-PH"/>
        </w:rPr>
      </w:pPr>
      <w:r>
        <w:rPr>
          <w:rFonts w:eastAsia="Aptos"/>
          <w:iCs/>
          <w:lang w:val="en-ID" w:eastAsia="en-PH"/>
        </w:rPr>
        <w:t xml:space="preserve">The Philippines </w:t>
      </w:r>
      <w:r w:rsidRPr="00D55B7A">
        <w:rPr>
          <w:rFonts w:eastAsia="Aptos"/>
          <w:iCs/>
          <w:lang w:val="en-ID" w:eastAsia="en-PH"/>
        </w:rPr>
        <w:t xml:space="preserve">from the year 2000 to 2023 </w:t>
      </w:r>
      <w:r>
        <w:rPr>
          <w:rFonts w:eastAsia="Aptos"/>
          <w:iCs/>
          <w:lang w:val="en-ID" w:eastAsia="en-PH"/>
        </w:rPr>
        <w:t xml:space="preserve">has shown </w:t>
      </w:r>
      <w:r w:rsidRPr="00D55B7A">
        <w:rPr>
          <w:rFonts w:eastAsia="Aptos"/>
          <w:iCs/>
          <w:lang w:val="en-ID" w:eastAsia="en-PH"/>
        </w:rPr>
        <w:t xml:space="preserve">an unsteady </w:t>
      </w:r>
      <w:r>
        <w:rPr>
          <w:rFonts w:eastAsia="Aptos"/>
          <w:iCs/>
          <w:lang w:val="en-ID" w:eastAsia="en-PH"/>
        </w:rPr>
        <w:t xml:space="preserve">economic growth </w:t>
      </w:r>
      <w:r w:rsidRPr="00D55B7A">
        <w:rPr>
          <w:rFonts w:eastAsia="Aptos"/>
          <w:iCs/>
          <w:lang w:val="en-ID" w:eastAsia="en-PH"/>
        </w:rPr>
        <w:t>pattern</w:t>
      </w:r>
      <w:r>
        <w:rPr>
          <w:rFonts w:eastAsia="Aptos"/>
          <w:iCs/>
          <w:lang w:val="en-ID" w:eastAsia="en-PH"/>
        </w:rPr>
        <w:t xml:space="preserve"> even if it still </w:t>
      </w:r>
      <w:r w:rsidRPr="00D55B7A">
        <w:rPr>
          <w:rFonts w:eastAsia="Aptos"/>
          <w:iCs/>
          <w:lang w:val="en-ID" w:eastAsia="en-PH"/>
        </w:rPr>
        <w:t>fare</w:t>
      </w:r>
      <w:r>
        <w:rPr>
          <w:rFonts w:eastAsia="Aptos"/>
          <w:iCs/>
          <w:lang w:val="en-ID" w:eastAsia="en-PH"/>
        </w:rPr>
        <w:t>d</w:t>
      </w:r>
      <w:r w:rsidRPr="00D55B7A">
        <w:rPr>
          <w:rFonts w:eastAsia="Aptos"/>
          <w:iCs/>
          <w:lang w:val="en-ID" w:eastAsia="en-PH"/>
        </w:rPr>
        <w:t xml:space="preserve"> comparatively well vis-à-vis the global trend</w:t>
      </w:r>
      <w:r>
        <w:rPr>
          <w:rFonts w:eastAsia="Aptos"/>
          <w:iCs/>
          <w:lang w:val="en-ID" w:eastAsia="en-PH"/>
        </w:rPr>
        <w:t>. Notwithstanding this,  a well-developed set of policies, i</w:t>
      </w:r>
      <w:r w:rsidRPr="0024208B">
        <w:rPr>
          <w:rFonts w:eastAsia="Aptos"/>
          <w:iCs/>
          <w:lang w:val="en-ID" w:eastAsia="en-PH"/>
        </w:rPr>
        <w:t xml:space="preserve">nstitutions, </w:t>
      </w:r>
      <w:r>
        <w:rPr>
          <w:rFonts w:eastAsia="Aptos"/>
          <w:iCs/>
          <w:lang w:val="en-ID" w:eastAsia="en-PH"/>
        </w:rPr>
        <w:t>r</w:t>
      </w:r>
      <w:r w:rsidRPr="0024208B">
        <w:rPr>
          <w:rFonts w:eastAsia="Aptos"/>
          <w:iCs/>
          <w:lang w:val="en-ID" w:eastAsia="en-PH"/>
        </w:rPr>
        <w:t xml:space="preserve">egulatory </w:t>
      </w:r>
      <w:r>
        <w:rPr>
          <w:rFonts w:eastAsia="Aptos"/>
          <w:iCs/>
          <w:lang w:val="en-ID" w:eastAsia="en-PH"/>
        </w:rPr>
        <w:t>a</w:t>
      </w:r>
      <w:r w:rsidRPr="0024208B">
        <w:rPr>
          <w:rFonts w:eastAsia="Aptos"/>
          <w:iCs/>
          <w:lang w:val="en-ID" w:eastAsia="en-PH"/>
        </w:rPr>
        <w:t xml:space="preserve">gencies, and </w:t>
      </w:r>
      <w:r>
        <w:rPr>
          <w:rFonts w:eastAsia="Aptos"/>
          <w:iCs/>
          <w:lang w:val="en-ID" w:eastAsia="en-PH"/>
        </w:rPr>
        <w:t>a</w:t>
      </w:r>
      <w:r w:rsidRPr="0024208B">
        <w:rPr>
          <w:rFonts w:eastAsia="Aptos"/>
          <w:iCs/>
          <w:lang w:val="en-ID" w:eastAsia="en-PH"/>
        </w:rPr>
        <w:t xml:space="preserve">dministrative </w:t>
      </w:r>
      <w:r>
        <w:rPr>
          <w:rFonts w:eastAsia="Aptos"/>
          <w:iCs/>
          <w:lang w:val="en-ID" w:eastAsia="en-PH"/>
        </w:rPr>
        <w:t>a</w:t>
      </w:r>
      <w:r w:rsidRPr="0024208B">
        <w:rPr>
          <w:rFonts w:eastAsia="Aptos"/>
          <w:iCs/>
          <w:lang w:val="en-ID" w:eastAsia="en-PH"/>
        </w:rPr>
        <w:t>rrangements</w:t>
      </w:r>
      <w:r>
        <w:rPr>
          <w:rFonts w:eastAsia="Aptos"/>
          <w:iCs/>
          <w:lang w:val="en-ID" w:eastAsia="en-PH"/>
        </w:rPr>
        <w:t xml:space="preserve"> were implemented through the NTDA 1.0 recommendations on pollution and water-related issues, </w:t>
      </w:r>
      <w:r w:rsidRPr="0095633A">
        <w:rPr>
          <w:rFonts w:eastAsia="Aptos"/>
          <w:iCs/>
          <w:lang w:val="en-ID" w:eastAsia="en-PH"/>
        </w:rPr>
        <w:t>aquatic and marine resources</w:t>
      </w:r>
      <w:r>
        <w:rPr>
          <w:rFonts w:eastAsia="Aptos"/>
          <w:iCs/>
          <w:lang w:val="en-ID" w:eastAsia="en-PH"/>
        </w:rPr>
        <w:t xml:space="preserve"> conservation and sustainable utilization and the integration of land care and coastal management, with the exception of the establishment and </w:t>
      </w:r>
      <w:r w:rsidRPr="0095633A">
        <w:rPr>
          <w:rFonts w:eastAsia="Aptos"/>
          <w:iCs/>
          <w:lang w:val="en-ID" w:eastAsia="en-PH"/>
        </w:rPr>
        <w:t xml:space="preserve">strengthening of  legal and institutional support for integrated watershed management systems, </w:t>
      </w:r>
      <w:r>
        <w:rPr>
          <w:rFonts w:eastAsia="Aptos"/>
          <w:iCs/>
          <w:lang w:val="en-ID" w:eastAsia="en-PH"/>
        </w:rPr>
        <w:t xml:space="preserve"> </w:t>
      </w:r>
      <w:r w:rsidRPr="0095633A">
        <w:rPr>
          <w:rFonts w:eastAsia="Aptos"/>
          <w:iCs/>
          <w:lang w:val="en-ID" w:eastAsia="en-PH"/>
        </w:rPr>
        <w:t>enhanced management of the surface and groundwater resources and the prioritization of water conservation and the regeneration of degraded water reservoirs</w:t>
      </w:r>
      <w:r>
        <w:rPr>
          <w:rFonts w:eastAsia="Aptos"/>
          <w:iCs/>
          <w:lang w:val="en-ID" w:eastAsia="en-PH"/>
        </w:rPr>
        <w:t xml:space="preserve">. Through the years, the Philippines has steadily taken on commitments under various international agreements on fisheries, biodiversity, marine pollution, climate change and the UN process on the Sustainable Development Goals (SDGs) while also engaging actively with various transboundary governance arrangements in Southeast Asia. In spite of these established institutional frameworks and arrangements, its effectiveness has been limited as borne out by the findings of the other thematic areas on ecosystems, land-based pollution and fisheries and this is occurring in the midst of heightened exposure to the impacts of climate and natural hazards. </w:t>
      </w:r>
      <w:r w:rsidRPr="00FC21F9">
        <w:rPr>
          <w:rFonts w:eastAsia="Aptos"/>
          <w:iCs/>
          <w:lang w:val="en-ID" w:eastAsia="en-PH"/>
        </w:rPr>
        <w:t xml:space="preserve">The assessment reveals </w:t>
      </w:r>
      <w:r>
        <w:rPr>
          <w:rFonts w:eastAsia="Aptos"/>
          <w:iCs/>
          <w:lang w:val="en-ID" w:eastAsia="en-PH"/>
        </w:rPr>
        <w:t>medium</w:t>
      </w:r>
      <w:r w:rsidRPr="00FC21F9">
        <w:rPr>
          <w:rFonts w:eastAsia="Aptos"/>
          <w:iCs/>
          <w:lang w:val="en-ID" w:eastAsia="en-PH"/>
        </w:rPr>
        <w:t xml:space="preserve"> risks in policy completeness, with </w:t>
      </w:r>
      <w:r>
        <w:rPr>
          <w:rFonts w:eastAsia="Aptos"/>
          <w:iCs/>
          <w:lang w:val="en-ID" w:eastAsia="en-PH"/>
        </w:rPr>
        <w:t>very low</w:t>
      </w:r>
      <w:r w:rsidRPr="00FC21F9">
        <w:rPr>
          <w:rFonts w:eastAsia="Aptos"/>
          <w:iCs/>
          <w:lang w:val="en-ID" w:eastAsia="en-PH"/>
        </w:rPr>
        <w:t xml:space="preserve"> risks in integration and</w:t>
      </w:r>
      <w:r>
        <w:rPr>
          <w:rFonts w:eastAsia="Aptos"/>
          <w:iCs/>
          <w:lang w:val="en-ID" w:eastAsia="en-PH"/>
        </w:rPr>
        <w:t xml:space="preserve"> </w:t>
      </w:r>
      <w:r w:rsidRPr="00FC21F9">
        <w:rPr>
          <w:rFonts w:eastAsia="Aptos"/>
          <w:iCs/>
          <w:lang w:val="en-ID" w:eastAsia="en-PH"/>
        </w:rPr>
        <w:t>engagement</w:t>
      </w:r>
      <w:r>
        <w:rPr>
          <w:rFonts w:eastAsia="Aptos"/>
          <w:iCs/>
          <w:lang w:val="en-ID" w:eastAsia="en-PH"/>
        </w:rPr>
        <w:t xml:space="preserve"> while k</w:t>
      </w:r>
      <w:r w:rsidRPr="00FC21F9">
        <w:rPr>
          <w:rFonts w:eastAsia="Aptos"/>
          <w:iCs/>
          <w:lang w:val="en-ID" w:eastAsia="en-PH"/>
        </w:rPr>
        <w:t xml:space="preserve">ey governance challenges include weak enforcement, </w:t>
      </w:r>
      <w:r>
        <w:rPr>
          <w:rFonts w:eastAsia="Aptos"/>
          <w:iCs/>
          <w:lang w:val="en-ID" w:eastAsia="en-PH"/>
        </w:rPr>
        <w:t xml:space="preserve">competing commitments for coastal and marine conservation </w:t>
      </w:r>
      <w:r w:rsidRPr="00FC21F9">
        <w:rPr>
          <w:rFonts w:eastAsia="Aptos"/>
          <w:iCs/>
          <w:lang w:val="en-ID" w:eastAsia="en-PH"/>
        </w:rPr>
        <w:t>reliance on external funding for sustainability, and socio-economic pressures driving destructive practices.</w:t>
      </w:r>
      <w:r>
        <w:rPr>
          <w:rFonts w:eastAsia="Aptos"/>
          <w:iCs/>
          <w:lang w:val="en-ID" w:eastAsia="en-PH"/>
        </w:rPr>
        <w:t xml:space="preserve"> This makes imperative the </w:t>
      </w:r>
      <w:r w:rsidRPr="00FC21F9">
        <w:rPr>
          <w:rFonts w:eastAsia="Aptos"/>
          <w:iCs/>
          <w:lang w:val="en-ID" w:eastAsia="en-PH"/>
        </w:rPr>
        <w:t>urgent need for strengthened</w:t>
      </w:r>
      <w:r>
        <w:rPr>
          <w:rFonts w:eastAsia="Aptos"/>
          <w:iCs/>
          <w:lang w:val="en-ID" w:eastAsia="en-PH"/>
        </w:rPr>
        <w:t xml:space="preserve"> and consistent</w:t>
      </w:r>
      <w:r w:rsidRPr="00FC21F9">
        <w:rPr>
          <w:rFonts w:eastAsia="Aptos"/>
          <w:iCs/>
          <w:lang w:val="en-ID" w:eastAsia="en-PH"/>
        </w:rPr>
        <w:t xml:space="preserve"> implementation, enhanced inter-agency coordination, community empowerment, and sustainable financing t</w:t>
      </w:r>
      <w:r>
        <w:rPr>
          <w:rFonts w:eastAsia="Aptos"/>
          <w:iCs/>
          <w:lang w:val="en-ID" w:eastAsia="en-PH"/>
        </w:rPr>
        <w:t xml:space="preserve">hat could be integrated into a coherent strategic action programme anchored on regional cooperation taking into account current international biodiversity and climate targets and the SDGs. </w:t>
      </w:r>
    </w:p>
    <w:p w14:paraId="658D0526" w14:textId="2CB96F8A" w:rsidR="00D11FA7" w:rsidRDefault="00D11FA7" w:rsidP="005E4F4D">
      <w:pPr>
        <w:spacing w:after="240" w:line="276" w:lineRule="auto"/>
        <w:rPr>
          <w:rFonts w:eastAsia="Aptos"/>
          <w:iCs/>
          <w:lang w:val="en-ID" w:eastAsia="en-PH"/>
        </w:rPr>
      </w:pPr>
      <w:r w:rsidRPr="00D11FA7">
        <w:rPr>
          <w:rFonts w:eastAsia="Aptos"/>
          <w:b/>
          <w:bCs/>
          <w:iCs/>
          <w:lang w:val="en-ID" w:eastAsia="en-PH"/>
        </w:rPr>
        <w:t>Keywords:</w:t>
      </w:r>
      <w:r>
        <w:rPr>
          <w:rFonts w:eastAsia="Aptos"/>
          <w:b/>
          <w:bCs/>
          <w:iCs/>
          <w:lang w:val="en-ID" w:eastAsia="en-PH"/>
        </w:rPr>
        <w:t xml:space="preserve"> </w:t>
      </w:r>
      <w:r>
        <w:rPr>
          <w:rFonts w:eastAsia="Aptos"/>
          <w:iCs/>
          <w:lang w:val="en-ID" w:eastAsia="en-PH"/>
        </w:rPr>
        <w:t>Administrative arrangements, transboundary governance, enhanced inter-agency coordination, strengthened and consistent implementation</w:t>
      </w:r>
    </w:p>
    <w:p w14:paraId="0A0E224A" w14:textId="77777777" w:rsidR="00C13D22" w:rsidRDefault="00C13D22" w:rsidP="00D11FA7">
      <w:pPr>
        <w:spacing w:after="240" w:line="276" w:lineRule="auto"/>
        <w:rPr>
          <w:rFonts w:eastAsia="Aptos"/>
          <w:iCs/>
          <w:lang w:val="en-ID" w:eastAsia="en-PH"/>
        </w:rPr>
      </w:pPr>
    </w:p>
    <w:p w14:paraId="2E635E48" w14:textId="77777777" w:rsidR="00C13D22" w:rsidRDefault="00C13D22" w:rsidP="00D11FA7">
      <w:pPr>
        <w:spacing w:after="240" w:line="276" w:lineRule="auto"/>
        <w:rPr>
          <w:rFonts w:eastAsia="Aptos"/>
          <w:iCs/>
          <w:lang w:val="en-ID" w:eastAsia="en-PH"/>
        </w:rPr>
      </w:pPr>
    </w:p>
    <w:p w14:paraId="5F888BC1" w14:textId="77777777" w:rsidR="00C13D22" w:rsidRDefault="00C13D22" w:rsidP="00D11FA7">
      <w:pPr>
        <w:spacing w:after="240" w:line="276" w:lineRule="auto"/>
        <w:rPr>
          <w:rFonts w:eastAsia="Aptos"/>
          <w:iCs/>
          <w:lang w:val="en-ID" w:eastAsia="en-PH"/>
        </w:rPr>
      </w:pPr>
    </w:p>
    <w:p w14:paraId="36752804" w14:textId="77777777" w:rsidR="00C13D22" w:rsidRDefault="00C13D22" w:rsidP="00D11FA7">
      <w:pPr>
        <w:spacing w:after="240" w:line="276" w:lineRule="auto"/>
        <w:rPr>
          <w:rFonts w:eastAsia="Aptos"/>
          <w:iCs/>
          <w:lang w:val="en-ID" w:eastAsia="en-PH"/>
        </w:rPr>
      </w:pPr>
    </w:p>
    <w:p w14:paraId="03DF5CF6" w14:textId="77777777" w:rsidR="00C13D22" w:rsidRDefault="00C13D22" w:rsidP="00D11FA7">
      <w:pPr>
        <w:spacing w:after="240" w:line="276" w:lineRule="auto"/>
        <w:rPr>
          <w:rFonts w:eastAsia="Aptos"/>
          <w:iCs/>
          <w:lang w:val="en-ID" w:eastAsia="en-PH"/>
        </w:rPr>
      </w:pPr>
    </w:p>
    <w:p w14:paraId="6B868B66" w14:textId="77777777" w:rsidR="00C13D22" w:rsidRDefault="00C13D22" w:rsidP="00D11FA7">
      <w:pPr>
        <w:spacing w:after="240" w:line="276" w:lineRule="auto"/>
        <w:rPr>
          <w:rFonts w:eastAsia="Aptos"/>
          <w:iCs/>
          <w:lang w:val="en-ID" w:eastAsia="en-PH"/>
        </w:rPr>
      </w:pPr>
    </w:p>
    <w:p w14:paraId="576DE9B4" w14:textId="77777777" w:rsidR="005E6AD8" w:rsidRDefault="005E6AD8" w:rsidP="00D11FA7">
      <w:pPr>
        <w:spacing w:after="240" w:line="276" w:lineRule="auto"/>
        <w:rPr>
          <w:rFonts w:eastAsia="Aptos"/>
          <w:iCs/>
          <w:lang w:val="en-ID" w:eastAsia="en-PH"/>
        </w:rPr>
      </w:pPr>
    </w:p>
    <w:p w14:paraId="72213BE7" w14:textId="77777777" w:rsidR="00C13D22" w:rsidRDefault="00C13D22" w:rsidP="005E4F4D">
      <w:pPr>
        <w:spacing w:after="240" w:line="276" w:lineRule="auto"/>
        <w:ind w:firstLine="0"/>
        <w:rPr>
          <w:rFonts w:eastAsia="Aptos"/>
          <w:iCs/>
          <w:lang w:val="en-ID" w:eastAsia="en-PH"/>
        </w:rPr>
      </w:pPr>
    </w:p>
    <w:p w14:paraId="0EE5225F" w14:textId="075C4656" w:rsidR="00D11FA7" w:rsidRDefault="00D11FA7" w:rsidP="00C13D22">
      <w:pPr>
        <w:spacing w:after="240" w:line="276" w:lineRule="auto"/>
        <w:ind w:firstLine="0"/>
        <w:rPr>
          <w:rFonts w:eastAsia="Aptos"/>
          <w:b/>
          <w:bCs/>
          <w:iCs/>
          <w:lang w:val="en-ID" w:eastAsia="en-PH"/>
        </w:rPr>
      </w:pPr>
      <w:r w:rsidRPr="00D11FA7">
        <w:rPr>
          <w:rFonts w:eastAsia="Aptos"/>
          <w:b/>
          <w:bCs/>
          <w:iCs/>
          <w:lang w:val="en-ID" w:eastAsia="en-PH"/>
        </w:rPr>
        <w:lastRenderedPageBreak/>
        <w:t>Graphical Abstract</w:t>
      </w:r>
    </w:p>
    <w:p w14:paraId="3C63F70B" w14:textId="7F9A7C63" w:rsidR="00C13D22" w:rsidRDefault="005E52A8" w:rsidP="005E52A8">
      <w:pPr>
        <w:spacing w:after="240" w:line="276" w:lineRule="auto"/>
        <w:ind w:firstLine="0"/>
        <w:jc w:val="center"/>
        <w:rPr>
          <w:rFonts w:eastAsia="Aptos"/>
          <w:b/>
          <w:bCs/>
          <w:iCs/>
          <w:lang w:val="en-ID" w:eastAsia="en-PH"/>
        </w:rPr>
      </w:pPr>
      <w:r>
        <w:rPr>
          <w:rFonts w:eastAsia="Aptos"/>
          <w:b/>
          <w:bCs/>
          <w:iCs/>
          <w:noProof/>
          <w:lang w:val="en-ID" w:eastAsia="en-PH"/>
        </w:rPr>
        <w:drawing>
          <wp:inline distT="0" distB="0" distL="0" distR="0" wp14:anchorId="64A2EB75" wp14:editId="02487B83">
            <wp:extent cx="5886000" cy="5886000"/>
            <wp:effectExtent l="0" t="0" r="635" b="635"/>
            <wp:docPr id="187080577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805773" name="Picture 1870805773"/>
                    <pic:cNvPicPr/>
                  </pic:nvPicPr>
                  <pic:blipFill>
                    <a:blip r:embed="rId8">
                      <a:extLst>
                        <a:ext uri="{28A0092B-C50C-407E-A947-70E740481C1C}">
                          <a14:useLocalDpi xmlns:a14="http://schemas.microsoft.com/office/drawing/2010/main" val="0"/>
                        </a:ext>
                      </a:extLst>
                    </a:blip>
                    <a:stretch>
                      <a:fillRect/>
                    </a:stretch>
                  </pic:blipFill>
                  <pic:spPr>
                    <a:xfrm>
                      <a:off x="0" y="0"/>
                      <a:ext cx="5886000" cy="5886000"/>
                    </a:xfrm>
                    <a:prstGeom prst="rect">
                      <a:avLst/>
                    </a:prstGeom>
                  </pic:spPr>
                </pic:pic>
              </a:graphicData>
            </a:graphic>
          </wp:inline>
        </w:drawing>
      </w:r>
      <w:r w:rsidR="00C13D22">
        <w:rPr>
          <w:rFonts w:eastAsia="Aptos"/>
          <w:b/>
          <w:bCs/>
          <w:iCs/>
          <w:lang w:val="en-ID" w:eastAsia="en-PH"/>
        </w:rPr>
        <w:br w:type="page"/>
      </w:r>
    </w:p>
    <w:p w14:paraId="3B56478F" w14:textId="47EFAFA8" w:rsidR="00D11FA7" w:rsidRDefault="00D11FA7" w:rsidP="00D11FA7">
      <w:pPr>
        <w:pStyle w:val="Heading1"/>
        <w:rPr>
          <w:rFonts w:eastAsia="Aptos"/>
          <w:lang w:val="en-ID" w:eastAsia="en-PH"/>
        </w:rPr>
      </w:pPr>
      <w:bookmarkStart w:id="0" w:name="_Toc215447051"/>
      <w:r>
        <w:rPr>
          <w:rFonts w:eastAsia="Aptos"/>
          <w:lang w:val="en-ID" w:eastAsia="en-PH"/>
        </w:rPr>
        <w:lastRenderedPageBreak/>
        <w:t>6. Governance</w:t>
      </w:r>
      <w:bookmarkEnd w:id="0"/>
    </w:p>
    <w:p w14:paraId="09B30A63" w14:textId="281C3D9E" w:rsidR="00E350D1" w:rsidRDefault="00E350D1" w:rsidP="00E350D1">
      <w:pPr>
        <w:spacing w:after="240" w:line="276" w:lineRule="auto"/>
        <w:rPr>
          <w:rFonts w:eastAsia="Aptos"/>
          <w:iCs/>
          <w:lang w:val="en-ID" w:eastAsia="en-PH"/>
        </w:rPr>
      </w:pPr>
      <w:r>
        <w:rPr>
          <w:rFonts w:eastAsia="Aptos"/>
          <w:iCs/>
          <w:lang w:val="en-ID" w:eastAsia="en-PH"/>
        </w:rPr>
        <w:t xml:space="preserve">There was some degree of optimism back in the year 2000 when the first transboundary diagnostic analysis (NTDA 1.0) for the Philippines was prepared and there was an anticipated paradigm shift in views towards improved environmental management in general and in integrated coastal zone management (ICZM) arena. This was eventually carried out by a flurry of movement policy-wise on matters relating to coastal and marine resources management including land-based pollution which proceeded to the establishment of comprehensive measures on clean water, clean air, protected areas, fisheries and later integrated coastal management.  </w:t>
      </w:r>
    </w:p>
    <w:p w14:paraId="30C01A20" w14:textId="77777777" w:rsidR="00E350D1" w:rsidRDefault="00E350D1" w:rsidP="00E350D1">
      <w:pPr>
        <w:spacing w:after="240" w:line="276" w:lineRule="auto"/>
        <w:rPr>
          <w:rFonts w:eastAsia="Aptos"/>
          <w:iCs/>
          <w:lang w:val="en-ID" w:eastAsia="en-PH"/>
        </w:rPr>
      </w:pPr>
      <w:r>
        <w:rPr>
          <w:rFonts w:eastAsia="Aptos"/>
          <w:iCs/>
          <w:lang w:val="en-ID" w:eastAsia="en-PH"/>
        </w:rPr>
        <w:t>The true test of effective governance lies in whether all the institutional mechanisms and practices that were developed delivered on their supposed objectives and policy declarations. From the various thematic areas in previous chapters, it appears the supposed outcomes on healthy ecosystems and fishery resources have not really occurred, and they face the prospect of being further degraded, even diminished further with the intensifying threat of climate and natural hazards. What is important then is to have a  further examination of what might be needed, even at the level of regional cooperation and the application of useful international frameworks, so that the supposed meaningful vision of a healthy and vital coastal and marine ecosystem will still be realized, if all the institutional players in the entire governance infrastructure do their part and just continue to work on the things that need to be done, without further short-cuts or exemptions or let-up, then the continued degradation of coastal and marine ecosystems including land-based pollution that have been well-documented in other thematic areas might as well pause and instead proceed into steady  and continued recovery.</w:t>
      </w:r>
    </w:p>
    <w:p w14:paraId="395FA648" w14:textId="56F93055" w:rsidR="00D11FA7" w:rsidRDefault="00D11FA7" w:rsidP="00E350D1">
      <w:pPr>
        <w:pStyle w:val="Heading2"/>
        <w:rPr>
          <w:rFonts w:eastAsia="Aptos"/>
          <w:lang w:val="en-ID" w:eastAsia="en-PH"/>
        </w:rPr>
      </w:pPr>
      <w:bookmarkStart w:id="1" w:name="_Toc215447052"/>
      <w:r>
        <w:rPr>
          <w:rFonts w:eastAsia="Aptos"/>
          <w:lang w:val="en-ID" w:eastAsia="en-PH"/>
        </w:rPr>
        <w:t>6.1 Key Findings</w:t>
      </w:r>
      <w:bookmarkEnd w:id="1"/>
    </w:p>
    <w:p w14:paraId="3C857D3D" w14:textId="5AE99D19" w:rsidR="005E6AD8" w:rsidRPr="00D55B7A" w:rsidRDefault="005E6AD8" w:rsidP="005E6AD8">
      <w:pPr>
        <w:spacing w:after="240" w:line="240" w:lineRule="auto"/>
        <w:rPr>
          <w:rFonts w:eastAsia="Aptos"/>
          <w:iCs/>
          <w:lang w:val="en-ID" w:eastAsia="en-PH"/>
        </w:rPr>
      </w:pPr>
      <w:r w:rsidRPr="00D55B7A">
        <w:rPr>
          <w:rFonts w:eastAsia="Aptos"/>
          <w:iCs/>
          <w:lang w:val="en-ID" w:eastAsia="en-PH"/>
        </w:rPr>
        <w:t>This report on Governance tracks the key recommendations on legislation and polic</w:t>
      </w:r>
      <w:r>
        <w:rPr>
          <w:rFonts w:eastAsia="Aptos"/>
          <w:iCs/>
          <w:lang w:val="en-ID" w:eastAsia="en-PH"/>
        </w:rPr>
        <w:t xml:space="preserve">ies </w:t>
      </w:r>
      <w:r w:rsidRPr="00D55B7A">
        <w:rPr>
          <w:rFonts w:eastAsia="Aptos"/>
          <w:iCs/>
          <w:lang w:val="en-ID" w:eastAsia="en-PH"/>
        </w:rPr>
        <w:t>from the 2000 Transboundary Diagnostic Analysis (</w:t>
      </w:r>
      <w:r>
        <w:rPr>
          <w:rFonts w:eastAsia="Aptos"/>
          <w:iCs/>
          <w:lang w:val="en-ID" w:eastAsia="en-PH"/>
        </w:rPr>
        <w:t xml:space="preserve">UNEP, 2000) </w:t>
      </w:r>
      <w:r w:rsidRPr="00D55B7A">
        <w:rPr>
          <w:rFonts w:eastAsia="Aptos"/>
          <w:iCs/>
          <w:lang w:val="en-ID" w:eastAsia="en-PH"/>
        </w:rPr>
        <w:t>and updates them for this 2025 assessment:</w:t>
      </w:r>
    </w:p>
    <w:p w14:paraId="179F9839" w14:textId="74A95283" w:rsidR="00E350D1" w:rsidRPr="00E350D1" w:rsidRDefault="00E350D1">
      <w:pPr>
        <w:pStyle w:val="ListParagraph"/>
        <w:numPr>
          <w:ilvl w:val="0"/>
          <w:numId w:val="63"/>
        </w:numPr>
        <w:spacing w:line="276" w:lineRule="auto"/>
        <w:contextualSpacing w:val="0"/>
        <w:rPr>
          <w:rFonts w:eastAsia="Aptos"/>
          <w:iCs/>
          <w:lang w:val="en-ID" w:eastAsia="en-PH"/>
        </w:rPr>
      </w:pPr>
      <w:r w:rsidRPr="00D55B7A">
        <w:rPr>
          <w:rFonts w:eastAsia="Aptos"/>
          <w:iCs/>
          <w:lang w:val="en-ID" w:eastAsia="en-PH"/>
        </w:rPr>
        <w:t xml:space="preserve">On pollution in water-related issues, </w:t>
      </w:r>
      <w:r>
        <w:rPr>
          <w:rFonts w:eastAsia="Aptos"/>
          <w:iCs/>
          <w:lang w:val="en-ID" w:eastAsia="en-PH"/>
        </w:rPr>
        <w:t xml:space="preserve">NTDA 1.0 for the Philippines </w:t>
      </w:r>
      <w:r w:rsidRPr="00D55B7A">
        <w:rPr>
          <w:rFonts w:eastAsia="Aptos"/>
          <w:iCs/>
          <w:lang w:val="en-ID" w:eastAsia="en-PH"/>
        </w:rPr>
        <w:t xml:space="preserve">recommended to establish legal and institutional mechanisms for environmental monitoring and compliance systems with public and private sector participation, implementation of programmatic environmental impact assessments for pollution abatement  and use of market and non-market based interventions These are </w:t>
      </w:r>
      <w:r>
        <w:rPr>
          <w:rFonts w:eastAsia="Aptos"/>
          <w:iCs/>
          <w:lang w:val="en-ID" w:eastAsia="en-PH"/>
        </w:rPr>
        <w:t xml:space="preserve">now </w:t>
      </w:r>
      <w:r w:rsidRPr="00D55B7A">
        <w:rPr>
          <w:rFonts w:eastAsia="Aptos"/>
          <w:iCs/>
          <w:lang w:val="en-ID" w:eastAsia="en-PH"/>
        </w:rPr>
        <w:t xml:space="preserve">addressed by the </w:t>
      </w:r>
      <w:r w:rsidRPr="00D55B7A">
        <w:rPr>
          <w:rFonts w:eastAsia="Aptos"/>
          <w:b/>
          <w:bCs/>
          <w:iCs/>
          <w:lang w:val="en-ID" w:eastAsia="en-PH"/>
        </w:rPr>
        <w:t>Clean Water Act</w:t>
      </w:r>
      <w:r w:rsidRPr="00D55B7A">
        <w:rPr>
          <w:rFonts w:eastAsia="Aptos"/>
          <w:iCs/>
          <w:lang w:val="en-ID" w:eastAsia="en-PH"/>
        </w:rPr>
        <w:t xml:space="preserve"> in 2004 </w:t>
      </w:r>
      <w:r>
        <w:rPr>
          <w:rFonts w:eastAsia="Aptos"/>
          <w:iCs/>
          <w:lang w:val="en-ID" w:eastAsia="en-PH"/>
        </w:rPr>
        <w:t>al</w:t>
      </w:r>
      <w:r w:rsidRPr="00D55B7A">
        <w:rPr>
          <w:rFonts w:eastAsia="Aptos"/>
          <w:iCs/>
          <w:lang w:val="en-ID" w:eastAsia="en-PH"/>
        </w:rPr>
        <w:t xml:space="preserve">though </w:t>
      </w:r>
      <w:r>
        <w:rPr>
          <w:rFonts w:eastAsia="Aptos"/>
          <w:iCs/>
          <w:lang w:val="en-ID" w:eastAsia="en-PH"/>
        </w:rPr>
        <w:t xml:space="preserve">in </w:t>
      </w:r>
      <w:r w:rsidRPr="00D55B7A">
        <w:rPr>
          <w:rFonts w:eastAsia="Aptos"/>
          <w:iCs/>
          <w:lang w:val="en-ID" w:eastAsia="en-PH"/>
        </w:rPr>
        <w:t xml:space="preserve">2025 </w:t>
      </w:r>
      <w:r>
        <w:rPr>
          <w:rFonts w:eastAsia="Aptos"/>
          <w:iCs/>
          <w:lang w:val="en-ID" w:eastAsia="en-PH"/>
        </w:rPr>
        <w:t>the N</w:t>
      </w:r>
      <w:r w:rsidRPr="00D55B7A">
        <w:rPr>
          <w:rFonts w:eastAsia="Aptos"/>
          <w:iCs/>
          <w:lang w:val="en-ID" w:eastAsia="en-PH"/>
        </w:rPr>
        <w:t xml:space="preserve">TDA </w:t>
      </w:r>
      <w:r>
        <w:rPr>
          <w:rFonts w:eastAsia="Aptos"/>
          <w:iCs/>
          <w:lang w:val="en-ID" w:eastAsia="en-PH"/>
        </w:rPr>
        <w:t xml:space="preserve">2.0 </w:t>
      </w:r>
      <w:r w:rsidRPr="00D55B7A">
        <w:rPr>
          <w:rFonts w:eastAsia="Aptos"/>
          <w:iCs/>
          <w:lang w:val="en-ID" w:eastAsia="en-PH"/>
        </w:rPr>
        <w:t>recommend</w:t>
      </w:r>
      <w:r>
        <w:rPr>
          <w:rFonts w:eastAsia="Aptos"/>
          <w:iCs/>
          <w:lang w:val="en-ID" w:eastAsia="en-PH"/>
        </w:rPr>
        <w:t xml:space="preserve">s for the </w:t>
      </w:r>
      <w:r w:rsidRPr="00D55B7A">
        <w:rPr>
          <w:rFonts w:eastAsia="Aptos"/>
          <w:iCs/>
          <w:lang w:val="en-ID" w:eastAsia="en-PH"/>
        </w:rPr>
        <w:t>strengthened implementation of said law in terms of enforcement and funding.</w:t>
      </w:r>
    </w:p>
    <w:p w14:paraId="606EBBC7" w14:textId="7ECF4AC5" w:rsidR="00E350D1" w:rsidRPr="00E350D1" w:rsidRDefault="00E350D1">
      <w:pPr>
        <w:pStyle w:val="ListParagraph"/>
        <w:numPr>
          <w:ilvl w:val="0"/>
          <w:numId w:val="63"/>
        </w:numPr>
        <w:spacing w:line="276" w:lineRule="auto"/>
        <w:contextualSpacing w:val="0"/>
        <w:rPr>
          <w:rFonts w:eastAsia="Aptos"/>
          <w:iCs/>
          <w:lang w:val="en-ID" w:eastAsia="en-PH"/>
        </w:rPr>
      </w:pPr>
      <w:r w:rsidRPr="00D55B7A">
        <w:rPr>
          <w:rFonts w:eastAsia="Aptos"/>
          <w:iCs/>
          <w:lang w:val="en-ID" w:eastAsia="en-PH"/>
        </w:rPr>
        <w:t xml:space="preserve">On the improvement of water quality, </w:t>
      </w:r>
      <w:r>
        <w:rPr>
          <w:rFonts w:eastAsia="Aptos"/>
          <w:iCs/>
          <w:lang w:val="en-ID" w:eastAsia="en-PH"/>
        </w:rPr>
        <w:t xml:space="preserve">NTDA 1.0 for the Philippines recommended for </w:t>
      </w:r>
      <w:r w:rsidRPr="00D55B7A">
        <w:rPr>
          <w:rFonts w:eastAsia="Aptos"/>
          <w:iCs/>
          <w:lang w:val="en-ID" w:eastAsia="en-PH"/>
        </w:rPr>
        <w:t xml:space="preserve">the strengthening </w:t>
      </w:r>
      <w:r w:rsidR="00440BCB">
        <w:rPr>
          <w:rFonts w:eastAsia="Aptos"/>
          <w:iCs/>
          <w:lang w:val="en-ID" w:eastAsia="en-PH"/>
        </w:rPr>
        <w:t xml:space="preserve">of </w:t>
      </w:r>
      <w:r w:rsidRPr="00D55B7A">
        <w:rPr>
          <w:rFonts w:eastAsia="Aptos"/>
          <w:iCs/>
          <w:lang w:val="en-ID" w:eastAsia="en-PH"/>
        </w:rPr>
        <w:t>legal and institutional support for integrated watershed management systems, for</w:t>
      </w:r>
      <w:r w:rsidR="00835884">
        <w:rPr>
          <w:rFonts w:eastAsia="Aptos"/>
          <w:iCs/>
          <w:lang w:val="en-ID" w:eastAsia="en-PH"/>
        </w:rPr>
        <w:t xml:space="preserve"> </w:t>
      </w:r>
      <w:r w:rsidRPr="00D55B7A">
        <w:rPr>
          <w:rFonts w:eastAsia="Aptos"/>
          <w:iCs/>
          <w:lang w:val="en-ID" w:eastAsia="en-PH"/>
        </w:rPr>
        <w:t xml:space="preserve">enhanced management of the surface and groundwater resources and the prioritization of water conservation and the regeneration of degraded water reservoirs and improving the water resources development boards at the local, regional and national levels. These </w:t>
      </w:r>
      <w:r>
        <w:rPr>
          <w:rFonts w:eastAsia="Aptos"/>
          <w:iCs/>
          <w:lang w:val="en-ID" w:eastAsia="en-PH"/>
        </w:rPr>
        <w:t xml:space="preserve">recommendations </w:t>
      </w:r>
      <w:r w:rsidRPr="00D55B7A">
        <w:rPr>
          <w:rFonts w:eastAsia="Aptos"/>
          <w:iCs/>
          <w:lang w:val="en-ID" w:eastAsia="en-PH"/>
        </w:rPr>
        <w:t>were largely not acted upon but</w:t>
      </w:r>
      <w:r>
        <w:rPr>
          <w:rFonts w:eastAsia="Aptos"/>
          <w:iCs/>
          <w:lang w:val="en-ID" w:eastAsia="en-PH"/>
        </w:rPr>
        <w:t xml:space="preserve"> are now presented </w:t>
      </w:r>
      <w:r w:rsidRPr="00D55B7A">
        <w:rPr>
          <w:rFonts w:eastAsia="Aptos"/>
          <w:iCs/>
          <w:lang w:val="en-ID" w:eastAsia="en-PH"/>
        </w:rPr>
        <w:t>in</w:t>
      </w:r>
      <w:r>
        <w:rPr>
          <w:rFonts w:eastAsia="Aptos"/>
          <w:iCs/>
          <w:lang w:val="en-ID" w:eastAsia="en-PH"/>
        </w:rPr>
        <w:t xml:space="preserve"> </w:t>
      </w:r>
      <w:r w:rsidRPr="00D55B7A">
        <w:rPr>
          <w:rFonts w:eastAsia="Aptos"/>
          <w:iCs/>
          <w:lang w:val="en-ID" w:eastAsia="en-PH"/>
        </w:rPr>
        <w:t xml:space="preserve">a comprehensive proposal for a </w:t>
      </w:r>
      <w:r w:rsidRPr="00D55B7A">
        <w:rPr>
          <w:rFonts w:eastAsia="Aptos"/>
          <w:b/>
          <w:bCs/>
          <w:iCs/>
          <w:lang w:val="en-ID" w:eastAsia="en-PH"/>
        </w:rPr>
        <w:t>Department of Water Resources</w:t>
      </w:r>
      <w:r>
        <w:rPr>
          <w:rFonts w:eastAsia="Aptos"/>
          <w:b/>
          <w:bCs/>
          <w:iCs/>
          <w:lang w:val="en-ID" w:eastAsia="en-PH"/>
        </w:rPr>
        <w:t xml:space="preserve"> </w:t>
      </w:r>
      <w:r>
        <w:rPr>
          <w:rFonts w:eastAsia="Aptos"/>
          <w:iCs/>
          <w:lang w:val="en-ID" w:eastAsia="en-PH"/>
        </w:rPr>
        <w:t>for consideration and implementation</w:t>
      </w:r>
      <w:r>
        <w:rPr>
          <w:rFonts w:eastAsia="Aptos"/>
          <w:b/>
          <w:bCs/>
          <w:iCs/>
          <w:lang w:val="en-ID" w:eastAsia="en-PH"/>
        </w:rPr>
        <w:t>.</w:t>
      </w:r>
    </w:p>
    <w:p w14:paraId="4FF9C0E5" w14:textId="0B9B5BD7" w:rsidR="00E350D1" w:rsidRPr="00E350D1" w:rsidRDefault="00E350D1">
      <w:pPr>
        <w:pStyle w:val="ListParagraph"/>
        <w:numPr>
          <w:ilvl w:val="0"/>
          <w:numId w:val="63"/>
        </w:numPr>
        <w:spacing w:line="276" w:lineRule="auto"/>
        <w:contextualSpacing w:val="0"/>
        <w:rPr>
          <w:rFonts w:eastAsia="Aptos"/>
          <w:b/>
          <w:bCs/>
          <w:iCs/>
          <w:lang w:val="en-ID" w:eastAsia="en-PH"/>
        </w:rPr>
      </w:pPr>
      <w:r w:rsidRPr="00D55B7A">
        <w:rPr>
          <w:rFonts w:eastAsia="Aptos"/>
          <w:iCs/>
          <w:lang w:val="en-ID" w:eastAsia="en-PH"/>
        </w:rPr>
        <w:t xml:space="preserve">On the over-exploitation of the living aquatic resources and promoting its sustainable utilization, proposals included the institutionalization </w:t>
      </w:r>
      <w:r w:rsidR="00A57DD2" w:rsidRPr="00D55B7A">
        <w:rPr>
          <w:rFonts w:eastAsia="Aptos"/>
          <w:iCs/>
          <w:lang w:val="en-ID" w:eastAsia="en-PH"/>
        </w:rPr>
        <w:t>of inter</w:t>
      </w:r>
      <w:r w:rsidRPr="00D55B7A">
        <w:rPr>
          <w:rFonts w:eastAsia="Aptos"/>
          <w:iCs/>
          <w:lang w:val="en-ID" w:eastAsia="en-PH"/>
        </w:rPr>
        <w:t xml:space="preserve">-agency action programmes on aquatic and marine resources conservation and management while stimulating public and private sector cooperation through national and regional fisheries management councils </w:t>
      </w:r>
      <w:r w:rsidR="00A57DD2" w:rsidRPr="00D55B7A">
        <w:rPr>
          <w:rFonts w:eastAsia="Aptos"/>
          <w:iCs/>
          <w:lang w:val="en-ID" w:eastAsia="en-PH"/>
        </w:rPr>
        <w:t>and harmonizing</w:t>
      </w:r>
      <w:r w:rsidRPr="00D55B7A">
        <w:rPr>
          <w:rFonts w:eastAsia="Aptos"/>
          <w:iCs/>
          <w:lang w:val="en-ID" w:eastAsia="en-PH"/>
        </w:rPr>
        <w:t xml:space="preserve"> social and economic incentives. These are now established through the </w:t>
      </w:r>
      <w:r w:rsidRPr="00D55B7A">
        <w:rPr>
          <w:rFonts w:eastAsia="Aptos"/>
          <w:b/>
          <w:bCs/>
          <w:iCs/>
          <w:lang w:val="en-ID" w:eastAsia="en-PH"/>
        </w:rPr>
        <w:t>Fisheries Code</w:t>
      </w:r>
      <w:r w:rsidRPr="00D55B7A">
        <w:rPr>
          <w:rFonts w:eastAsia="Aptos"/>
          <w:iCs/>
          <w:lang w:val="en-ID" w:eastAsia="en-PH"/>
        </w:rPr>
        <w:t xml:space="preserve">, and the </w:t>
      </w:r>
      <w:r w:rsidRPr="00D55B7A">
        <w:rPr>
          <w:rFonts w:eastAsia="Aptos"/>
          <w:b/>
          <w:bCs/>
          <w:iCs/>
          <w:lang w:val="en-ID" w:eastAsia="en-PH"/>
        </w:rPr>
        <w:t>Wildlife Act</w:t>
      </w:r>
      <w:r w:rsidRPr="00D55B7A">
        <w:rPr>
          <w:rFonts w:eastAsia="Aptos"/>
          <w:iCs/>
          <w:lang w:val="en-ID" w:eastAsia="en-PH"/>
        </w:rPr>
        <w:t xml:space="preserve"> </w:t>
      </w:r>
      <w:r>
        <w:rPr>
          <w:rFonts w:eastAsia="Aptos"/>
          <w:iCs/>
          <w:lang w:val="en-ID" w:eastAsia="en-PH"/>
        </w:rPr>
        <w:t xml:space="preserve">to protect </w:t>
      </w:r>
      <w:r w:rsidRPr="00D55B7A">
        <w:rPr>
          <w:rFonts w:eastAsia="Aptos"/>
          <w:iCs/>
          <w:lang w:val="en-ID" w:eastAsia="en-PH"/>
        </w:rPr>
        <w:t>dugong and marine turtle</w:t>
      </w:r>
      <w:r>
        <w:rPr>
          <w:rFonts w:eastAsia="Aptos"/>
          <w:iCs/>
          <w:lang w:val="en-ID" w:eastAsia="en-PH"/>
        </w:rPr>
        <w:t>s</w:t>
      </w:r>
      <w:r w:rsidRPr="00D55B7A">
        <w:rPr>
          <w:rFonts w:eastAsia="Aptos"/>
          <w:iCs/>
          <w:lang w:val="en-ID" w:eastAsia="en-PH"/>
        </w:rPr>
        <w:t xml:space="preserve"> under the DENR’s Biodiversity Management Bureau </w:t>
      </w:r>
      <w:r>
        <w:rPr>
          <w:rFonts w:eastAsia="Aptos"/>
          <w:iCs/>
          <w:lang w:val="en-ID" w:eastAsia="en-PH"/>
        </w:rPr>
        <w:t xml:space="preserve">which was </w:t>
      </w:r>
      <w:r w:rsidRPr="00D55B7A">
        <w:rPr>
          <w:rFonts w:eastAsia="Aptos"/>
          <w:iCs/>
          <w:lang w:val="en-ID" w:eastAsia="en-PH"/>
        </w:rPr>
        <w:t>reinforced by legislation establis</w:t>
      </w:r>
      <w:r>
        <w:rPr>
          <w:rFonts w:eastAsia="Aptos"/>
          <w:iCs/>
          <w:lang w:val="en-ID" w:eastAsia="en-PH"/>
        </w:rPr>
        <w:t xml:space="preserve">hed for </w:t>
      </w:r>
      <w:r w:rsidRPr="00D55B7A">
        <w:rPr>
          <w:rFonts w:eastAsia="Aptos"/>
          <w:iCs/>
          <w:lang w:val="en-ID" w:eastAsia="en-PH"/>
        </w:rPr>
        <w:t xml:space="preserve">protected areas through </w:t>
      </w:r>
      <w:r w:rsidRPr="00D55B7A">
        <w:rPr>
          <w:rFonts w:eastAsia="Aptos"/>
          <w:b/>
          <w:bCs/>
          <w:iCs/>
          <w:lang w:val="en-ID" w:eastAsia="en-PH"/>
        </w:rPr>
        <w:t>the National Integrated Protected Areas Act</w:t>
      </w:r>
      <w:r w:rsidRPr="00D55B7A">
        <w:rPr>
          <w:rFonts w:eastAsia="Aptos"/>
          <w:iCs/>
          <w:lang w:val="en-ID" w:eastAsia="en-PH"/>
        </w:rPr>
        <w:t xml:space="preserve"> passed in 1992 but expanded in 2018 through the </w:t>
      </w:r>
      <w:r w:rsidRPr="00D55B7A">
        <w:rPr>
          <w:rFonts w:eastAsia="Aptos"/>
          <w:b/>
          <w:bCs/>
          <w:iCs/>
          <w:lang w:val="en-ID" w:eastAsia="en-PH"/>
        </w:rPr>
        <w:t>Expanded National Integrated Protected Areas Act</w:t>
      </w:r>
      <w:r>
        <w:rPr>
          <w:rFonts w:eastAsia="Aptos"/>
          <w:b/>
          <w:bCs/>
          <w:iCs/>
          <w:lang w:val="en-ID" w:eastAsia="en-PH"/>
        </w:rPr>
        <w:t>.</w:t>
      </w:r>
    </w:p>
    <w:p w14:paraId="6B86CB43" w14:textId="161D5345" w:rsidR="00E350D1" w:rsidRPr="00E350D1" w:rsidRDefault="00E350D1">
      <w:pPr>
        <w:pStyle w:val="ListParagraph"/>
        <w:numPr>
          <w:ilvl w:val="0"/>
          <w:numId w:val="63"/>
        </w:numPr>
        <w:spacing w:after="240" w:line="276" w:lineRule="auto"/>
        <w:contextualSpacing w:val="0"/>
        <w:rPr>
          <w:rFonts w:eastAsia="Aptos"/>
          <w:iCs/>
          <w:lang w:val="en-ID" w:eastAsia="en-PH"/>
        </w:rPr>
      </w:pPr>
      <w:r w:rsidRPr="00D55B7A">
        <w:rPr>
          <w:rFonts w:eastAsia="Aptos"/>
          <w:iCs/>
          <w:lang w:val="en-ID" w:eastAsia="en-PH"/>
        </w:rPr>
        <w:t xml:space="preserve">On the matter of land care and integrated coastal management, the DENR was recommended to be the lead agency to integrate land care, i.e., agriculture and watershed management and integrated coastal management </w:t>
      </w:r>
      <w:r w:rsidRPr="00D55B7A">
        <w:rPr>
          <w:rFonts w:eastAsia="Aptos"/>
          <w:iCs/>
          <w:lang w:val="en-ID" w:eastAsia="en-PH"/>
        </w:rPr>
        <w:lastRenderedPageBreak/>
        <w:t xml:space="preserve">and to enact appropriate land use and coastal zonation plans for all municipalities. This is now carried out through </w:t>
      </w:r>
      <w:r w:rsidRPr="00D55B7A">
        <w:rPr>
          <w:rFonts w:eastAsia="Aptos"/>
          <w:b/>
          <w:bCs/>
          <w:iCs/>
          <w:lang w:val="en-ID" w:eastAsia="en-PH"/>
        </w:rPr>
        <w:t>Executive Order 533.</w:t>
      </w:r>
    </w:p>
    <w:p w14:paraId="2D30C19A" w14:textId="6B1964B9" w:rsidR="00E350D1" w:rsidRPr="00E554EE" w:rsidRDefault="00E350D1" w:rsidP="00E350D1">
      <w:pPr>
        <w:spacing w:after="240" w:line="276" w:lineRule="auto"/>
        <w:ind w:firstLine="0"/>
        <w:rPr>
          <w:rFonts w:eastAsia="Aptos"/>
          <w:iCs/>
          <w:lang w:val="en-ID" w:eastAsia="en-PH"/>
        </w:rPr>
      </w:pPr>
      <w:r>
        <w:rPr>
          <w:rFonts w:eastAsia="Aptos"/>
          <w:iCs/>
          <w:lang w:val="en-ID" w:eastAsia="en-PH"/>
        </w:rPr>
        <w:t>Further, t</w:t>
      </w:r>
      <w:r w:rsidRPr="00E554EE">
        <w:rPr>
          <w:rFonts w:eastAsia="Aptos"/>
          <w:iCs/>
          <w:lang w:val="en-ID" w:eastAsia="en-PH"/>
        </w:rPr>
        <w:t>he various thematic areas of the 2025 TDA showed some key governance findings</w:t>
      </w:r>
      <w:r>
        <w:rPr>
          <w:rFonts w:eastAsia="Aptos"/>
          <w:iCs/>
          <w:lang w:val="en-ID" w:eastAsia="en-PH"/>
        </w:rPr>
        <w:t>:</w:t>
      </w:r>
      <w:r w:rsidRPr="00E554EE">
        <w:rPr>
          <w:rFonts w:eastAsia="Aptos"/>
          <w:iCs/>
          <w:lang w:val="en-ID" w:eastAsia="en-PH"/>
        </w:rPr>
        <w:t xml:space="preserve"> </w:t>
      </w:r>
    </w:p>
    <w:p w14:paraId="427FF8F4" w14:textId="77777777" w:rsidR="00E350D1" w:rsidRPr="00E554EE" w:rsidRDefault="00E350D1" w:rsidP="00E350D1">
      <w:pPr>
        <w:spacing w:after="240" w:line="276" w:lineRule="auto"/>
      </w:pPr>
      <w:r w:rsidRPr="00E554EE">
        <w:rPr>
          <w:rFonts w:eastAsia="Aptos"/>
          <w:iCs/>
          <w:lang w:val="en-ID" w:eastAsia="en-PH"/>
        </w:rPr>
        <w:t xml:space="preserve">The </w:t>
      </w:r>
      <w:r w:rsidRPr="00E554EE">
        <w:rPr>
          <w:b/>
          <w:bCs/>
        </w:rPr>
        <w:t>SOCIO-ECONOMICS</w:t>
      </w:r>
      <w:r w:rsidRPr="00E554EE">
        <w:rPr>
          <w:b/>
          <w:bCs/>
          <w:u w:val="single"/>
        </w:rPr>
        <w:t xml:space="preserve"> </w:t>
      </w:r>
      <w:r w:rsidRPr="00E554EE">
        <w:t xml:space="preserve">thematic area (Agaton and Ancheta, 2025)  underscored the need for  </w:t>
      </w:r>
      <w:r w:rsidRPr="00E554EE">
        <w:rPr>
          <w:b/>
          <w:bCs/>
        </w:rPr>
        <w:t>well-trained</w:t>
      </w:r>
      <w:r w:rsidRPr="00E554EE">
        <w:t xml:space="preserve"> people who will explore smart solutions supported by </w:t>
      </w:r>
      <w:r w:rsidRPr="00E554EE">
        <w:rPr>
          <w:b/>
          <w:bCs/>
        </w:rPr>
        <w:t>well-capacitated stakeholders</w:t>
      </w:r>
      <w:r w:rsidRPr="00E554EE">
        <w:t xml:space="preserve"> including the necessity of having </w:t>
      </w:r>
      <w:r w:rsidRPr="00E554EE">
        <w:rPr>
          <w:b/>
          <w:bCs/>
        </w:rPr>
        <w:t>clear guidelines</w:t>
      </w:r>
      <w:r w:rsidRPr="00E554EE">
        <w:t xml:space="preserve"> that will  strengthen legislative-executive support for sustainable efforts as to how different sectors should contribute to reaching the required indicators for sustainable development and in all of these to increase </w:t>
      </w:r>
      <w:r w:rsidRPr="00E554EE">
        <w:rPr>
          <w:b/>
          <w:bCs/>
        </w:rPr>
        <w:t>network-building and partnerships</w:t>
      </w:r>
      <w:r w:rsidRPr="00E554EE">
        <w:t xml:space="preserve"> such that all relevant communities could be involved.</w:t>
      </w:r>
    </w:p>
    <w:p w14:paraId="427E7179" w14:textId="2F51D880" w:rsidR="00E350D1" w:rsidRPr="00E554EE" w:rsidRDefault="00E350D1" w:rsidP="00E350D1">
      <w:pPr>
        <w:spacing w:after="240" w:line="276" w:lineRule="auto"/>
      </w:pPr>
      <w:r w:rsidRPr="00E554EE">
        <w:t xml:space="preserve">The </w:t>
      </w:r>
      <w:r w:rsidRPr="00E554EE">
        <w:rPr>
          <w:b/>
          <w:bCs/>
        </w:rPr>
        <w:t>LAND-BASED POLLUTION</w:t>
      </w:r>
      <w:r w:rsidRPr="00E554EE">
        <w:t xml:space="preserve"> thematic area (</w:t>
      </w:r>
      <w:proofErr w:type="spellStart"/>
      <w:r w:rsidRPr="00E554EE">
        <w:t>Promentilla</w:t>
      </w:r>
      <w:proofErr w:type="spellEnd"/>
      <w:r w:rsidRPr="00E554EE">
        <w:t xml:space="preserve"> </w:t>
      </w:r>
      <w:r w:rsidRPr="00440BCB">
        <w:rPr>
          <w:color w:val="auto"/>
        </w:rPr>
        <w:t>and</w:t>
      </w:r>
      <w:r w:rsidR="00440BCB">
        <w:rPr>
          <w:color w:val="auto"/>
        </w:rPr>
        <w:t xml:space="preserve"> Aguila, </w:t>
      </w:r>
      <w:r w:rsidRPr="00E554EE">
        <w:t xml:space="preserve">2025) noted that </w:t>
      </w:r>
      <w:r w:rsidRPr="00E554EE">
        <w:rPr>
          <w:b/>
          <w:bCs/>
        </w:rPr>
        <w:t>significant gaps</w:t>
      </w:r>
      <w:r w:rsidRPr="00E554EE">
        <w:t xml:space="preserve"> remain in the</w:t>
      </w:r>
      <w:r>
        <w:t xml:space="preserve"> </w:t>
      </w:r>
      <w:r w:rsidRPr="00E554EE">
        <w:t>implementation, enforcement</w:t>
      </w:r>
      <w:r>
        <w:t xml:space="preserve"> and </w:t>
      </w:r>
      <w:r w:rsidRPr="00E554EE">
        <w:t>monitoring</w:t>
      </w:r>
      <w:r>
        <w:t xml:space="preserve"> of </w:t>
      </w:r>
      <w:r w:rsidRPr="00E554EE">
        <w:t xml:space="preserve">infrastructure development while also noting </w:t>
      </w:r>
      <w:r w:rsidRPr="00E554EE">
        <w:rPr>
          <w:b/>
          <w:bCs/>
        </w:rPr>
        <w:t>institutional fragmentation</w:t>
      </w:r>
      <w:r>
        <w:rPr>
          <w:b/>
          <w:bCs/>
        </w:rPr>
        <w:t xml:space="preserve"> of implementation </w:t>
      </w:r>
      <w:r>
        <w:t xml:space="preserve">by identified agencies in the Clean Water Act of their mandated roles, </w:t>
      </w:r>
      <w:r w:rsidRPr="00E554EE">
        <w:rPr>
          <w:b/>
          <w:bCs/>
        </w:rPr>
        <w:t>limited funding</w:t>
      </w:r>
      <w:r w:rsidRPr="00E554EE">
        <w:t xml:space="preserve"> for infrastructure, and </w:t>
      </w:r>
      <w:r w:rsidRPr="00E554EE">
        <w:rPr>
          <w:b/>
          <w:bCs/>
        </w:rPr>
        <w:t>inconsistent enforcement</w:t>
      </w:r>
      <w:r w:rsidRPr="00E554EE">
        <w:t xml:space="preserve"> of discharge standards continue to hamper effective domestic wastewater management. In addressing wastewater from industrial effluents, the lead agency that will address this, the DENR </w:t>
      </w:r>
      <w:r w:rsidRPr="00E554EE">
        <w:rPr>
          <w:b/>
          <w:bCs/>
        </w:rPr>
        <w:t>still lacks a central database</w:t>
      </w:r>
      <w:r w:rsidRPr="00E554EE">
        <w:t xml:space="preserve"> that aggregates effluent volumes, and pollutant loads from all regulated facilities to estimate the pollutant load reliably. </w:t>
      </w:r>
    </w:p>
    <w:p w14:paraId="07D3F7B7" w14:textId="0D9F1B7B" w:rsidR="00E350D1" w:rsidRPr="00E554EE" w:rsidRDefault="00E350D1" w:rsidP="00E350D1">
      <w:pPr>
        <w:spacing w:after="240" w:line="276" w:lineRule="auto"/>
      </w:pPr>
      <w:r w:rsidRPr="00E554EE">
        <w:t xml:space="preserve">The </w:t>
      </w:r>
      <w:r w:rsidRPr="00E554EE">
        <w:rPr>
          <w:b/>
          <w:bCs/>
        </w:rPr>
        <w:t xml:space="preserve">ECOSYSTEMS (Coastal Wetlands) </w:t>
      </w:r>
      <w:r w:rsidRPr="00E554EE">
        <w:t>(Galon, 2025)</w:t>
      </w:r>
      <w:r w:rsidR="00E001C7">
        <w:t xml:space="preserve"> </w:t>
      </w:r>
      <w:r w:rsidRPr="00E554EE">
        <w:t xml:space="preserve">thematic area identified the need for a </w:t>
      </w:r>
      <w:r w:rsidRPr="00E554EE">
        <w:rPr>
          <w:b/>
          <w:bCs/>
        </w:rPr>
        <w:t>comprehensive approach</w:t>
      </w:r>
      <w:r w:rsidRPr="00E554EE">
        <w:t xml:space="preserve"> to protect the remaining mangrove and wetland resources of the country</w:t>
      </w:r>
      <w:r w:rsidR="00E001C7">
        <w:t>,</w:t>
      </w:r>
      <w:r w:rsidRPr="00E554EE">
        <w:t xml:space="preserve"> including </w:t>
      </w:r>
      <w:r w:rsidRPr="00E554EE">
        <w:rPr>
          <w:b/>
          <w:bCs/>
        </w:rPr>
        <w:t>stronger community involvement and empowerment</w:t>
      </w:r>
      <w:r w:rsidR="00E001C7">
        <w:t>.</w:t>
      </w:r>
      <w:r w:rsidRPr="00E554EE">
        <w:t xml:space="preserve"> The </w:t>
      </w:r>
      <w:r w:rsidRPr="00E554EE">
        <w:rPr>
          <w:b/>
          <w:bCs/>
        </w:rPr>
        <w:t>strict enforcement of the existing laws</w:t>
      </w:r>
      <w:r w:rsidRPr="00E554EE">
        <w:t xml:space="preserve"> is still one of the </w:t>
      </w:r>
      <w:r>
        <w:t xml:space="preserve">critical </w:t>
      </w:r>
      <w:r w:rsidRPr="00E554EE">
        <w:t xml:space="preserve">activities </w:t>
      </w:r>
      <w:r>
        <w:t xml:space="preserve">needed </w:t>
      </w:r>
      <w:r w:rsidRPr="00E554EE">
        <w:t>to sav</w:t>
      </w:r>
      <w:r>
        <w:t xml:space="preserve">e </w:t>
      </w:r>
      <w:r w:rsidRPr="00E554EE">
        <w:t>the remaining</w:t>
      </w:r>
      <w:r>
        <w:t xml:space="preserve"> environmental </w:t>
      </w:r>
      <w:r w:rsidRPr="00E554EE">
        <w:t>resources of the Malampaya Sound and the coastal western seaboard of the Philippines</w:t>
      </w:r>
      <w:r>
        <w:t xml:space="preserve">. In addition, </w:t>
      </w:r>
      <w:r w:rsidRPr="00E554EE">
        <w:t>regular</w:t>
      </w:r>
      <w:r>
        <w:t xml:space="preserve"> </w:t>
      </w:r>
      <w:r w:rsidRPr="00E554EE">
        <w:t>monitor</w:t>
      </w:r>
      <w:r>
        <w:t xml:space="preserve">ing of </w:t>
      </w:r>
      <w:r w:rsidRPr="00E554EE">
        <w:t>environmental resources and water quality</w:t>
      </w:r>
      <w:r>
        <w:t xml:space="preserve"> is needed</w:t>
      </w:r>
      <w:r w:rsidRPr="00E554EE">
        <w:t>.</w:t>
      </w:r>
    </w:p>
    <w:p w14:paraId="69D2E944" w14:textId="11337F97" w:rsidR="00E350D1" w:rsidRDefault="00E350D1" w:rsidP="00E350D1">
      <w:pPr>
        <w:spacing w:after="240" w:line="276" w:lineRule="auto"/>
      </w:pPr>
      <w:r w:rsidRPr="00E554EE">
        <w:t xml:space="preserve">The </w:t>
      </w:r>
      <w:r w:rsidRPr="00E554EE">
        <w:rPr>
          <w:b/>
          <w:bCs/>
        </w:rPr>
        <w:t>ECOSYSTEMS (Coral Reefs and Seagrasses)</w:t>
      </w:r>
      <w:r w:rsidRPr="00E554EE">
        <w:t xml:space="preserve"> (Felix, 2025) thematic area identified the need to strengthen legal and institutional frameworks for ecosystem-based management including the laws and institutions that guide how the coasts and oceans are managed. Connectivity across ecological corridors is also recommended, as well as standardizing monitoring protocols for corals and key wildlife across the Philippine Seas in the SCS-LME and SCS region. The local communities also need to be engaged in enforcement and stewardship with their role in monitoring fishing pressure, promoting compliance, and supporting evidence-based management decisions at the local level</w:t>
      </w:r>
      <w:r>
        <w:t xml:space="preserve"> considered necessary for effective implementation</w:t>
      </w:r>
      <w:r w:rsidRPr="00E554EE">
        <w:t>.</w:t>
      </w:r>
    </w:p>
    <w:p w14:paraId="4B3FF6C5" w14:textId="438737B2" w:rsidR="00E350D1" w:rsidRDefault="00E350D1" w:rsidP="00E350D1">
      <w:pPr>
        <w:pStyle w:val="Heading2"/>
      </w:pPr>
      <w:bookmarkStart w:id="2" w:name="_Toc215447053"/>
      <w:r>
        <w:t>6.2 Current Status</w:t>
      </w:r>
      <w:bookmarkEnd w:id="2"/>
    </w:p>
    <w:p w14:paraId="13985268" w14:textId="559E2DDB" w:rsidR="00E350D1" w:rsidRDefault="00E350D1" w:rsidP="00E350D1">
      <w:pPr>
        <w:pStyle w:val="Heading2"/>
      </w:pPr>
      <w:bookmarkStart w:id="3" w:name="_Toc215447054"/>
      <w:r>
        <w:t>6.2.1 Economic and Policy Drivers</w:t>
      </w:r>
      <w:bookmarkEnd w:id="3"/>
    </w:p>
    <w:p w14:paraId="7C9CDF1C" w14:textId="39D8DB5B" w:rsidR="00E350D1" w:rsidRDefault="00E350D1" w:rsidP="002054C5">
      <w:pPr>
        <w:pStyle w:val="Heading4"/>
      </w:pPr>
      <w:r>
        <w:t>6.2.1.1 Political and Economic Drivers</w:t>
      </w:r>
    </w:p>
    <w:p w14:paraId="0F8F01C8" w14:textId="7C440EC0" w:rsidR="002054C5" w:rsidRDefault="002054C5" w:rsidP="002054C5">
      <w:pPr>
        <w:spacing w:after="240" w:line="276" w:lineRule="auto"/>
        <w:rPr>
          <w:rFonts w:eastAsia="Aptos"/>
          <w:iCs/>
          <w:lang w:val="en-ID" w:eastAsia="en-PH"/>
        </w:rPr>
      </w:pPr>
      <w:r w:rsidRPr="00D55B7A">
        <w:rPr>
          <w:rFonts w:eastAsia="Aptos"/>
          <w:iCs/>
          <w:lang w:val="en-ID" w:eastAsia="en-PH"/>
        </w:rPr>
        <w:t xml:space="preserve">According to the </w:t>
      </w:r>
      <w:r w:rsidRPr="00D55B7A">
        <w:rPr>
          <w:rFonts w:eastAsia="Aptos"/>
          <w:i/>
          <w:lang w:val="en-ID" w:eastAsia="en-PH"/>
        </w:rPr>
        <w:t>World Bank 360 database</w:t>
      </w:r>
      <w:r w:rsidRPr="00D55B7A">
        <w:rPr>
          <w:rFonts w:eastAsia="Aptos"/>
          <w:b/>
          <w:bCs/>
          <w:iCs/>
          <w:lang w:val="en-ID" w:eastAsia="en-PH"/>
        </w:rPr>
        <w:t xml:space="preserve"> </w:t>
      </w:r>
      <w:r w:rsidRPr="00D55B7A">
        <w:rPr>
          <w:rFonts w:eastAsia="Aptos"/>
          <w:iCs/>
          <w:lang w:val="en-ID" w:eastAsia="en-PH"/>
        </w:rPr>
        <w:t xml:space="preserve">(World Bank, </w:t>
      </w:r>
      <w:r>
        <w:rPr>
          <w:rFonts w:eastAsia="Aptos"/>
          <w:iCs/>
          <w:lang w:val="en-ID" w:eastAsia="en-PH"/>
        </w:rPr>
        <w:t>n.d.</w:t>
      </w:r>
      <w:r w:rsidRPr="00D55B7A">
        <w:rPr>
          <w:rFonts w:eastAsia="Aptos"/>
          <w:iCs/>
          <w:lang w:val="en-ID" w:eastAsia="en-PH"/>
        </w:rPr>
        <w:t xml:space="preserve">), the </w:t>
      </w:r>
      <w:r w:rsidRPr="00D55B7A">
        <w:rPr>
          <w:rFonts w:eastAsia="Aptos"/>
          <w:b/>
          <w:bCs/>
          <w:iCs/>
          <w:lang w:val="en-ID" w:eastAsia="en-PH"/>
        </w:rPr>
        <w:t>annual GDP growth</w:t>
      </w:r>
      <w:r w:rsidRPr="00D55B7A">
        <w:rPr>
          <w:rFonts w:eastAsia="Aptos"/>
          <w:iCs/>
          <w:lang w:val="en-ID" w:eastAsia="en-PH"/>
        </w:rPr>
        <w:t xml:space="preserve"> of the </w:t>
      </w:r>
      <w:bookmarkStart w:id="4" w:name="_Hlk210064289"/>
      <w:r w:rsidRPr="00D55B7A">
        <w:rPr>
          <w:rFonts w:eastAsia="Aptos"/>
          <w:iCs/>
          <w:lang w:val="en-ID" w:eastAsia="en-PH"/>
        </w:rPr>
        <w:t xml:space="preserve">Philippines from the year 2000 to the latest year 2023 with available data, shows an unsteady up-and-down pattern but over-all it fares comparatively well vis-à-vis the global trend </w:t>
      </w:r>
      <w:bookmarkEnd w:id="4"/>
      <w:r w:rsidRPr="00D55B7A">
        <w:rPr>
          <w:rFonts w:eastAsia="Aptos"/>
          <w:iCs/>
          <w:lang w:val="en-ID" w:eastAsia="en-PH"/>
        </w:rPr>
        <w:t xml:space="preserve">as seen in </w:t>
      </w:r>
      <w:r w:rsidRPr="002054C5">
        <w:rPr>
          <w:rFonts w:eastAsia="Aptos"/>
          <w:iCs/>
          <w:lang w:val="en-ID" w:eastAsia="en-PH"/>
        </w:rPr>
        <w:t>Figure 6.1.</w:t>
      </w:r>
    </w:p>
    <w:p w14:paraId="1C43DD32" w14:textId="40189DDE" w:rsidR="002054C5" w:rsidRDefault="002054C5" w:rsidP="002054C5">
      <w:pPr>
        <w:spacing w:line="276" w:lineRule="auto"/>
        <w:ind w:firstLine="0"/>
        <w:jc w:val="center"/>
        <w:rPr>
          <w:rFonts w:eastAsia="Aptos"/>
          <w:iCs/>
          <w:lang w:val="en-ID" w:eastAsia="en-PH"/>
        </w:rPr>
      </w:pPr>
      <w:r w:rsidRPr="00D55B7A">
        <w:rPr>
          <w:rFonts w:eastAsia="Aptos"/>
          <w:iCs/>
          <w:noProof/>
          <w:lang w:eastAsia="en-PH"/>
        </w:rPr>
        <w:lastRenderedPageBreak/>
        <w:drawing>
          <wp:inline distT="0" distB="0" distL="0" distR="0" wp14:anchorId="0B6D337B" wp14:editId="5EDC70E4">
            <wp:extent cx="3402000" cy="2646000"/>
            <wp:effectExtent l="0" t="0" r="8255" b="2540"/>
            <wp:docPr id="1886668602" name="Picture 1" descr="A graph of growth and growth&#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6668602" name="Picture 1" descr="A graph of growth and growth&#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02000" cy="2646000"/>
                    </a:xfrm>
                    <a:prstGeom prst="rect">
                      <a:avLst/>
                    </a:prstGeom>
                    <a:noFill/>
                    <a:ln>
                      <a:noFill/>
                    </a:ln>
                  </pic:spPr>
                </pic:pic>
              </a:graphicData>
            </a:graphic>
          </wp:inline>
        </w:drawing>
      </w:r>
    </w:p>
    <w:p w14:paraId="30907397" w14:textId="7B5E4FEE" w:rsidR="002054C5" w:rsidRDefault="002054C5" w:rsidP="002054C5">
      <w:pPr>
        <w:spacing w:after="240" w:line="276" w:lineRule="auto"/>
        <w:ind w:firstLine="0"/>
        <w:jc w:val="center"/>
        <w:rPr>
          <w:rFonts w:eastAsia="Aptos"/>
          <w:iCs/>
          <w:sz w:val="18"/>
          <w:szCs w:val="18"/>
          <w:lang w:val="en-ID" w:eastAsia="en-PH"/>
        </w:rPr>
      </w:pPr>
      <w:r w:rsidRPr="002054C5">
        <w:rPr>
          <w:rFonts w:eastAsia="Aptos"/>
          <w:b/>
          <w:bCs/>
          <w:iCs/>
          <w:sz w:val="18"/>
          <w:szCs w:val="18"/>
          <w:lang w:val="en-ID" w:eastAsia="en-PH"/>
        </w:rPr>
        <w:t xml:space="preserve">Figure 6.1 </w:t>
      </w:r>
      <w:r w:rsidRPr="002054C5">
        <w:rPr>
          <w:rFonts w:eastAsia="Aptos"/>
          <w:iCs/>
          <w:sz w:val="18"/>
          <w:szCs w:val="18"/>
          <w:lang w:val="en-ID" w:eastAsia="en-PH"/>
        </w:rPr>
        <w:t>Philippine GDP growth, 2000-2023 (World Bank 360 database)</w:t>
      </w:r>
    </w:p>
    <w:p w14:paraId="7B034104" w14:textId="0B2746CC" w:rsidR="002054C5" w:rsidRDefault="002054C5" w:rsidP="002054C5">
      <w:pPr>
        <w:spacing w:after="240" w:line="276" w:lineRule="auto"/>
        <w:rPr>
          <w:rFonts w:eastAsia="Aptos"/>
          <w:iCs/>
          <w:lang w:val="en-ID" w:eastAsia="en-PH"/>
        </w:rPr>
      </w:pPr>
      <w:r w:rsidRPr="00D55B7A">
        <w:rPr>
          <w:rFonts w:eastAsia="Aptos"/>
          <w:iCs/>
          <w:lang w:val="en-ID" w:eastAsia="en-PH"/>
        </w:rPr>
        <w:t xml:space="preserve">Notwithstanding that up-and-down trend above, within the same 20-year period, the Philippine </w:t>
      </w:r>
      <w:r w:rsidRPr="00D55B7A">
        <w:rPr>
          <w:rFonts w:eastAsia="Aptos"/>
          <w:b/>
          <w:bCs/>
          <w:iCs/>
          <w:lang w:val="en-ID" w:eastAsia="en-PH"/>
        </w:rPr>
        <w:t>GDP per capita</w:t>
      </w:r>
      <w:r w:rsidRPr="00D55B7A">
        <w:rPr>
          <w:rFonts w:eastAsia="Aptos"/>
          <w:iCs/>
          <w:lang w:val="en-ID" w:eastAsia="en-PH"/>
        </w:rPr>
        <w:t xml:space="preserve"> has shown a steady upward trend, from the year 2000 to 2020 as seen in </w:t>
      </w:r>
      <w:r>
        <w:rPr>
          <w:rFonts w:eastAsia="Aptos"/>
          <w:iCs/>
          <w:lang w:val="en-ID" w:eastAsia="en-PH"/>
        </w:rPr>
        <w:t>F</w:t>
      </w:r>
      <w:r w:rsidRPr="002054C5">
        <w:rPr>
          <w:rFonts w:eastAsia="Aptos"/>
          <w:iCs/>
          <w:lang w:val="en-ID" w:eastAsia="en-PH"/>
        </w:rPr>
        <w:t xml:space="preserve">igure </w:t>
      </w:r>
      <w:r>
        <w:rPr>
          <w:rFonts w:eastAsia="Aptos"/>
          <w:iCs/>
          <w:lang w:val="en-ID" w:eastAsia="en-PH"/>
        </w:rPr>
        <w:t>6.</w:t>
      </w:r>
      <w:r w:rsidRPr="002054C5">
        <w:rPr>
          <w:rFonts w:eastAsia="Aptos"/>
          <w:iCs/>
          <w:lang w:val="en-ID" w:eastAsia="en-PH"/>
        </w:rPr>
        <w:t>2</w:t>
      </w:r>
      <w:r w:rsidRPr="00D55B7A">
        <w:rPr>
          <w:rFonts w:eastAsia="Aptos"/>
          <w:iCs/>
          <w:lang w:val="en-ID" w:eastAsia="en-PH"/>
        </w:rPr>
        <w:t xml:space="preserve"> below:</w:t>
      </w:r>
    </w:p>
    <w:p w14:paraId="60249898" w14:textId="77A067A6" w:rsidR="002054C5" w:rsidRDefault="002054C5" w:rsidP="002054C5">
      <w:pPr>
        <w:spacing w:line="276" w:lineRule="auto"/>
        <w:ind w:firstLine="0"/>
        <w:jc w:val="center"/>
        <w:rPr>
          <w:rFonts w:eastAsia="Aptos"/>
          <w:iCs/>
          <w:lang w:val="en-ID" w:eastAsia="en-PH"/>
        </w:rPr>
      </w:pPr>
      <w:r w:rsidRPr="00D55B7A">
        <w:rPr>
          <w:rFonts w:eastAsia="Aptos"/>
          <w:iCs/>
          <w:noProof/>
          <w:lang w:eastAsia="en-PH"/>
        </w:rPr>
        <w:drawing>
          <wp:inline distT="0" distB="0" distL="0" distR="0" wp14:anchorId="5FB54FA0" wp14:editId="424E767F">
            <wp:extent cx="3402000" cy="2646000"/>
            <wp:effectExtent l="0" t="0" r="8255" b="2540"/>
            <wp:docPr id="2048355722" name="Picture 3" descr="A graph with a line going up&#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8355722" name="Picture 3" descr="A graph with a line going up&#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02000" cy="2646000"/>
                    </a:xfrm>
                    <a:prstGeom prst="rect">
                      <a:avLst/>
                    </a:prstGeom>
                    <a:noFill/>
                    <a:ln>
                      <a:noFill/>
                    </a:ln>
                  </pic:spPr>
                </pic:pic>
              </a:graphicData>
            </a:graphic>
          </wp:inline>
        </w:drawing>
      </w:r>
    </w:p>
    <w:p w14:paraId="37DA2C03" w14:textId="2CB2E961" w:rsidR="002054C5" w:rsidRDefault="002054C5" w:rsidP="002054C5">
      <w:pPr>
        <w:pStyle w:val="Figurelabel"/>
        <w:rPr>
          <w:rFonts w:eastAsia="Aptos"/>
          <w:b w:val="0"/>
          <w:bCs w:val="0"/>
          <w:lang w:val="en-ID"/>
        </w:rPr>
      </w:pPr>
      <w:r w:rsidRPr="002054C5">
        <w:rPr>
          <w:rFonts w:eastAsia="Aptos"/>
          <w:lang w:val="en-ID"/>
        </w:rPr>
        <w:t>Figure 6.2</w:t>
      </w:r>
      <w:r>
        <w:rPr>
          <w:rFonts w:eastAsia="Aptos"/>
          <w:lang w:val="en-ID"/>
        </w:rPr>
        <w:t xml:space="preserve"> </w:t>
      </w:r>
      <w:r w:rsidRPr="002054C5">
        <w:rPr>
          <w:rFonts w:eastAsia="Aptos"/>
          <w:b w:val="0"/>
          <w:bCs w:val="0"/>
          <w:lang w:val="en-ID"/>
        </w:rPr>
        <w:t>Philippine GDP per capita (World Bank 360 database)</w:t>
      </w:r>
    </w:p>
    <w:p w14:paraId="2CFCE3F9" w14:textId="6174686E" w:rsidR="002054C5" w:rsidRDefault="002054C5" w:rsidP="00357240">
      <w:pPr>
        <w:spacing w:after="240" w:line="276" w:lineRule="auto"/>
        <w:ind w:firstLine="0"/>
        <w:jc w:val="center"/>
        <w:rPr>
          <w:rFonts w:eastAsia="Aptos"/>
          <w:iCs/>
          <w:lang w:val="en-ID" w:eastAsia="en-PH"/>
        </w:rPr>
      </w:pPr>
      <w:r w:rsidRPr="00D55B7A">
        <w:rPr>
          <w:rFonts w:eastAsia="Aptos"/>
          <w:iCs/>
          <w:lang w:val="en-ID" w:eastAsia="en-PH"/>
        </w:rPr>
        <w:t xml:space="preserve">This upward trajectory can also be seen in </w:t>
      </w:r>
      <w:r w:rsidRPr="00D55B7A">
        <w:rPr>
          <w:rFonts w:eastAsia="Aptos"/>
          <w:b/>
          <w:bCs/>
          <w:iCs/>
          <w:lang w:val="en-ID" w:eastAsia="en-PH"/>
        </w:rPr>
        <w:t>government revenue</w:t>
      </w:r>
      <w:r w:rsidRPr="00D55B7A">
        <w:rPr>
          <w:rFonts w:eastAsia="Aptos"/>
          <w:iCs/>
          <w:lang w:val="en-ID" w:eastAsia="en-PH"/>
        </w:rPr>
        <w:t>, as seen in</w:t>
      </w:r>
      <w:r w:rsidRPr="002054C5">
        <w:rPr>
          <w:rFonts w:eastAsia="Aptos"/>
          <w:b/>
          <w:bCs/>
          <w:iCs/>
          <w:lang w:val="en-ID" w:eastAsia="en-PH"/>
        </w:rPr>
        <w:t xml:space="preserve"> Fi</w:t>
      </w:r>
      <w:r w:rsidRPr="00D55B7A">
        <w:rPr>
          <w:rFonts w:eastAsia="Aptos"/>
          <w:b/>
          <w:bCs/>
          <w:iCs/>
          <w:lang w:val="en-ID" w:eastAsia="en-PH"/>
        </w:rPr>
        <w:t xml:space="preserve">gure </w:t>
      </w:r>
      <w:r>
        <w:rPr>
          <w:rFonts w:eastAsia="Aptos"/>
          <w:b/>
          <w:bCs/>
          <w:iCs/>
          <w:lang w:val="en-ID" w:eastAsia="en-PH"/>
        </w:rPr>
        <w:t>6.</w:t>
      </w:r>
      <w:r w:rsidRPr="00D55B7A">
        <w:rPr>
          <w:rFonts w:eastAsia="Aptos"/>
          <w:b/>
          <w:bCs/>
          <w:iCs/>
          <w:lang w:val="en-ID" w:eastAsia="en-PH"/>
        </w:rPr>
        <w:t>3</w:t>
      </w:r>
      <w:r>
        <w:rPr>
          <w:rFonts w:eastAsia="Aptos"/>
          <w:iCs/>
          <w:lang w:val="en-ID" w:eastAsia="en-PH"/>
        </w:rPr>
        <w:t>.</w:t>
      </w:r>
    </w:p>
    <w:p w14:paraId="5123E413" w14:textId="12691719" w:rsidR="002054C5" w:rsidRDefault="002054C5" w:rsidP="002054C5">
      <w:pPr>
        <w:spacing w:line="276" w:lineRule="auto"/>
        <w:ind w:firstLine="0"/>
        <w:jc w:val="center"/>
        <w:rPr>
          <w:rFonts w:eastAsia="Aptos"/>
          <w:iCs/>
          <w:lang w:val="en-ID" w:eastAsia="en-PH"/>
        </w:rPr>
      </w:pPr>
      <w:r w:rsidRPr="00D55B7A">
        <w:rPr>
          <w:rFonts w:eastAsia="Aptos"/>
          <w:i/>
          <w:noProof/>
          <w:lang w:eastAsia="en-PH"/>
        </w:rPr>
        <w:lastRenderedPageBreak/>
        <w:drawing>
          <wp:inline distT="0" distB="0" distL="0" distR="0" wp14:anchorId="64A7D007" wp14:editId="57F7FC30">
            <wp:extent cx="3402000" cy="2646000"/>
            <wp:effectExtent l="0" t="0" r="8255" b="2540"/>
            <wp:docPr id="399183032" name="Picture 5" descr="A graph with a line going up&#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9183032" name="Picture 5" descr="A graph with a line going up&#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02000" cy="2646000"/>
                    </a:xfrm>
                    <a:prstGeom prst="rect">
                      <a:avLst/>
                    </a:prstGeom>
                    <a:noFill/>
                    <a:ln>
                      <a:noFill/>
                    </a:ln>
                  </pic:spPr>
                </pic:pic>
              </a:graphicData>
            </a:graphic>
          </wp:inline>
        </w:drawing>
      </w:r>
    </w:p>
    <w:p w14:paraId="1849135F" w14:textId="3A5AF876" w:rsidR="002054C5" w:rsidRDefault="002054C5" w:rsidP="002054C5">
      <w:pPr>
        <w:pStyle w:val="Figurelabel"/>
        <w:rPr>
          <w:rFonts w:eastAsia="Aptos"/>
          <w:b w:val="0"/>
          <w:bCs w:val="0"/>
          <w:lang w:val="en-ID"/>
        </w:rPr>
      </w:pPr>
      <w:r>
        <w:rPr>
          <w:rFonts w:eastAsia="Aptos"/>
          <w:lang w:val="en-ID"/>
        </w:rPr>
        <w:t xml:space="preserve">Figure 6.3. </w:t>
      </w:r>
      <w:r w:rsidRPr="002054C5">
        <w:rPr>
          <w:rFonts w:eastAsia="Aptos"/>
          <w:b w:val="0"/>
          <w:bCs w:val="0"/>
          <w:lang w:val="en-ID"/>
        </w:rPr>
        <w:t>Philippine government revenue, 2000-2023 (World Bank 360 database)</w:t>
      </w:r>
    </w:p>
    <w:p w14:paraId="47C2663C" w14:textId="1E735C14" w:rsidR="002054C5" w:rsidRDefault="002054C5" w:rsidP="002054C5">
      <w:pPr>
        <w:pStyle w:val="Heading4"/>
        <w:rPr>
          <w:rFonts w:eastAsia="Aptos"/>
          <w:lang w:val="en-ID"/>
        </w:rPr>
      </w:pPr>
      <w:r>
        <w:rPr>
          <w:rFonts w:eastAsia="Aptos"/>
          <w:lang w:val="en-ID"/>
        </w:rPr>
        <w:t>6.</w:t>
      </w:r>
      <w:r w:rsidR="005E4F4D">
        <w:rPr>
          <w:rFonts w:eastAsia="Aptos"/>
          <w:lang w:val="en-ID"/>
        </w:rPr>
        <w:t>2</w:t>
      </w:r>
      <w:r>
        <w:rPr>
          <w:rFonts w:eastAsia="Aptos"/>
          <w:lang w:val="en-ID"/>
        </w:rPr>
        <w:t xml:space="preserve">.1.2 National Budgetary Allocations for Coastal and Marine Resources Management </w:t>
      </w:r>
    </w:p>
    <w:p w14:paraId="1F522788" w14:textId="7993E397" w:rsidR="002054C5" w:rsidRDefault="002054C5" w:rsidP="002054C5">
      <w:pPr>
        <w:spacing w:after="240" w:line="276" w:lineRule="auto"/>
        <w:rPr>
          <w:rFonts w:eastAsia="Aptos"/>
          <w:iCs/>
          <w:lang w:val="en-ID" w:eastAsia="en-PH"/>
        </w:rPr>
      </w:pPr>
      <w:r w:rsidRPr="00D55B7A">
        <w:rPr>
          <w:rFonts w:eastAsia="Aptos"/>
          <w:iCs/>
          <w:lang w:val="en-ID" w:eastAsia="en-PH"/>
        </w:rPr>
        <w:t xml:space="preserve">The budgetary allocations for coastal and marine management-related activities within a 10-year period (2016-2025), of key agencies tasked for these concerns, the Bureau of Fisheries and Aquatic Resources (BFAR) as well as the coastal and marine management program of the Department of Environment and Natural Resources (DENR), show stable funding, as can be seen in the </w:t>
      </w:r>
      <w:r w:rsidRPr="00D10FD7">
        <w:rPr>
          <w:rFonts w:eastAsia="Aptos"/>
          <w:iCs/>
          <w:lang w:val="en-ID" w:eastAsia="en-PH"/>
        </w:rPr>
        <w:t xml:space="preserve">Annex </w:t>
      </w:r>
      <w:r w:rsidR="00D10FD7" w:rsidRPr="00D10FD7">
        <w:rPr>
          <w:rFonts w:eastAsia="Aptos"/>
          <w:iCs/>
          <w:lang w:val="en-ID" w:eastAsia="en-PH"/>
        </w:rPr>
        <w:t xml:space="preserve">6.A, </w:t>
      </w:r>
      <w:r w:rsidRPr="00D10FD7">
        <w:rPr>
          <w:rFonts w:eastAsia="Aptos"/>
          <w:iCs/>
          <w:lang w:val="en-ID" w:eastAsia="en-PH"/>
        </w:rPr>
        <w:t xml:space="preserve">Table </w:t>
      </w:r>
      <w:r w:rsidR="00D10FD7" w:rsidRPr="00D10FD7">
        <w:rPr>
          <w:rFonts w:eastAsia="Aptos"/>
          <w:iCs/>
          <w:lang w:val="en-ID" w:eastAsia="en-PH"/>
        </w:rPr>
        <w:t>6.A.</w:t>
      </w:r>
      <w:r w:rsidRPr="00D10FD7">
        <w:rPr>
          <w:rFonts w:eastAsia="Aptos"/>
          <w:iCs/>
          <w:lang w:val="en-ID" w:eastAsia="en-PH"/>
        </w:rPr>
        <w:t>1</w:t>
      </w:r>
      <w:r w:rsidRPr="00D55B7A">
        <w:rPr>
          <w:rFonts w:eastAsia="Aptos"/>
          <w:iCs/>
          <w:lang w:val="en-ID" w:eastAsia="en-PH"/>
        </w:rPr>
        <w:t xml:space="preserve"> and in </w:t>
      </w:r>
      <w:r w:rsidRPr="00D10FD7">
        <w:rPr>
          <w:rFonts w:eastAsia="Aptos"/>
          <w:iCs/>
          <w:lang w:val="en-ID" w:eastAsia="en-PH"/>
        </w:rPr>
        <w:t xml:space="preserve">Figure </w:t>
      </w:r>
      <w:r w:rsidR="00D10FD7" w:rsidRPr="00D10FD7">
        <w:rPr>
          <w:rFonts w:eastAsia="Aptos"/>
          <w:iCs/>
          <w:lang w:val="en-ID" w:eastAsia="en-PH"/>
        </w:rPr>
        <w:t>6.</w:t>
      </w:r>
      <w:r w:rsidRPr="00D10FD7">
        <w:rPr>
          <w:rFonts w:eastAsia="Aptos"/>
          <w:iCs/>
          <w:lang w:val="en-ID" w:eastAsia="en-PH"/>
        </w:rPr>
        <w:t xml:space="preserve">4 </w:t>
      </w:r>
      <w:r w:rsidRPr="00D55B7A">
        <w:rPr>
          <w:rFonts w:eastAsia="Aptos"/>
          <w:iCs/>
          <w:lang w:val="en-ID" w:eastAsia="en-PH"/>
        </w:rPr>
        <w:t>below.</w:t>
      </w:r>
      <w:r>
        <w:rPr>
          <w:rFonts w:eastAsia="Aptos"/>
          <w:iCs/>
          <w:lang w:val="en-ID" w:eastAsia="en-PH"/>
        </w:rPr>
        <w:t xml:space="preserve"> Whether these resources are adequate is something that cannot be fully determined at this time considering the many factors that need to be considered, i.e., incomplete assessment of actual need</w:t>
      </w:r>
      <w:r w:rsidR="00E001C7">
        <w:rPr>
          <w:rFonts w:eastAsia="Aptos"/>
          <w:iCs/>
          <w:lang w:val="en-ID" w:eastAsia="en-PH"/>
        </w:rPr>
        <w:t xml:space="preserve"> </w:t>
      </w:r>
      <w:r>
        <w:rPr>
          <w:rFonts w:eastAsia="Aptos"/>
          <w:iCs/>
          <w:lang w:val="en-ID" w:eastAsia="en-PH"/>
        </w:rPr>
        <w:t xml:space="preserve">the stated priorities of the agencies and the actual challenges and difficulties in implementation that will affect the actual amount that will be needed to implement identified plans, programs and activities. </w:t>
      </w:r>
    </w:p>
    <w:p w14:paraId="7E5F0BBC" w14:textId="6B368453" w:rsidR="002054C5" w:rsidRDefault="002054C5" w:rsidP="00D10FD7">
      <w:pPr>
        <w:pStyle w:val="Figurelabel"/>
        <w:spacing w:after="0"/>
        <w:rPr>
          <w:rFonts w:eastAsia="Aptos"/>
          <w:b w:val="0"/>
          <w:bCs w:val="0"/>
          <w:sz w:val="20"/>
          <w:szCs w:val="20"/>
          <w:lang w:val="en-ID"/>
        </w:rPr>
      </w:pPr>
      <w:r w:rsidRPr="00D55B7A">
        <w:rPr>
          <w:rFonts w:eastAsia="Aptos"/>
          <w:iCs/>
          <w:noProof/>
          <w:color w:val="EE0000"/>
          <w:sz w:val="20"/>
          <w:szCs w:val="20"/>
          <w:lang w:val="en-ID" w:eastAsia="en-PH"/>
        </w:rPr>
        <w:drawing>
          <wp:inline distT="0" distB="0" distL="0" distR="0" wp14:anchorId="257F5991" wp14:editId="7CF079D4">
            <wp:extent cx="3402000" cy="2646000"/>
            <wp:effectExtent l="0" t="0" r="8255" b="2540"/>
            <wp:docPr id="1014398899" name="Picture 1" descr="A graph of a number of people&#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14398899" name="Picture 1" descr="A graph of a number of people&#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02000" cy="2646000"/>
                    </a:xfrm>
                    <a:prstGeom prst="rect">
                      <a:avLst/>
                    </a:prstGeom>
                    <a:noFill/>
                  </pic:spPr>
                </pic:pic>
              </a:graphicData>
            </a:graphic>
          </wp:inline>
        </w:drawing>
      </w:r>
    </w:p>
    <w:p w14:paraId="0650C3D3" w14:textId="1A9BA6E5" w:rsidR="002054C5" w:rsidRDefault="002054C5" w:rsidP="00D10FD7">
      <w:pPr>
        <w:pStyle w:val="Figurelabel"/>
        <w:rPr>
          <w:b w:val="0"/>
          <w:bCs w:val="0"/>
        </w:rPr>
      </w:pPr>
      <w:r w:rsidRPr="002054C5">
        <w:t xml:space="preserve">Figure 6.4. </w:t>
      </w:r>
      <w:r w:rsidRPr="00D10FD7">
        <w:rPr>
          <w:b w:val="0"/>
          <w:bCs w:val="0"/>
        </w:rPr>
        <w:t>Coastal and Marine Resources Management Budgetary Allocations (General Appropriations Act 2016-2025)</w:t>
      </w:r>
    </w:p>
    <w:p w14:paraId="4806E1DF" w14:textId="1E374028" w:rsidR="00D10FD7" w:rsidRDefault="00D10FD7" w:rsidP="00D10FD7">
      <w:pPr>
        <w:pStyle w:val="Heading3"/>
        <w:rPr>
          <w:rFonts w:eastAsia="Aptos"/>
          <w:lang w:val="en-ID" w:eastAsia="en-PH"/>
        </w:rPr>
      </w:pPr>
      <w:bookmarkStart w:id="5" w:name="_Toc215447055"/>
      <w:r>
        <w:rPr>
          <w:rFonts w:eastAsia="Aptos"/>
          <w:lang w:val="en-ID" w:eastAsia="en-PH"/>
        </w:rPr>
        <w:lastRenderedPageBreak/>
        <w:t>6.2.2 Institutional Setting</w:t>
      </w:r>
      <w:bookmarkEnd w:id="5"/>
    </w:p>
    <w:p w14:paraId="5D69CFDB" w14:textId="4861FEA7" w:rsidR="00D10FD7" w:rsidRDefault="00D10FD7" w:rsidP="00D10FD7">
      <w:pPr>
        <w:pStyle w:val="Heading4"/>
        <w:rPr>
          <w:rFonts w:eastAsia="Aptos"/>
          <w:lang w:val="en-ID" w:eastAsia="en-PH"/>
        </w:rPr>
      </w:pPr>
      <w:r>
        <w:rPr>
          <w:rFonts w:eastAsia="Aptos"/>
          <w:lang w:val="en-ID" w:eastAsia="en-PH"/>
        </w:rPr>
        <w:t>6.2.2.1 Institutions, Regulatory Agencies, and Administrative Arrangements</w:t>
      </w:r>
    </w:p>
    <w:p w14:paraId="7D1F6FC6" w14:textId="77777777" w:rsidR="005E4F4D" w:rsidRDefault="005E4F4D" w:rsidP="005E4F4D">
      <w:pPr>
        <w:spacing w:after="240" w:line="276" w:lineRule="auto"/>
        <w:rPr>
          <w:rFonts w:eastAsia="Aptos"/>
          <w:lang w:val="en-ID" w:eastAsia="en-PH"/>
        </w:rPr>
      </w:pPr>
      <w:r>
        <w:rPr>
          <w:rFonts w:eastAsia="Aptos"/>
          <w:lang w:val="en-ID" w:eastAsia="en-PH"/>
        </w:rPr>
        <w:t>The Department of Environment and Natural Resources is mandated u</w:t>
      </w:r>
      <w:r w:rsidRPr="00D55B7A">
        <w:rPr>
          <w:rFonts w:eastAsia="Aptos"/>
          <w:lang w:val="en-ID" w:eastAsia="en-PH"/>
        </w:rPr>
        <w:t xml:space="preserve">nder </w:t>
      </w:r>
      <w:r w:rsidRPr="00D55B7A">
        <w:rPr>
          <w:rFonts w:eastAsia="Aptos"/>
          <w:b/>
          <w:bCs/>
          <w:lang w:val="en-ID" w:eastAsia="en-PH"/>
        </w:rPr>
        <w:t>Executive Order 533</w:t>
      </w:r>
      <w:r>
        <w:rPr>
          <w:rFonts w:eastAsia="Aptos"/>
          <w:lang w:val="en-ID" w:eastAsia="en-PH"/>
        </w:rPr>
        <w:t xml:space="preserve"> issued by the Philippine President in 2006 (Official Gazette, n.d.)</w:t>
      </w:r>
      <w:r w:rsidRPr="00D55B7A">
        <w:rPr>
          <w:rFonts w:eastAsia="Aptos"/>
          <w:lang w:val="en-ID" w:eastAsia="en-PH"/>
        </w:rPr>
        <w:t xml:space="preserve">, </w:t>
      </w:r>
      <w:r>
        <w:rPr>
          <w:rFonts w:eastAsia="Aptos"/>
          <w:lang w:val="en-ID" w:eastAsia="en-PH"/>
        </w:rPr>
        <w:t xml:space="preserve">to lead </w:t>
      </w:r>
      <w:r w:rsidRPr="00D55B7A">
        <w:rPr>
          <w:rFonts w:eastAsia="Aptos"/>
          <w:lang w:val="en-ID" w:eastAsia="en-PH"/>
        </w:rPr>
        <w:t xml:space="preserve">all concerned national agencies </w:t>
      </w:r>
      <w:r>
        <w:rPr>
          <w:rFonts w:eastAsia="Aptos"/>
          <w:lang w:val="en-ID" w:eastAsia="en-PH"/>
        </w:rPr>
        <w:t xml:space="preserve">in </w:t>
      </w:r>
      <w:r w:rsidRPr="00D55B7A">
        <w:rPr>
          <w:rFonts w:eastAsia="Aptos"/>
          <w:lang w:val="en-ID" w:eastAsia="en-PH"/>
        </w:rPr>
        <w:t>the implementation of the integrated coastal management (ICM) programme and promote best practices that fall within their respective mandates. The</w:t>
      </w:r>
      <w:r>
        <w:rPr>
          <w:rFonts w:eastAsia="Aptos"/>
          <w:lang w:val="en-ID" w:eastAsia="en-PH"/>
        </w:rPr>
        <w:t xml:space="preserve"> support agencies s</w:t>
      </w:r>
      <w:r w:rsidRPr="00D55B7A">
        <w:rPr>
          <w:rFonts w:eastAsia="Aptos"/>
          <w:lang w:val="en-ID" w:eastAsia="en-PH"/>
        </w:rPr>
        <w:t>hall identify, prepare, and provide policy guidance, and technical and resource assistance to DENR and local government units (LGUs) in the implementation of the National and Local ICM Programmes and enforcement of relevant coastal and marine policies and regulations.</w:t>
      </w:r>
      <w:r>
        <w:rPr>
          <w:rFonts w:eastAsia="Aptos"/>
          <w:lang w:val="en-ID" w:eastAsia="en-PH"/>
        </w:rPr>
        <w:t xml:space="preserve"> </w:t>
      </w:r>
    </w:p>
    <w:p w14:paraId="16DCC2CC" w14:textId="77777777" w:rsidR="005E4F4D" w:rsidRDefault="005E4F4D" w:rsidP="005E4F4D">
      <w:pPr>
        <w:spacing w:after="240" w:line="276" w:lineRule="auto"/>
        <w:rPr>
          <w:rFonts w:eastAsia="Aptos"/>
          <w:lang w:val="en-ID" w:eastAsia="en-PH"/>
        </w:rPr>
      </w:pPr>
      <w:r w:rsidRPr="00D55B7A">
        <w:rPr>
          <w:rFonts w:eastAsia="Aptos"/>
          <w:lang w:val="en-ID" w:eastAsia="en-PH"/>
        </w:rPr>
        <w:t xml:space="preserve">On the other hand, the LGUs or sub-national governments, shall act as the frontline agencies in the formulation, planning and implementation of ICM programmes that shall be in line with the National ICM Programme </w:t>
      </w:r>
      <w:r>
        <w:rPr>
          <w:rFonts w:eastAsia="Aptos"/>
          <w:lang w:val="en-ID" w:eastAsia="en-PH"/>
        </w:rPr>
        <w:t>(</w:t>
      </w:r>
      <w:r>
        <w:rPr>
          <w:rFonts w:eastAsia="Aptos"/>
          <w:i/>
          <w:iCs/>
          <w:lang w:val="en-ID" w:eastAsia="en-PH"/>
        </w:rPr>
        <w:t>Ibid.</w:t>
      </w:r>
      <w:r>
        <w:rPr>
          <w:rFonts w:eastAsia="Aptos"/>
          <w:lang w:val="en-ID" w:eastAsia="en-PH"/>
        </w:rPr>
        <w:t xml:space="preserve">). </w:t>
      </w:r>
    </w:p>
    <w:p w14:paraId="5D85170E" w14:textId="77777777" w:rsidR="005E4F4D" w:rsidRDefault="005E4F4D" w:rsidP="005E4F4D">
      <w:pPr>
        <w:spacing w:after="240" w:line="276" w:lineRule="auto"/>
        <w:rPr>
          <w:rFonts w:eastAsia="Aptos"/>
          <w:lang w:val="en-ID" w:eastAsia="en-PH"/>
        </w:rPr>
      </w:pPr>
      <w:r w:rsidRPr="00D55B7A">
        <w:rPr>
          <w:rFonts w:eastAsia="Aptos"/>
          <w:lang w:val="en-ID" w:eastAsia="en-PH"/>
        </w:rPr>
        <w:t>The Fisheries Code</w:t>
      </w:r>
      <w:r>
        <w:rPr>
          <w:rFonts w:eastAsia="Aptos"/>
          <w:lang w:val="en-ID" w:eastAsia="en-PH"/>
        </w:rPr>
        <w:t xml:space="preserve"> passed by the Philippine Congress in 1998</w:t>
      </w:r>
      <w:r w:rsidRPr="00D55B7A">
        <w:rPr>
          <w:rFonts w:eastAsia="Aptos"/>
          <w:lang w:val="en-ID" w:eastAsia="en-PH"/>
        </w:rPr>
        <w:t xml:space="preserve"> has provided for </w:t>
      </w:r>
      <w:r w:rsidRPr="00D55B7A">
        <w:rPr>
          <w:rFonts w:eastAsia="Aptos"/>
          <w:b/>
          <w:bCs/>
          <w:lang w:val="en-ID" w:eastAsia="en-PH"/>
        </w:rPr>
        <w:t xml:space="preserve">Fisheries and Aquatic Resources Management Councils (FARMCs) </w:t>
      </w:r>
      <w:r w:rsidRPr="00D55B7A">
        <w:rPr>
          <w:rFonts w:eastAsia="Aptos"/>
          <w:lang w:val="en-ID" w:eastAsia="en-PH"/>
        </w:rPr>
        <w:t>to be established at the national level and in all municipalities/cities abutting municipal waters. The FARMCs shall be formed by fisherfolk organizations/cooperatives and NGOs in the locality and be assisted by the LGUs and other government entities</w:t>
      </w:r>
      <w:r>
        <w:rPr>
          <w:rFonts w:eastAsia="Aptos"/>
          <w:lang w:val="en-ID" w:eastAsia="en-PH"/>
        </w:rPr>
        <w:t xml:space="preserve"> (DA-BFAR, n.d.)</w:t>
      </w:r>
      <w:r w:rsidRPr="00D55B7A">
        <w:rPr>
          <w:rFonts w:eastAsia="Aptos"/>
          <w:lang w:val="en-ID" w:eastAsia="en-PH"/>
        </w:rPr>
        <w:t xml:space="preserve">.  </w:t>
      </w:r>
      <w:r>
        <w:rPr>
          <w:rFonts w:eastAsia="Aptos"/>
          <w:lang w:val="en-ID" w:eastAsia="en-PH"/>
        </w:rPr>
        <w:t>The FARMCs are also organized up to the barangay level.</w:t>
      </w:r>
    </w:p>
    <w:p w14:paraId="76141138" w14:textId="77777777" w:rsidR="005E4F4D" w:rsidRDefault="005E4F4D" w:rsidP="005E4F4D">
      <w:pPr>
        <w:spacing w:after="240" w:line="276" w:lineRule="auto"/>
        <w:rPr>
          <w:rFonts w:eastAsia="Aptos"/>
          <w:lang w:val="en-ID" w:eastAsia="en-PH"/>
        </w:rPr>
      </w:pPr>
      <w:r w:rsidRPr="00D55B7A">
        <w:rPr>
          <w:rFonts w:eastAsia="Aptos"/>
          <w:lang w:val="en-ID" w:eastAsia="en-PH"/>
        </w:rPr>
        <w:t xml:space="preserve">The </w:t>
      </w:r>
      <w:r>
        <w:rPr>
          <w:rFonts w:eastAsia="Aptos"/>
          <w:lang w:val="en-ID" w:eastAsia="en-PH"/>
        </w:rPr>
        <w:t xml:space="preserve">LGUs, </w:t>
      </w:r>
      <w:r w:rsidRPr="00D55B7A">
        <w:rPr>
          <w:rFonts w:eastAsia="Aptos"/>
          <w:lang w:val="en-ID" w:eastAsia="en-PH"/>
        </w:rPr>
        <w:t xml:space="preserve">as provided by the </w:t>
      </w:r>
      <w:r w:rsidRPr="00D55B7A">
        <w:rPr>
          <w:rFonts w:eastAsia="Aptos"/>
          <w:b/>
          <w:bCs/>
          <w:lang w:val="en-ID" w:eastAsia="en-PH"/>
        </w:rPr>
        <w:t>Local Government Code</w:t>
      </w:r>
      <w:r>
        <w:rPr>
          <w:rFonts w:eastAsia="Aptos"/>
          <w:b/>
          <w:bCs/>
          <w:lang w:val="en-ID" w:eastAsia="en-PH"/>
        </w:rPr>
        <w:t xml:space="preserve"> </w:t>
      </w:r>
      <w:r>
        <w:rPr>
          <w:rFonts w:eastAsia="Aptos"/>
          <w:lang w:val="en-ID" w:eastAsia="en-PH"/>
        </w:rPr>
        <w:t>(DILG, n.d.)</w:t>
      </w:r>
      <w:r w:rsidRPr="00D55B7A">
        <w:rPr>
          <w:rFonts w:eastAsia="Aptos"/>
          <w:lang w:val="en-ID" w:eastAsia="en-PH"/>
        </w:rPr>
        <w:t xml:space="preserve">, possess a wide degree of latitude in enacting ordinances on coastal resources management using the </w:t>
      </w:r>
      <w:r w:rsidRPr="00D55B7A">
        <w:rPr>
          <w:rFonts w:eastAsia="Aptos"/>
          <w:b/>
          <w:bCs/>
          <w:lang w:val="en-ID" w:eastAsia="en-PH"/>
        </w:rPr>
        <w:t>general welfare clause</w:t>
      </w:r>
      <w:r>
        <w:rPr>
          <w:rFonts w:eastAsia="Aptos"/>
          <w:lang w:val="en-ID" w:eastAsia="en-PH"/>
        </w:rPr>
        <w:t xml:space="preserve">, which </w:t>
      </w:r>
      <w:r w:rsidRPr="00513BD2">
        <w:rPr>
          <w:rFonts w:eastAsia="Aptos"/>
          <w:lang w:val="en-ID" w:eastAsia="en-PH"/>
        </w:rPr>
        <w:t>authorizes the local government units to enact ordinances for the good of the municipality and its inhabitants</w:t>
      </w:r>
      <w:r>
        <w:rPr>
          <w:rFonts w:eastAsia="Aptos"/>
          <w:lang w:val="en-ID" w:eastAsia="en-PH"/>
        </w:rPr>
        <w:t xml:space="preserve"> (Supreme Court of the Philippines, 2004).</w:t>
      </w:r>
    </w:p>
    <w:p w14:paraId="62CD637E" w14:textId="77777777" w:rsidR="005E4F4D" w:rsidRDefault="005E4F4D" w:rsidP="005E4F4D">
      <w:pPr>
        <w:spacing w:after="240" w:line="276" w:lineRule="auto"/>
        <w:rPr>
          <w:rFonts w:eastAsia="Aptos"/>
          <w:lang w:val="en-ID" w:eastAsia="en-PH"/>
        </w:rPr>
      </w:pPr>
      <w:r>
        <w:rPr>
          <w:rFonts w:eastAsia="Aptos"/>
          <w:lang w:val="en-ID" w:eastAsia="en-PH"/>
        </w:rPr>
        <w:t>T</w:t>
      </w:r>
      <w:r w:rsidRPr="00D55B7A">
        <w:rPr>
          <w:rFonts w:eastAsia="Aptos"/>
          <w:lang w:val="en-ID" w:eastAsia="en-PH"/>
        </w:rPr>
        <w:t xml:space="preserve">he </w:t>
      </w:r>
      <w:r>
        <w:rPr>
          <w:rFonts w:eastAsia="Aptos"/>
          <w:lang w:val="en-ID" w:eastAsia="en-PH"/>
        </w:rPr>
        <w:t xml:space="preserve">BFAR </w:t>
      </w:r>
      <w:r w:rsidRPr="00D55B7A">
        <w:rPr>
          <w:rFonts w:eastAsia="Aptos"/>
          <w:lang w:val="en-ID" w:eastAsia="en-PH"/>
        </w:rPr>
        <w:t xml:space="preserve">has </w:t>
      </w:r>
      <w:r>
        <w:rPr>
          <w:rFonts w:eastAsia="Aptos"/>
          <w:lang w:val="en-ID" w:eastAsia="en-PH"/>
        </w:rPr>
        <w:t xml:space="preserve">recently </w:t>
      </w:r>
      <w:r w:rsidRPr="00D55B7A">
        <w:rPr>
          <w:rFonts w:eastAsia="Aptos"/>
          <w:lang w:val="en-ID" w:eastAsia="en-PH"/>
        </w:rPr>
        <w:t xml:space="preserve">issued an administrative order setting up </w:t>
      </w:r>
      <w:r w:rsidRPr="00D55B7A">
        <w:rPr>
          <w:rFonts w:eastAsia="Aptos"/>
          <w:b/>
          <w:bCs/>
          <w:lang w:val="en-ID" w:eastAsia="en-PH"/>
        </w:rPr>
        <w:t>Fisheries Management Areas (FMAs)</w:t>
      </w:r>
      <w:r>
        <w:rPr>
          <w:rFonts w:eastAsia="Aptos"/>
          <w:b/>
          <w:bCs/>
          <w:lang w:val="en-ID" w:eastAsia="en-PH"/>
        </w:rPr>
        <w:t xml:space="preserve"> </w:t>
      </w:r>
      <w:r>
        <w:rPr>
          <w:rFonts w:eastAsia="Aptos"/>
          <w:lang w:val="en-ID" w:eastAsia="en-PH"/>
        </w:rPr>
        <w:t>(DA-BFAR, 2021)</w:t>
      </w:r>
      <w:r w:rsidRPr="00D55B7A">
        <w:rPr>
          <w:rFonts w:eastAsia="Aptos"/>
          <w:b/>
          <w:bCs/>
          <w:lang w:val="en-ID" w:eastAsia="en-PH"/>
        </w:rPr>
        <w:t xml:space="preserve"> </w:t>
      </w:r>
      <w:r w:rsidRPr="00D55B7A">
        <w:rPr>
          <w:rFonts w:eastAsia="Aptos"/>
          <w:lang w:val="en-ID" w:eastAsia="en-PH"/>
        </w:rPr>
        <w:t>to manage the straddling and shared fish stocks within the FMAs, taking into account the ecosystem approach to fisheries management (EAFM)</w:t>
      </w:r>
      <w:r>
        <w:rPr>
          <w:rFonts w:eastAsia="Aptos"/>
          <w:lang w:val="en-ID" w:eastAsia="en-PH"/>
        </w:rPr>
        <w:t xml:space="preserve"> (</w:t>
      </w:r>
      <w:r>
        <w:rPr>
          <w:rFonts w:eastAsia="Aptos"/>
          <w:i/>
          <w:iCs/>
          <w:lang w:val="en-ID" w:eastAsia="en-PH"/>
        </w:rPr>
        <w:t>Ibid.)</w:t>
      </w:r>
      <w:r w:rsidRPr="00D55B7A">
        <w:rPr>
          <w:rFonts w:eastAsia="Aptos"/>
          <w:lang w:val="en-ID" w:eastAsia="en-PH"/>
        </w:rPr>
        <w:t xml:space="preserve">.  A </w:t>
      </w:r>
      <w:r w:rsidRPr="00D55B7A">
        <w:rPr>
          <w:rFonts w:eastAsia="Aptos"/>
          <w:b/>
          <w:bCs/>
          <w:lang w:val="en-ID" w:eastAsia="en-PH"/>
        </w:rPr>
        <w:t>management body</w:t>
      </w:r>
      <w:r w:rsidRPr="00D55B7A">
        <w:rPr>
          <w:rFonts w:eastAsia="Aptos"/>
          <w:lang w:val="en-ID" w:eastAsia="en-PH"/>
        </w:rPr>
        <w:t xml:space="preserve"> shall be created for each FMA</w:t>
      </w:r>
      <w:r>
        <w:rPr>
          <w:rFonts w:eastAsia="Aptos"/>
          <w:lang w:val="en-ID" w:eastAsia="en-PH"/>
        </w:rPr>
        <w:t xml:space="preserve"> which </w:t>
      </w:r>
      <w:r w:rsidRPr="00D55B7A">
        <w:rPr>
          <w:rFonts w:eastAsia="Aptos"/>
          <w:lang w:val="en-ID" w:eastAsia="en-PH"/>
        </w:rPr>
        <w:t>shall be the operating entity that will manage the affairs of an FMA</w:t>
      </w:r>
      <w:r>
        <w:rPr>
          <w:rFonts w:eastAsia="Aptos"/>
          <w:lang w:val="en-ID" w:eastAsia="en-PH"/>
        </w:rPr>
        <w:t>(</w:t>
      </w:r>
      <w:r>
        <w:rPr>
          <w:rFonts w:eastAsia="Aptos"/>
          <w:i/>
          <w:iCs/>
          <w:lang w:val="en-ID" w:eastAsia="en-PH"/>
        </w:rPr>
        <w:t>Ibid.)</w:t>
      </w:r>
      <w:r w:rsidRPr="00D55B7A">
        <w:rPr>
          <w:rFonts w:eastAsia="Aptos"/>
          <w:lang w:val="en-ID" w:eastAsia="en-PH"/>
        </w:rPr>
        <w:t xml:space="preserve">. </w:t>
      </w:r>
    </w:p>
    <w:p w14:paraId="085A0A5E" w14:textId="77777777" w:rsidR="005E4F4D" w:rsidRDefault="005E4F4D" w:rsidP="005E4F4D">
      <w:pPr>
        <w:spacing w:after="240" w:line="276" w:lineRule="auto"/>
        <w:rPr>
          <w:rFonts w:eastAsia="Aptos"/>
          <w:lang w:val="en-ID" w:eastAsia="en-PH"/>
        </w:rPr>
      </w:pPr>
      <w:r w:rsidRPr="00D55B7A">
        <w:rPr>
          <w:rFonts w:eastAsia="Aptos"/>
          <w:lang w:val="en-ID" w:eastAsia="en-PH"/>
        </w:rPr>
        <w:t xml:space="preserve">This management body in the  FMAs  is envisioned to function similarly like </w:t>
      </w:r>
      <w:r w:rsidRPr="00D55B7A">
        <w:rPr>
          <w:rFonts w:eastAsia="Aptos"/>
          <w:b/>
          <w:bCs/>
          <w:lang w:val="en-ID" w:eastAsia="en-PH"/>
        </w:rPr>
        <w:t>the protected area management boards or PAMBs</w:t>
      </w:r>
      <w:r w:rsidRPr="00D55B7A">
        <w:rPr>
          <w:rFonts w:eastAsia="Aptos"/>
          <w:lang w:val="en-ID" w:eastAsia="en-PH"/>
        </w:rPr>
        <w:t xml:space="preserve">, </w:t>
      </w:r>
      <w:r>
        <w:rPr>
          <w:rFonts w:eastAsia="Aptos"/>
          <w:lang w:val="en-ID" w:eastAsia="en-PH"/>
        </w:rPr>
        <w:t xml:space="preserve"> a multi-sectoral body created in each protected area which may either be in the terrestrial or marine environment, vested with powers of  budget allocations, approval of  proposals for funding and  matters relating to planning, peripheral protection and general administration of the protected area in accordance with the general management strategy, among others.(DENR, 2002).</w:t>
      </w:r>
    </w:p>
    <w:p w14:paraId="47FB6D83" w14:textId="20F82EE6" w:rsidR="00D10FD7" w:rsidRPr="00D55B7A" w:rsidRDefault="005E4F4D" w:rsidP="005E4F4D">
      <w:pPr>
        <w:spacing w:after="240" w:line="276" w:lineRule="auto"/>
        <w:rPr>
          <w:rFonts w:eastAsia="Aptos"/>
          <w:lang w:val="en-ID" w:eastAsia="en-PH"/>
        </w:rPr>
      </w:pPr>
      <w:r>
        <w:rPr>
          <w:rFonts w:eastAsia="Aptos"/>
          <w:lang w:val="en-ID" w:eastAsia="en-PH"/>
        </w:rPr>
        <w:t xml:space="preserve">The country’s efforts on implementing the SDGs and particularly in SDG 6.5.1 on Integrated Water Resources Management is in </w:t>
      </w:r>
      <w:r w:rsidR="004C3B63">
        <w:rPr>
          <w:rFonts w:eastAsia="Aptos"/>
          <w:b/>
          <w:bCs/>
          <w:lang w:val="en-ID" w:eastAsia="en-PH"/>
        </w:rPr>
        <w:t>Annex</w:t>
      </w:r>
      <w:r>
        <w:rPr>
          <w:rFonts w:eastAsia="Aptos"/>
          <w:b/>
          <w:bCs/>
          <w:lang w:val="en-ID" w:eastAsia="en-PH"/>
        </w:rPr>
        <w:t xml:space="preserve"> 6.</w:t>
      </w:r>
      <w:r w:rsidR="004C3B63">
        <w:rPr>
          <w:rFonts w:eastAsia="Aptos"/>
          <w:b/>
          <w:bCs/>
          <w:lang w:val="en-ID" w:eastAsia="en-PH"/>
        </w:rPr>
        <w:t>H: Supplementary Material A</w:t>
      </w:r>
      <w:r>
        <w:rPr>
          <w:rFonts w:eastAsia="Aptos"/>
          <w:b/>
          <w:bCs/>
          <w:lang w:val="en-ID" w:eastAsia="en-PH"/>
        </w:rPr>
        <w:t>.</w:t>
      </w:r>
      <w:r>
        <w:rPr>
          <w:rFonts w:eastAsia="Aptos"/>
          <w:lang w:val="en-ID" w:eastAsia="en-PH"/>
        </w:rPr>
        <w:t xml:space="preserve"> </w:t>
      </w:r>
    </w:p>
    <w:p w14:paraId="040F3B2A" w14:textId="6D6CE873" w:rsidR="00D10FD7" w:rsidRDefault="00D10FD7" w:rsidP="00D10FD7">
      <w:pPr>
        <w:pStyle w:val="Heading4"/>
      </w:pPr>
      <w:r>
        <w:t>6.2.2.2 Informal Arrangements and Structures</w:t>
      </w:r>
    </w:p>
    <w:p w14:paraId="1BCCA76C" w14:textId="03C461D8" w:rsidR="00D10FD7" w:rsidRPr="00D55B7A" w:rsidRDefault="00D10FD7" w:rsidP="00D10FD7">
      <w:pPr>
        <w:spacing w:after="240" w:line="276" w:lineRule="auto"/>
        <w:rPr>
          <w:rFonts w:eastAsia="Aptos"/>
          <w:lang w:val="en-ID" w:eastAsia="en-PH"/>
        </w:rPr>
      </w:pPr>
      <w:r w:rsidRPr="00D55B7A">
        <w:rPr>
          <w:rFonts w:eastAsia="Aptos"/>
          <w:lang w:val="en-ID" w:eastAsia="en-PH"/>
        </w:rPr>
        <w:t xml:space="preserve">These informal arrangements and structures are understood to be the ways which enable communities to manage their coastal and marine resources using their indigenous and customary ways of doing things which may or may not be </w:t>
      </w:r>
      <w:r w:rsidR="00A57DD2" w:rsidRPr="00D55B7A">
        <w:rPr>
          <w:rFonts w:eastAsia="Aptos"/>
          <w:lang w:val="en-ID" w:eastAsia="en-PH"/>
        </w:rPr>
        <w:t>documented and</w:t>
      </w:r>
      <w:r w:rsidRPr="00D55B7A">
        <w:rPr>
          <w:rFonts w:eastAsia="Aptos"/>
          <w:lang w:val="en-ID" w:eastAsia="en-PH"/>
        </w:rPr>
        <w:t xml:space="preserve"> are often associated with how their local ecological knowledge or indigenous knowledge systems.</w:t>
      </w:r>
    </w:p>
    <w:p w14:paraId="42D5E929" w14:textId="5EDDDB4E" w:rsidR="00D10FD7" w:rsidRPr="00D55B7A" w:rsidRDefault="00D10FD7" w:rsidP="00D10FD7">
      <w:pPr>
        <w:spacing w:after="240" w:line="276" w:lineRule="auto"/>
        <w:rPr>
          <w:rFonts w:eastAsia="Aptos"/>
          <w:lang w:val="en-ID" w:eastAsia="en-PH"/>
        </w:rPr>
      </w:pPr>
      <w:r w:rsidRPr="00D55B7A">
        <w:rPr>
          <w:rFonts w:eastAsia="Aptos"/>
          <w:lang w:val="en-ID" w:eastAsia="en-PH"/>
        </w:rPr>
        <w:t xml:space="preserve">In the island of Coron, one of the project sites in Palawan, the indigenous cultural community, the </w:t>
      </w:r>
      <w:proofErr w:type="spellStart"/>
      <w:r w:rsidRPr="00D55B7A">
        <w:rPr>
          <w:rFonts w:eastAsia="Aptos"/>
          <w:b/>
          <w:bCs/>
          <w:lang w:val="en-ID" w:eastAsia="en-PH"/>
        </w:rPr>
        <w:t>Tagbanuas</w:t>
      </w:r>
      <w:proofErr w:type="spellEnd"/>
      <w:r w:rsidRPr="00D55B7A">
        <w:rPr>
          <w:rFonts w:eastAsia="Aptos"/>
          <w:lang w:val="en-ID" w:eastAsia="en-PH"/>
        </w:rPr>
        <w:t xml:space="preserve">, who are engaged in traditional fishing practices within their ancestral waters in the context of sacred marine areas or </w:t>
      </w:r>
      <w:proofErr w:type="spellStart"/>
      <w:r w:rsidRPr="00D55B7A">
        <w:rPr>
          <w:rFonts w:eastAsia="Aptos"/>
          <w:i/>
          <w:iCs/>
          <w:lang w:val="en-ID" w:eastAsia="en-PH"/>
        </w:rPr>
        <w:t>panya’an</w:t>
      </w:r>
      <w:proofErr w:type="spellEnd"/>
      <w:r w:rsidRPr="00D55B7A">
        <w:rPr>
          <w:rFonts w:eastAsia="Aptos"/>
          <w:lang w:val="en-ID" w:eastAsia="en-PH"/>
        </w:rPr>
        <w:t xml:space="preserve"> which is similar to fish sanctuaries. They are also dependent on fishing, hunting and foraging</w:t>
      </w:r>
      <w:r>
        <w:rPr>
          <w:rFonts w:eastAsia="Aptos"/>
          <w:lang w:val="en-ID" w:eastAsia="en-PH"/>
        </w:rPr>
        <w:t xml:space="preserve"> </w:t>
      </w:r>
      <w:r>
        <w:rPr>
          <w:rFonts w:eastAsia="Aptos"/>
          <w:lang w:val="en-ID" w:eastAsia="en-PH"/>
        </w:rPr>
        <w:lastRenderedPageBreak/>
        <w:t>(Capistrano, 2010)</w:t>
      </w:r>
      <w:r w:rsidRPr="00D55B7A">
        <w:rPr>
          <w:rFonts w:eastAsia="Aptos"/>
          <w:lang w:val="en-ID" w:eastAsia="en-PH"/>
        </w:rPr>
        <w:t xml:space="preserve">. The Calamian </w:t>
      </w:r>
      <w:proofErr w:type="spellStart"/>
      <w:r w:rsidRPr="00D55B7A">
        <w:rPr>
          <w:rFonts w:eastAsia="Aptos"/>
          <w:lang w:val="en-ID" w:eastAsia="en-PH"/>
        </w:rPr>
        <w:t>Tagbanua</w:t>
      </w:r>
      <w:proofErr w:type="spellEnd"/>
      <w:r w:rsidRPr="00D55B7A">
        <w:rPr>
          <w:rFonts w:eastAsia="Aptos"/>
          <w:lang w:val="en-ID" w:eastAsia="en-PH"/>
        </w:rPr>
        <w:t xml:space="preserve"> homeland was once host to rich, diverse, unique and ecologically intact marine and terrestrial ecosystems but the onslaught of dynamite and cyanide fishing have now reduced their coral systems to rubble</w:t>
      </w:r>
      <w:r>
        <w:rPr>
          <w:rFonts w:eastAsia="Aptos"/>
          <w:lang w:val="en-ID" w:eastAsia="en-PH"/>
        </w:rPr>
        <w:t xml:space="preserve"> (De Vera and </w:t>
      </w:r>
      <w:proofErr w:type="spellStart"/>
      <w:r>
        <w:rPr>
          <w:rFonts w:eastAsia="Aptos"/>
          <w:lang w:val="en-ID" w:eastAsia="en-PH"/>
        </w:rPr>
        <w:t>Zingapan</w:t>
      </w:r>
      <w:proofErr w:type="spellEnd"/>
      <w:r>
        <w:rPr>
          <w:rFonts w:eastAsia="Aptos"/>
          <w:lang w:val="en-ID" w:eastAsia="en-PH"/>
        </w:rPr>
        <w:t>, 2007)</w:t>
      </w:r>
      <w:r w:rsidRPr="00D55B7A">
        <w:rPr>
          <w:rFonts w:eastAsia="Aptos"/>
          <w:lang w:val="en-ID" w:eastAsia="en-PH"/>
        </w:rPr>
        <w:t>. Then in the early 1970s, the municipal government of Coron seized all the clan caves in Coron Island and auctioned them off (</w:t>
      </w:r>
      <w:proofErr w:type="spellStart"/>
      <w:r w:rsidRPr="00D55B7A">
        <w:rPr>
          <w:rFonts w:eastAsia="Aptos"/>
          <w:lang w:val="en-ID" w:eastAsia="en-PH"/>
        </w:rPr>
        <w:t>subasta</w:t>
      </w:r>
      <w:proofErr w:type="spellEnd"/>
      <w:r w:rsidRPr="00D55B7A">
        <w:rPr>
          <w:rFonts w:eastAsia="Aptos"/>
          <w:lang w:val="en-ID" w:eastAsia="en-PH"/>
        </w:rPr>
        <w:t xml:space="preserve">) to raise revenue for the municipal treasury, and the </w:t>
      </w:r>
      <w:proofErr w:type="spellStart"/>
      <w:r w:rsidRPr="00D55B7A">
        <w:rPr>
          <w:rFonts w:eastAsia="Aptos"/>
          <w:lang w:val="en-ID" w:eastAsia="en-PH"/>
        </w:rPr>
        <w:t>Tagbanuas</w:t>
      </w:r>
      <w:proofErr w:type="spellEnd"/>
      <w:r w:rsidRPr="00D55B7A">
        <w:rPr>
          <w:rFonts w:eastAsia="Aptos"/>
          <w:lang w:val="en-ID" w:eastAsia="en-PH"/>
        </w:rPr>
        <w:t xml:space="preserve"> of Coron Island were reduced from being owners and sellers to gatherers paid for their </w:t>
      </w:r>
      <w:proofErr w:type="spellStart"/>
      <w:r w:rsidRPr="00D55B7A">
        <w:rPr>
          <w:rFonts w:eastAsia="Aptos"/>
          <w:lang w:val="en-ID" w:eastAsia="en-PH"/>
        </w:rPr>
        <w:t>labor</w:t>
      </w:r>
      <w:proofErr w:type="spellEnd"/>
      <w:r w:rsidRPr="00D55B7A">
        <w:rPr>
          <w:rFonts w:eastAsia="Aptos"/>
          <w:lang w:val="en-ID" w:eastAsia="en-PH"/>
        </w:rPr>
        <w:t xml:space="preserve">. The </w:t>
      </w:r>
      <w:proofErr w:type="spellStart"/>
      <w:r w:rsidRPr="00D55B7A">
        <w:rPr>
          <w:rFonts w:eastAsia="Aptos"/>
          <w:lang w:val="en-ID" w:eastAsia="en-PH"/>
        </w:rPr>
        <w:t>Tagbanuas</w:t>
      </w:r>
      <w:proofErr w:type="spellEnd"/>
      <w:r w:rsidRPr="00D55B7A">
        <w:rPr>
          <w:rFonts w:eastAsia="Aptos"/>
          <w:lang w:val="en-ID" w:eastAsia="en-PH"/>
        </w:rPr>
        <w:t xml:space="preserve"> slipped into further misery, when the municipal government auctioned off tax declarations which had lapsed with their payments to tourist resort developers, real estate agents, and the like</w:t>
      </w:r>
      <w:r>
        <w:rPr>
          <w:rFonts w:eastAsia="Aptos"/>
          <w:lang w:val="en-ID" w:eastAsia="en-PH"/>
        </w:rPr>
        <w:t xml:space="preserve"> (</w:t>
      </w:r>
      <w:r>
        <w:rPr>
          <w:rFonts w:eastAsia="Aptos"/>
          <w:i/>
          <w:iCs/>
          <w:lang w:val="en-ID" w:eastAsia="en-PH"/>
        </w:rPr>
        <w:t>Ibid.)</w:t>
      </w:r>
      <w:r w:rsidRPr="00D55B7A">
        <w:rPr>
          <w:rFonts w:eastAsia="Aptos"/>
          <w:lang w:val="en-ID" w:eastAsia="en-PH"/>
        </w:rPr>
        <w:t>.</w:t>
      </w:r>
    </w:p>
    <w:p w14:paraId="235E9653" w14:textId="0215F80D" w:rsidR="00D10FD7" w:rsidRPr="00D55B7A" w:rsidRDefault="00D10FD7" w:rsidP="00D10FD7">
      <w:pPr>
        <w:spacing w:after="240" w:line="276" w:lineRule="auto"/>
        <w:rPr>
          <w:rFonts w:eastAsia="Aptos"/>
          <w:lang w:val="en-ID" w:eastAsia="en-PH"/>
        </w:rPr>
      </w:pPr>
      <w:r w:rsidRPr="00D55B7A">
        <w:rPr>
          <w:rFonts w:eastAsia="Aptos"/>
          <w:lang w:val="en-ID" w:eastAsia="en-PH"/>
        </w:rPr>
        <w:t xml:space="preserve">The </w:t>
      </w:r>
      <w:proofErr w:type="spellStart"/>
      <w:r w:rsidRPr="00D55B7A">
        <w:rPr>
          <w:rFonts w:eastAsia="Aptos"/>
          <w:lang w:val="en-ID" w:eastAsia="en-PH"/>
        </w:rPr>
        <w:t>Tagbanuas</w:t>
      </w:r>
      <w:proofErr w:type="spellEnd"/>
      <w:r w:rsidRPr="00D55B7A">
        <w:rPr>
          <w:rFonts w:eastAsia="Aptos"/>
          <w:lang w:val="en-ID" w:eastAsia="en-PH"/>
        </w:rPr>
        <w:t xml:space="preserve"> organized and filed an application for a </w:t>
      </w:r>
      <w:r w:rsidRPr="00D55B7A">
        <w:rPr>
          <w:rFonts w:eastAsia="Aptos"/>
          <w:b/>
          <w:bCs/>
          <w:lang w:val="en-ID" w:eastAsia="en-PH"/>
        </w:rPr>
        <w:t>Certificate of Ancestral Domain Claim or CADC</w:t>
      </w:r>
      <w:r w:rsidRPr="00D55B7A">
        <w:rPr>
          <w:rFonts w:eastAsia="Aptos"/>
          <w:lang w:val="en-ID" w:eastAsia="en-PH"/>
        </w:rPr>
        <w:t xml:space="preserve"> with the DENR which was approved in 1998 by then DENR Secretary Victor O. Ramos, consisting of 22,400 hectares of land and waters.  In 2002, the National Commission on Indigenous Peoples (NCIP) converted the Tagbanwa’s CADC into a </w:t>
      </w:r>
      <w:r w:rsidRPr="00D55B7A">
        <w:rPr>
          <w:rFonts w:eastAsia="Aptos"/>
          <w:b/>
          <w:bCs/>
          <w:lang w:val="en-ID" w:eastAsia="en-PH"/>
        </w:rPr>
        <w:t>Certificate of Ancestral Domain Title (CADT)</w:t>
      </w:r>
      <w:r w:rsidRPr="00D55B7A">
        <w:rPr>
          <w:rFonts w:eastAsia="Aptos"/>
          <w:lang w:val="en-ID" w:eastAsia="en-PH"/>
        </w:rPr>
        <w:t>, and after the review and revalidation increased it to 2,236 hectares</w:t>
      </w:r>
      <w:r>
        <w:rPr>
          <w:rFonts w:eastAsia="Aptos"/>
          <w:lang w:val="en-ID" w:eastAsia="en-PH"/>
        </w:rPr>
        <w:t xml:space="preserve"> (De Vera and </w:t>
      </w:r>
      <w:proofErr w:type="spellStart"/>
      <w:r>
        <w:rPr>
          <w:rFonts w:eastAsia="Aptos"/>
          <w:lang w:val="en-ID" w:eastAsia="en-PH"/>
        </w:rPr>
        <w:t>Zingapan</w:t>
      </w:r>
      <w:proofErr w:type="spellEnd"/>
      <w:r>
        <w:rPr>
          <w:rFonts w:eastAsia="Aptos"/>
          <w:lang w:val="en-ID" w:eastAsia="en-PH"/>
        </w:rPr>
        <w:t>, 2007)</w:t>
      </w:r>
      <w:r w:rsidRPr="00D55B7A">
        <w:rPr>
          <w:rFonts w:eastAsia="Aptos"/>
          <w:lang w:val="en-ID" w:eastAsia="en-PH"/>
        </w:rPr>
        <w:t>. This Coron CADT was a precedent for further recognition of two other CADT claims in Northern Palawan</w:t>
      </w:r>
      <w:r>
        <w:rPr>
          <w:rFonts w:eastAsia="Aptos"/>
          <w:lang w:val="en-ID" w:eastAsia="en-PH"/>
        </w:rPr>
        <w:t xml:space="preserve"> (</w:t>
      </w:r>
      <w:r>
        <w:rPr>
          <w:rFonts w:eastAsia="Aptos"/>
          <w:i/>
          <w:iCs/>
          <w:lang w:val="en-ID" w:eastAsia="en-PH"/>
        </w:rPr>
        <w:t>Ibid)</w:t>
      </w:r>
      <w:r w:rsidRPr="00D55B7A">
        <w:rPr>
          <w:rFonts w:eastAsia="Aptos"/>
          <w:lang w:val="en-ID" w:eastAsia="en-PH"/>
        </w:rPr>
        <w:t>.</w:t>
      </w:r>
    </w:p>
    <w:p w14:paraId="20FE6EAD" w14:textId="0F4C9147" w:rsidR="00D10FD7" w:rsidRDefault="00D10FD7" w:rsidP="00D10FD7">
      <w:pPr>
        <w:pStyle w:val="Heading3"/>
      </w:pPr>
      <w:bookmarkStart w:id="6" w:name="_Toc215447056"/>
      <w:r>
        <w:t>6.2.3 Legal and Policy Setting</w:t>
      </w:r>
      <w:bookmarkEnd w:id="6"/>
    </w:p>
    <w:p w14:paraId="2331A752" w14:textId="198A8C69" w:rsidR="00D10FD7" w:rsidRDefault="00D10FD7" w:rsidP="00D10FD7">
      <w:pPr>
        <w:pStyle w:val="Heading4"/>
      </w:pPr>
      <w:r>
        <w:t>6.2.3.1 International Legal/Policy Frameworks &amp; Forums</w:t>
      </w:r>
    </w:p>
    <w:p w14:paraId="004BAEBA" w14:textId="71710D1D" w:rsidR="00D10FD7" w:rsidRDefault="00D10FD7" w:rsidP="00D10FD7">
      <w:pPr>
        <w:spacing w:after="240" w:line="276" w:lineRule="auto"/>
        <w:rPr>
          <w:rFonts w:eastAsia="Aptos"/>
          <w:iCs/>
          <w:lang w:val="en-ID" w:eastAsia="en-PH"/>
        </w:rPr>
      </w:pPr>
      <w:r w:rsidRPr="00D55B7A">
        <w:rPr>
          <w:rFonts w:eastAsia="Aptos"/>
          <w:iCs/>
          <w:lang w:val="en-ID" w:eastAsia="en-PH"/>
        </w:rPr>
        <w:t>T</w:t>
      </w:r>
      <w:r w:rsidR="00762802">
        <w:rPr>
          <w:rFonts w:eastAsia="Aptos"/>
          <w:iCs/>
          <w:lang w:val="en-ID" w:eastAsia="en-PH"/>
        </w:rPr>
        <w:t xml:space="preserve">able 6.1 </w:t>
      </w:r>
      <w:r w:rsidRPr="00D55B7A">
        <w:rPr>
          <w:rFonts w:eastAsia="Aptos"/>
          <w:iCs/>
          <w:lang w:val="en-ID" w:eastAsia="en-PH"/>
        </w:rPr>
        <w:t>below shows the various international legal/policy arenas and forums to which the Philippines is a Party or has joined on the date indicated.</w:t>
      </w:r>
    </w:p>
    <w:p w14:paraId="31093186" w14:textId="64055A51" w:rsidR="008B045F" w:rsidRPr="008B045F" w:rsidRDefault="008B045F" w:rsidP="008B045F">
      <w:pPr>
        <w:spacing w:line="276" w:lineRule="auto"/>
        <w:ind w:firstLine="0"/>
        <w:rPr>
          <w:rFonts w:eastAsia="Aptos"/>
          <w:iCs/>
          <w:sz w:val="18"/>
          <w:szCs w:val="18"/>
          <w:lang w:val="en-ID" w:eastAsia="en-PH"/>
        </w:rPr>
      </w:pPr>
      <w:r w:rsidRPr="008B045F">
        <w:rPr>
          <w:rFonts w:eastAsia="Aptos"/>
          <w:b/>
          <w:bCs/>
          <w:iCs/>
          <w:sz w:val="18"/>
          <w:szCs w:val="18"/>
          <w:lang w:val="en-ID" w:eastAsia="en-PH"/>
        </w:rPr>
        <w:t>Table 6.1</w:t>
      </w:r>
      <w:r w:rsidRPr="008B045F">
        <w:rPr>
          <w:rFonts w:eastAsia="Aptos"/>
          <w:iCs/>
          <w:sz w:val="18"/>
          <w:szCs w:val="18"/>
          <w:lang w:val="en-ID" w:eastAsia="en-PH"/>
        </w:rPr>
        <w:t xml:space="preserve"> Philippine’s Engagement with International Legal/Policy Arenas</w:t>
      </w:r>
    </w:p>
    <w:tbl>
      <w:tblPr>
        <w:tblStyle w:val="PlainTable21"/>
        <w:tblW w:w="5000" w:type="pct"/>
        <w:jc w:val="center"/>
        <w:tblBorders>
          <w:top w:val="single" w:sz="12" w:space="0" w:color="auto"/>
          <w:bottom w:val="single" w:sz="12" w:space="0" w:color="auto"/>
          <w:insideH w:val="single" w:sz="4" w:space="0" w:color="7F7F7F"/>
        </w:tblBorders>
        <w:tblLook w:val="04A0" w:firstRow="1" w:lastRow="0" w:firstColumn="1" w:lastColumn="0" w:noHBand="0" w:noVBand="1"/>
      </w:tblPr>
      <w:tblGrid>
        <w:gridCol w:w="5620"/>
        <w:gridCol w:w="3740"/>
      </w:tblGrid>
      <w:tr w:rsidR="00762802" w:rsidRPr="009B2C75" w14:paraId="1EB26B21" w14:textId="77777777" w:rsidTr="00357240">
        <w:trPr>
          <w:cnfStyle w:val="100000000000" w:firstRow="1" w:lastRow="0" w:firstColumn="0" w:lastColumn="0" w:oddVBand="0" w:evenVBand="0" w:oddHBand="0" w:evenHBand="0" w:firstRowFirstColumn="0" w:firstRowLastColumn="0" w:lastRowFirstColumn="0" w:lastRowLastColumn="0"/>
          <w:trHeight w:val="159"/>
          <w:jc w:val="center"/>
        </w:trPr>
        <w:tc>
          <w:tcPr>
            <w:cnfStyle w:val="001000000000" w:firstRow="0" w:lastRow="0" w:firstColumn="1" w:lastColumn="0" w:oddVBand="0" w:evenVBand="0" w:oddHBand="0" w:evenHBand="0" w:firstRowFirstColumn="0" w:firstRowLastColumn="0" w:lastRowFirstColumn="0" w:lastRowLastColumn="0"/>
            <w:tcW w:w="3002" w:type="pct"/>
            <w:tcBorders>
              <w:top w:val="single" w:sz="12" w:space="0" w:color="auto"/>
              <w:bottom w:val="single" w:sz="12" w:space="0" w:color="auto"/>
            </w:tcBorders>
            <w:vAlign w:val="center"/>
          </w:tcPr>
          <w:p w14:paraId="5887FC65" w14:textId="77777777" w:rsidR="00762802" w:rsidRPr="009B2C75" w:rsidRDefault="00762802" w:rsidP="008B045F">
            <w:pPr>
              <w:spacing w:line="276" w:lineRule="auto"/>
              <w:ind w:firstLine="0"/>
              <w:jc w:val="center"/>
              <w:rPr>
                <w:b w:val="0"/>
                <w:bCs w:val="0"/>
                <w:sz w:val="18"/>
                <w:szCs w:val="18"/>
              </w:rPr>
            </w:pPr>
            <w:r w:rsidRPr="009B2C75">
              <w:rPr>
                <w:sz w:val="18"/>
                <w:szCs w:val="18"/>
              </w:rPr>
              <w:t>Policy Arena/Forum</w:t>
            </w:r>
          </w:p>
        </w:tc>
        <w:tc>
          <w:tcPr>
            <w:tcW w:w="1998" w:type="pct"/>
            <w:tcBorders>
              <w:top w:val="single" w:sz="12" w:space="0" w:color="auto"/>
              <w:bottom w:val="single" w:sz="12" w:space="0" w:color="auto"/>
            </w:tcBorders>
            <w:vAlign w:val="center"/>
          </w:tcPr>
          <w:p w14:paraId="73EA8E5F" w14:textId="77777777" w:rsidR="00762802" w:rsidRPr="009B2C75" w:rsidRDefault="00762802" w:rsidP="008B045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18"/>
                <w:szCs w:val="18"/>
              </w:rPr>
            </w:pPr>
            <w:r w:rsidRPr="009B2C75">
              <w:rPr>
                <w:sz w:val="18"/>
                <w:szCs w:val="18"/>
              </w:rPr>
              <w:t>Date of PH Ratification/Accession</w:t>
            </w:r>
          </w:p>
        </w:tc>
      </w:tr>
      <w:tr w:rsidR="00762802" w:rsidRPr="009B2C75" w14:paraId="13536630" w14:textId="77777777" w:rsidTr="00357240">
        <w:trPr>
          <w:cnfStyle w:val="000000100000" w:firstRow="0" w:lastRow="0" w:firstColumn="0" w:lastColumn="0" w:oddVBand="0" w:evenVBand="0" w:oddHBand="1" w:evenHBand="0" w:firstRowFirstColumn="0" w:firstRowLastColumn="0" w:lastRowFirstColumn="0" w:lastRowLastColumn="0"/>
          <w:trHeight w:val="159"/>
          <w:jc w:val="center"/>
        </w:trPr>
        <w:tc>
          <w:tcPr>
            <w:cnfStyle w:val="001000000000" w:firstRow="0" w:lastRow="0" w:firstColumn="1" w:lastColumn="0" w:oddVBand="0" w:evenVBand="0" w:oddHBand="0" w:evenHBand="0" w:firstRowFirstColumn="0" w:firstRowLastColumn="0" w:lastRowFirstColumn="0" w:lastRowLastColumn="0"/>
            <w:tcW w:w="3002" w:type="pct"/>
            <w:tcBorders>
              <w:top w:val="single" w:sz="12" w:space="0" w:color="auto"/>
              <w:bottom w:val="none" w:sz="0" w:space="0" w:color="auto"/>
            </w:tcBorders>
          </w:tcPr>
          <w:p w14:paraId="3DC49613" w14:textId="77777777" w:rsidR="00762802" w:rsidRPr="008B045F" w:rsidRDefault="00762802" w:rsidP="00762802">
            <w:pPr>
              <w:spacing w:line="276" w:lineRule="auto"/>
              <w:ind w:firstLine="0"/>
              <w:rPr>
                <w:rFonts w:eastAsia="Aptos"/>
                <w:iCs/>
                <w:kern w:val="0"/>
                <w:sz w:val="18"/>
                <w:szCs w:val="18"/>
                <w:lang w:val="en-ID" w:eastAsia="en-PH"/>
                <w14:ligatures w14:val="none"/>
              </w:rPr>
            </w:pPr>
            <w:r w:rsidRPr="008B045F">
              <w:rPr>
                <w:rFonts w:eastAsia="Aptos"/>
                <w:iCs/>
                <w:kern w:val="0"/>
                <w:sz w:val="18"/>
                <w:szCs w:val="18"/>
                <w:lang w:val="en-ID" w:eastAsia="en-PH"/>
                <w14:ligatures w14:val="none"/>
              </w:rPr>
              <w:t>United Nations Convention on the Law of the Sea (UNCLOS)</w:t>
            </w:r>
          </w:p>
          <w:p w14:paraId="39BE1C83" w14:textId="77777777" w:rsidR="00762802" w:rsidRPr="00762802" w:rsidRDefault="00762802" w:rsidP="00762802">
            <w:pPr>
              <w:spacing w:line="276" w:lineRule="auto"/>
              <w:rPr>
                <w:b w:val="0"/>
                <w:bCs w:val="0"/>
                <w:iCs/>
                <w:sz w:val="18"/>
                <w:szCs w:val="18"/>
              </w:rPr>
            </w:pPr>
          </w:p>
        </w:tc>
        <w:tc>
          <w:tcPr>
            <w:tcW w:w="1998" w:type="pct"/>
            <w:tcBorders>
              <w:top w:val="single" w:sz="12" w:space="0" w:color="auto"/>
              <w:bottom w:val="none" w:sz="0" w:space="0" w:color="auto"/>
            </w:tcBorders>
          </w:tcPr>
          <w:p w14:paraId="4D589D9D" w14:textId="77777777" w:rsidR="00762802" w:rsidRPr="009B2C75" w:rsidRDefault="00762802" w:rsidP="00762802">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Signature – 10 December 1982;</w:t>
            </w:r>
          </w:p>
          <w:p w14:paraId="5BA36993" w14:textId="77777777" w:rsidR="00762802" w:rsidRPr="009B2C75" w:rsidRDefault="00762802" w:rsidP="00762802">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entry into force -16 Nov 1994</w:t>
            </w:r>
          </w:p>
        </w:tc>
      </w:tr>
      <w:tr w:rsidR="00762802" w:rsidRPr="009B2C75" w14:paraId="0243A966" w14:textId="77777777" w:rsidTr="00357240">
        <w:trPr>
          <w:trHeight w:val="159"/>
          <w:jc w:val="center"/>
        </w:trPr>
        <w:tc>
          <w:tcPr>
            <w:cnfStyle w:val="001000000000" w:firstRow="0" w:lastRow="0" w:firstColumn="1" w:lastColumn="0" w:oddVBand="0" w:evenVBand="0" w:oddHBand="0" w:evenHBand="0" w:firstRowFirstColumn="0" w:firstRowLastColumn="0" w:lastRowFirstColumn="0" w:lastRowLastColumn="0"/>
            <w:tcW w:w="3002" w:type="pct"/>
          </w:tcPr>
          <w:p w14:paraId="01840C2B" w14:textId="1EE6F237" w:rsidR="00762802" w:rsidRPr="008B045F" w:rsidRDefault="00762802" w:rsidP="00762802">
            <w:pPr>
              <w:spacing w:line="276" w:lineRule="auto"/>
              <w:ind w:firstLine="0"/>
              <w:rPr>
                <w:b w:val="0"/>
                <w:bCs w:val="0"/>
                <w:sz w:val="18"/>
                <w:szCs w:val="18"/>
              </w:rPr>
            </w:pPr>
            <w:r w:rsidRPr="008B045F">
              <w:rPr>
                <w:b w:val="0"/>
                <w:bCs w:val="0"/>
                <w:sz w:val="18"/>
                <w:szCs w:val="18"/>
              </w:rPr>
              <w:t xml:space="preserve">UNCLOS Implementing Legislations </w:t>
            </w:r>
          </w:p>
          <w:p w14:paraId="41D38119" w14:textId="77777777" w:rsidR="00762802" w:rsidRPr="00762802" w:rsidRDefault="00762802">
            <w:pPr>
              <w:pStyle w:val="ListParagraph"/>
              <w:numPr>
                <w:ilvl w:val="0"/>
                <w:numId w:val="64"/>
              </w:numPr>
              <w:spacing w:line="276" w:lineRule="auto"/>
              <w:jc w:val="left"/>
              <w:rPr>
                <w:b w:val="0"/>
                <w:bCs w:val="0"/>
                <w:sz w:val="18"/>
                <w:szCs w:val="18"/>
              </w:rPr>
            </w:pPr>
            <w:r w:rsidRPr="00762802">
              <w:rPr>
                <w:b w:val="0"/>
                <w:bCs w:val="0"/>
                <w:sz w:val="18"/>
                <w:szCs w:val="18"/>
              </w:rPr>
              <w:t>Philippine Baselines Act (Republic Act 9522)</w:t>
            </w:r>
          </w:p>
          <w:p w14:paraId="6A0C6DC1" w14:textId="1CE6E127" w:rsidR="00762802" w:rsidRPr="00762802" w:rsidRDefault="00762802">
            <w:pPr>
              <w:pStyle w:val="ListParagraph"/>
              <w:numPr>
                <w:ilvl w:val="0"/>
                <w:numId w:val="64"/>
              </w:numPr>
              <w:spacing w:line="276" w:lineRule="auto"/>
              <w:jc w:val="left"/>
              <w:rPr>
                <w:b w:val="0"/>
                <w:bCs w:val="0"/>
                <w:sz w:val="18"/>
                <w:szCs w:val="18"/>
              </w:rPr>
            </w:pPr>
            <w:r w:rsidRPr="00762802">
              <w:rPr>
                <w:b w:val="0"/>
                <w:bCs w:val="0"/>
                <w:sz w:val="18"/>
                <w:szCs w:val="18"/>
              </w:rPr>
              <w:t>Philippine Maritime Zones Act (Republic Act 12064)</w:t>
            </w:r>
          </w:p>
          <w:p w14:paraId="79DB69F7" w14:textId="77777777" w:rsidR="00762802" w:rsidRPr="00762802" w:rsidRDefault="00762802">
            <w:pPr>
              <w:pStyle w:val="ListParagraph"/>
              <w:numPr>
                <w:ilvl w:val="0"/>
                <w:numId w:val="64"/>
              </w:numPr>
              <w:spacing w:line="276" w:lineRule="auto"/>
              <w:jc w:val="left"/>
              <w:rPr>
                <w:b w:val="0"/>
                <w:bCs w:val="0"/>
                <w:sz w:val="18"/>
                <w:szCs w:val="18"/>
              </w:rPr>
            </w:pPr>
            <w:r w:rsidRPr="00762802">
              <w:rPr>
                <w:b w:val="0"/>
                <w:bCs w:val="0"/>
                <w:sz w:val="18"/>
                <w:szCs w:val="18"/>
              </w:rPr>
              <w:t>Philippine Archipelagic Sea Lanes Act (Republic Act 12065)</w:t>
            </w:r>
          </w:p>
        </w:tc>
        <w:tc>
          <w:tcPr>
            <w:tcW w:w="1998" w:type="pct"/>
          </w:tcPr>
          <w:p w14:paraId="66A70C74" w14:textId="716DED34"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Approved:</w:t>
            </w:r>
            <w:r w:rsidR="00762802" w:rsidRPr="009B2C75">
              <w:rPr>
                <w:sz w:val="18"/>
                <w:szCs w:val="18"/>
              </w:rPr>
              <w:t xml:space="preserve"> March 10, 2009</w:t>
            </w:r>
          </w:p>
          <w:p w14:paraId="3195A41F" w14:textId="123BFC24"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Approved:</w:t>
            </w:r>
            <w:r w:rsidR="00762802" w:rsidRPr="009B2C75">
              <w:rPr>
                <w:sz w:val="18"/>
                <w:szCs w:val="18"/>
              </w:rPr>
              <w:t xml:space="preserve"> November 7, 2024</w:t>
            </w:r>
          </w:p>
          <w:p w14:paraId="54C5F4E7" w14:textId="47357D14"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Approved:</w:t>
            </w:r>
            <w:r w:rsidR="00762802" w:rsidRPr="009B2C75">
              <w:rPr>
                <w:sz w:val="18"/>
                <w:szCs w:val="18"/>
              </w:rPr>
              <w:t xml:space="preserve"> November 7, 2024</w:t>
            </w:r>
          </w:p>
          <w:p w14:paraId="4951323C"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tc>
      </w:tr>
      <w:tr w:rsidR="00762802" w:rsidRPr="009B2C75" w14:paraId="47DB3C84" w14:textId="77777777" w:rsidTr="00357240">
        <w:trPr>
          <w:cnfStyle w:val="000000100000" w:firstRow="0" w:lastRow="0" w:firstColumn="0" w:lastColumn="0" w:oddVBand="0" w:evenVBand="0" w:oddHBand="1" w:evenHBand="0" w:firstRowFirstColumn="0" w:firstRowLastColumn="0" w:lastRowFirstColumn="0" w:lastRowLastColumn="0"/>
          <w:trHeight w:val="159"/>
          <w:jc w:val="center"/>
        </w:trPr>
        <w:tc>
          <w:tcPr>
            <w:cnfStyle w:val="001000000000" w:firstRow="0" w:lastRow="0" w:firstColumn="1" w:lastColumn="0" w:oddVBand="0" w:evenVBand="0" w:oddHBand="0" w:evenHBand="0" w:firstRowFirstColumn="0" w:firstRowLastColumn="0" w:lastRowFirstColumn="0" w:lastRowLastColumn="0"/>
            <w:tcW w:w="3002" w:type="pct"/>
            <w:tcBorders>
              <w:top w:val="none" w:sz="0" w:space="0" w:color="auto"/>
              <w:bottom w:val="none" w:sz="0" w:space="0" w:color="auto"/>
            </w:tcBorders>
          </w:tcPr>
          <w:p w14:paraId="78C65337" w14:textId="77777777" w:rsidR="00762802" w:rsidRPr="008B045F" w:rsidRDefault="00762802" w:rsidP="00762802">
            <w:pPr>
              <w:spacing w:line="276" w:lineRule="auto"/>
              <w:ind w:firstLine="0"/>
              <w:rPr>
                <w:rFonts w:eastAsia="Aptos"/>
                <w:iCs/>
                <w:kern w:val="0"/>
                <w:sz w:val="18"/>
                <w:szCs w:val="18"/>
                <w:lang w:val="en-ID" w:eastAsia="en-PH"/>
                <w14:ligatures w14:val="none"/>
              </w:rPr>
            </w:pPr>
            <w:r w:rsidRPr="008B045F">
              <w:rPr>
                <w:rFonts w:eastAsia="Aptos"/>
                <w:iCs/>
                <w:kern w:val="0"/>
                <w:sz w:val="18"/>
                <w:szCs w:val="18"/>
                <w:lang w:val="en-ID" w:eastAsia="en-PH"/>
                <w14:ligatures w14:val="none"/>
              </w:rPr>
              <w:t>Fisheries-related instruments</w:t>
            </w:r>
          </w:p>
          <w:p w14:paraId="6B7368C8" w14:textId="77777777" w:rsidR="00762802" w:rsidRPr="00762802" w:rsidRDefault="00762802" w:rsidP="00762802">
            <w:pPr>
              <w:spacing w:line="276" w:lineRule="auto"/>
              <w:rPr>
                <w:b w:val="0"/>
                <w:bCs w:val="0"/>
                <w:sz w:val="18"/>
                <w:szCs w:val="18"/>
              </w:rPr>
            </w:pPr>
          </w:p>
          <w:p w14:paraId="45879E8B" w14:textId="77777777" w:rsidR="00762802" w:rsidRPr="00762802" w:rsidRDefault="00762802" w:rsidP="00762802">
            <w:pPr>
              <w:spacing w:line="276" w:lineRule="auto"/>
              <w:ind w:firstLine="0"/>
              <w:rPr>
                <w:b w:val="0"/>
                <w:bCs w:val="0"/>
                <w:sz w:val="18"/>
                <w:szCs w:val="18"/>
              </w:rPr>
            </w:pPr>
            <w:r w:rsidRPr="00762802">
              <w:rPr>
                <w:b w:val="0"/>
                <w:bCs w:val="0"/>
                <w:sz w:val="18"/>
                <w:szCs w:val="18"/>
              </w:rPr>
              <w:t>Agreement relating to the implementation of Part XI of the UNCLOS Convention of 10 December 1982</w:t>
            </w:r>
          </w:p>
          <w:p w14:paraId="7EDA04E5" w14:textId="77777777" w:rsidR="00762802" w:rsidRPr="00762802" w:rsidRDefault="00762802" w:rsidP="00762802">
            <w:pPr>
              <w:spacing w:line="276" w:lineRule="auto"/>
              <w:ind w:firstLine="0"/>
              <w:rPr>
                <w:b w:val="0"/>
                <w:bCs w:val="0"/>
                <w:sz w:val="18"/>
                <w:szCs w:val="18"/>
              </w:rPr>
            </w:pPr>
            <w:r w:rsidRPr="00762802">
              <w:rPr>
                <w:b w:val="0"/>
                <w:bCs w:val="0"/>
                <w:sz w:val="18"/>
                <w:szCs w:val="18"/>
              </w:rPr>
              <w:t xml:space="preserve">UN Fish Stocks Agreement </w:t>
            </w:r>
          </w:p>
          <w:p w14:paraId="0CFAD38F" w14:textId="77777777" w:rsidR="00762802" w:rsidRPr="00762802" w:rsidRDefault="00762802" w:rsidP="00762802">
            <w:pPr>
              <w:spacing w:line="276" w:lineRule="auto"/>
              <w:ind w:firstLine="0"/>
              <w:rPr>
                <w:b w:val="0"/>
                <w:bCs w:val="0"/>
                <w:sz w:val="18"/>
                <w:szCs w:val="18"/>
              </w:rPr>
            </w:pPr>
            <w:r w:rsidRPr="00762802">
              <w:rPr>
                <w:b w:val="0"/>
                <w:bCs w:val="0"/>
                <w:sz w:val="18"/>
                <w:szCs w:val="18"/>
              </w:rPr>
              <w:t xml:space="preserve">FAO Compliance Agreement </w:t>
            </w:r>
          </w:p>
          <w:p w14:paraId="0D92CCED" w14:textId="77777777" w:rsidR="00762802" w:rsidRPr="00762802" w:rsidRDefault="00762802" w:rsidP="00762802">
            <w:pPr>
              <w:spacing w:line="276" w:lineRule="auto"/>
              <w:ind w:firstLine="0"/>
              <w:rPr>
                <w:b w:val="0"/>
                <w:bCs w:val="0"/>
                <w:sz w:val="18"/>
                <w:szCs w:val="18"/>
              </w:rPr>
            </w:pPr>
            <w:r w:rsidRPr="00762802">
              <w:rPr>
                <w:b w:val="0"/>
                <w:bCs w:val="0"/>
                <w:sz w:val="18"/>
                <w:szCs w:val="18"/>
              </w:rPr>
              <w:t>2009 FAO Agreement on Port State Measures</w:t>
            </w:r>
          </w:p>
          <w:p w14:paraId="53CC4782" w14:textId="77777777" w:rsidR="00762802" w:rsidRPr="00762802" w:rsidRDefault="00762802" w:rsidP="00762802">
            <w:pPr>
              <w:spacing w:line="276" w:lineRule="auto"/>
              <w:ind w:firstLine="0"/>
              <w:rPr>
                <w:b w:val="0"/>
                <w:bCs w:val="0"/>
                <w:sz w:val="18"/>
                <w:szCs w:val="18"/>
              </w:rPr>
            </w:pPr>
            <w:r w:rsidRPr="00762802">
              <w:rPr>
                <w:b w:val="0"/>
                <w:bCs w:val="0"/>
                <w:sz w:val="18"/>
                <w:szCs w:val="18"/>
              </w:rPr>
              <w:t>WTO Agreement on Fisheries Subsidies</w:t>
            </w:r>
          </w:p>
          <w:p w14:paraId="5EE034E5" w14:textId="77777777" w:rsidR="00762802" w:rsidRPr="00762802" w:rsidRDefault="00762802" w:rsidP="00762802">
            <w:pPr>
              <w:spacing w:line="276" w:lineRule="auto"/>
              <w:rPr>
                <w:b w:val="0"/>
                <w:bCs w:val="0"/>
                <w:sz w:val="18"/>
                <w:szCs w:val="18"/>
              </w:rPr>
            </w:pPr>
          </w:p>
        </w:tc>
        <w:tc>
          <w:tcPr>
            <w:tcW w:w="1998" w:type="pct"/>
            <w:tcBorders>
              <w:top w:val="none" w:sz="0" w:space="0" w:color="auto"/>
              <w:bottom w:val="none" w:sz="0" w:space="0" w:color="auto"/>
            </w:tcBorders>
          </w:tcPr>
          <w:p w14:paraId="5A5A19E5"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b/>
                <w:bCs/>
                <w:sz w:val="18"/>
                <w:szCs w:val="18"/>
              </w:rPr>
            </w:pPr>
          </w:p>
          <w:p w14:paraId="4DA044D3"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b/>
                <w:bCs/>
                <w:sz w:val="18"/>
                <w:szCs w:val="18"/>
              </w:rPr>
            </w:pPr>
          </w:p>
          <w:p w14:paraId="187D3C4E" w14:textId="16D8FF89" w:rsidR="00762802" w:rsidRPr="009B2C75" w:rsidRDefault="008B045F" w:rsidP="00762802">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23 July 1997</w:t>
            </w:r>
          </w:p>
          <w:p w14:paraId="177F3429"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p w14:paraId="0600C8BD" w14:textId="1D0AA590" w:rsidR="00762802" w:rsidRPr="009B2C75" w:rsidRDefault="008B045F" w:rsidP="008B045F">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24 September 2014</w:t>
            </w:r>
          </w:p>
          <w:p w14:paraId="6721A4D8" w14:textId="4A432BEC" w:rsidR="00762802" w:rsidRPr="009B2C75" w:rsidRDefault="008B045F" w:rsidP="008B045F">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30 May 2018</w:t>
            </w:r>
          </w:p>
          <w:p w14:paraId="10BDD66D" w14:textId="51722DC3" w:rsidR="00762802" w:rsidRPr="009B2C75" w:rsidRDefault="008B045F" w:rsidP="008B045F">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26 April 2018</w:t>
            </w:r>
          </w:p>
          <w:p w14:paraId="5DD7D2E9" w14:textId="087B4994" w:rsidR="00762802" w:rsidRPr="009B2C75" w:rsidRDefault="008B045F" w:rsidP="008B045F">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Acceptance:</w:t>
            </w:r>
            <w:r w:rsidR="00762802" w:rsidRPr="009B2C75">
              <w:rPr>
                <w:sz w:val="18"/>
                <w:szCs w:val="18"/>
              </w:rPr>
              <w:t xml:space="preserve"> 24 February 2024</w:t>
            </w:r>
          </w:p>
        </w:tc>
      </w:tr>
      <w:tr w:rsidR="00762802" w:rsidRPr="009B2C75" w14:paraId="3447A859" w14:textId="77777777" w:rsidTr="00357240">
        <w:trPr>
          <w:trHeight w:val="159"/>
          <w:jc w:val="center"/>
        </w:trPr>
        <w:tc>
          <w:tcPr>
            <w:cnfStyle w:val="001000000000" w:firstRow="0" w:lastRow="0" w:firstColumn="1" w:lastColumn="0" w:oddVBand="0" w:evenVBand="0" w:oddHBand="0" w:evenHBand="0" w:firstRowFirstColumn="0" w:firstRowLastColumn="0" w:lastRowFirstColumn="0" w:lastRowLastColumn="0"/>
            <w:tcW w:w="3002" w:type="pct"/>
          </w:tcPr>
          <w:p w14:paraId="40AD7702" w14:textId="77777777" w:rsidR="00762802" w:rsidRPr="00762802" w:rsidRDefault="00762802" w:rsidP="00762802">
            <w:pPr>
              <w:spacing w:line="276" w:lineRule="auto"/>
              <w:ind w:firstLine="0"/>
              <w:rPr>
                <w:rFonts w:eastAsia="Aptos"/>
                <w:iCs/>
                <w:kern w:val="0"/>
                <w:sz w:val="18"/>
                <w:szCs w:val="18"/>
                <w:lang w:val="en-ID" w:eastAsia="en-PH"/>
                <w14:ligatures w14:val="none"/>
              </w:rPr>
            </w:pPr>
            <w:r w:rsidRPr="00762802">
              <w:rPr>
                <w:rFonts w:eastAsia="Aptos"/>
                <w:iCs/>
                <w:kern w:val="0"/>
                <w:sz w:val="18"/>
                <w:szCs w:val="18"/>
                <w:lang w:val="en-ID" w:eastAsia="en-PH"/>
                <w14:ligatures w14:val="none"/>
              </w:rPr>
              <w:t>Biodiversity-related instruments</w:t>
            </w:r>
          </w:p>
          <w:p w14:paraId="59BB6682" w14:textId="77777777" w:rsidR="00762802" w:rsidRPr="00762802" w:rsidRDefault="00762802" w:rsidP="00762802">
            <w:pPr>
              <w:spacing w:line="276" w:lineRule="auto"/>
              <w:rPr>
                <w:b w:val="0"/>
                <w:bCs w:val="0"/>
                <w:sz w:val="18"/>
                <w:szCs w:val="18"/>
              </w:rPr>
            </w:pPr>
          </w:p>
          <w:p w14:paraId="055880D1" w14:textId="77777777" w:rsidR="00762802" w:rsidRPr="00762802" w:rsidRDefault="00762802" w:rsidP="00762802">
            <w:pPr>
              <w:spacing w:line="276" w:lineRule="auto"/>
              <w:ind w:firstLine="0"/>
              <w:rPr>
                <w:b w:val="0"/>
                <w:bCs w:val="0"/>
                <w:sz w:val="18"/>
                <w:szCs w:val="18"/>
              </w:rPr>
            </w:pPr>
            <w:r w:rsidRPr="00762802">
              <w:rPr>
                <w:b w:val="0"/>
                <w:bCs w:val="0"/>
                <w:sz w:val="18"/>
                <w:szCs w:val="18"/>
              </w:rPr>
              <w:t>Convention on Biological Diversity (CBD)</w:t>
            </w:r>
          </w:p>
          <w:p w14:paraId="2F528182" w14:textId="558BE5C4" w:rsidR="00762802" w:rsidRPr="00762802" w:rsidRDefault="00762802" w:rsidP="00762802">
            <w:pPr>
              <w:spacing w:line="276" w:lineRule="auto"/>
              <w:ind w:firstLine="0"/>
              <w:rPr>
                <w:b w:val="0"/>
                <w:bCs w:val="0"/>
                <w:sz w:val="18"/>
                <w:szCs w:val="18"/>
              </w:rPr>
            </w:pPr>
            <w:r w:rsidRPr="00762802">
              <w:rPr>
                <w:b w:val="0"/>
                <w:bCs w:val="0"/>
                <w:sz w:val="18"/>
                <w:szCs w:val="18"/>
              </w:rPr>
              <w:t>Convention on Migratory Species (CMS)</w:t>
            </w:r>
          </w:p>
          <w:p w14:paraId="0B3F18D1" w14:textId="0C4733B9" w:rsidR="00762802" w:rsidRPr="00762802" w:rsidRDefault="00762802" w:rsidP="00762802">
            <w:pPr>
              <w:spacing w:line="276" w:lineRule="auto"/>
              <w:ind w:firstLine="0"/>
              <w:rPr>
                <w:b w:val="0"/>
                <w:bCs w:val="0"/>
                <w:sz w:val="18"/>
                <w:szCs w:val="18"/>
              </w:rPr>
            </w:pPr>
            <w:r w:rsidRPr="00762802">
              <w:rPr>
                <w:b w:val="0"/>
                <w:bCs w:val="0"/>
                <w:sz w:val="18"/>
                <w:szCs w:val="18"/>
              </w:rPr>
              <w:t>Convention on International Trade in Endangered Species of Wild Fauna and Flora (CITES)</w:t>
            </w:r>
          </w:p>
          <w:p w14:paraId="0EA7D36F"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Treaty on Plant Genetic Resources for Food and Agriculture (ITPGRFA)</w:t>
            </w:r>
          </w:p>
          <w:p w14:paraId="57670411" w14:textId="37B5D0C1" w:rsidR="00762802" w:rsidRPr="00762802" w:rsidRDefault="00762802" w:rsidP="00762802">
            <w:pPr>
              <w:spacing w:line="276" w:lineRule="auto"/>
              <w:ind w:firstLine="0"/>
              <w:rPr>
                <w:b w:val="0"/>
                <w:bCs w:val="0"/>
                <w:sz w:val="18"/>
                <w:szCs w:val="18"/>
              </w:rPr>
            </w:pPr>
            <w:r w:rsidRPr="00762802">
              <w:rPr>
                <w:b w:val="0"/>
                <w:bCs w:val="0"/>
                <w:sz w:val="18"/>
                <w:szCs w:val="18"/>
              </w:rPr>
              <w:t>Ramsar Convention on Wetlands,</w:t>
            </w:r>
          </w:p>
          <w:p w14:paraId="2613E99A" w14:textId="77777777" w:rsidR="00762802" w:rsidRPr="00762802" w:rsidRDefault="00762802" w:rsidP="00762802">
            <w:pPr>
              <w:spacing w:line="276" w:lineRule="auto"/>
              <w:ind w:firstLine="0"/>
              <w:rPr>
                <w:b w:val="0"/>
                <w:bCs w:val="0"/>
                <w:sz w:val="18"/>
                <w:szCs w:val="18"/>
              </w:rPr>
            </w:pPr>
            <w:r w:rsidRPr="00762802">
              <w:rPr>
                <w:b w:val="0"/>
                <w:bCs w:val="0"/>
                <w:sz w:val="18"/>
                <w:szCs w:val="18"/>
              </w:rPr>
              <w:t xml:space="preserve">World Heritage Convention </w:t>
            </w:r>
          </w:p>
          <w:p w14:paraId="64F58239"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Plant Protection Convention</w:t>
            </w:r>
          </w:p>
          <w:p w14:paraId="3991B746"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Whaling Commission</w:t>
            </w:r>
          </w:p>
          <w:p w14:paraId="2630C7DB" w14:textId="77777777" w:rsidR="00762802" w:rsidRPr="00762802" w:rsidRDefault="00762802" w:rsidP="00762802">
            <w:pPr>
              <w:spacing w:line="276" w:lineRule="auto"/>
              <w:rPr>
                <w:b w:val="0"/>
                <w:bCs w:val="0"/>
                <w:sz w:val="18"/>
                <w:szCs w:val="18"/>
              </w:rPr>
            </w:pPr>
          </w:p>
        </w:tc>
        <w:tc>
          <w:tcPr>
            <w:tcW w:w="1998" w:type="pct"/>
          </w:tcPr>
          <w:p w14:paraId="386FE4B7" w14:textId="77777777" w:rsidR="00762802" w:rsidRPr="009B2C75" w:rsidRDefault="00762802"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b/>
                <w:bCs/>
                <w:sz w:val="18"/>
                <w:szCs w:val="18"/>
              </w:rPr>
            </w:pPr>
          </w:p>
          <w:p w14:paraId="37A61740"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b/>
                <w:bCs/>
                <w:sz w:val="18"/>
                <w:szCs w:val="18"/>
              </w:rPr>
            </w:pPr>
          </w:p>
          <w:p w14:paraId="79D6B2C3" w14:textId="5C0759FC"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8 October 1993</w:t>
            </w:r>
          </w:p>
          <w:p w14:paraId="3C94CBBD" w14:textId="0A98FE7C"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1 February 1994</w:t>
            </w:r>
          </w:p>
          <w:p w14:paraId="3358F6E4"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77044B83" w14:textId="45E1AA8F"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18 August 1981</w:t>
            </w:r>
          </w:p>
          <w:p w14:paraId="7AD1D3C0"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5EB573FE" w14:textId="511DCF27"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27 December 2006</w:t>
            </w:r>
          </w:p>
          <w:p w14:paraId="722FD23A"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2FA0FE0C" w14:textId="14D7D93E"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Acceded:</w:t>
            </w:r>
            <w:r w:rsidR="00762802" w:rsidRPr="009B2C75">
              <w:rPr>
                <w:sz w:val="18"/>
                <w:szCs w:val="18"/>
              </w:rPr>
              <w:t xml:space="preserve"> 8 November 1994</w:t>
            </w:r>
          </w:p>
          <w:p w14:paraId="4E3ED951" w14:textId="4802E6B0"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19 September 1985</w:t>
            </w:r>
          </w:p>
          <w:p w14:paraId="5C23D2CA" w14:textId="2F0C2208"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3 December 1983</w:t>
            </w:r>
          </w:p>
          <w:p w14:paraId="655A6B78" w14:textId="77777777" w:rsidR="00762802" w:rsidRPr="009B2C75" w:rsidRDefault="00762802"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lastRenderedPageBreak/>
              <w:t>Member from 1981-1988</w:t>
            </w:r>
          </w:p>
        </w:tc>
      </w:tr>
      <w:tr w:rsidR="00762802" w:rsidRPr="009B2C75" w14:paraId="2B0C7F12" w14:textId="77777777" w:rsidTr="00357240">
        <w:trPr>
          <w:cnfStyle w:val="000000100000" w:firstRow="0" w:lastRow="0" w:firstColumn="0" w:lastColumn="0" w:oddVBand="0" w:evenVBand="0" w:oddHBand="1" w:evenHBand="0" w:firstRowFirstColumn="0" w:firstRowLastColumn="0" w:lastRowFirstColumn="0" w:lastRowLastColumn="0"/>
          <w:trHeight w:val="159"/>
          <w:jc w:val="center"/>
        </w:trPr>
        <w:tc>
          <w:tcPr>
            <w:cnfStyle w:val="001000000000" w:firstRow="0" w:lastRow="0" w:firstColumn="1" w:lastColumn="0" w:oddVBand="0" w:evenVBand="0" w:oddHBand="0" w:evenHBand="0" w:firstRowFirstColumn="0" w:firstRowLastColumn="0" w:lastRowFirstColumn="0" w:lastRowLastColumn="0"/>
            <w:tcW w:w="3002" w:type="pct"/>
            <w:tcBorders>
              <w:top w:val="none" w:sz="0" w:space="0" w:color="auto"/>
              <w:bottom w:val="none" w:sz="0" w:space="0" w:color="auto"/>
            </w:tcBorders>
          </w:tcPr>
          <w:p w14:paraId="3C1237CC" w14:textId="77777777" w:rsidR="00762802" w:rsidRPr="00762802" w:rsidRDefault="00762802" w:rsidP="00762802">
            <w:pPr>
              <w:spacing w:line="276" w:lineRule="auto"/>
              <w:ind w:firstLine="0"/>
              <w:rPr>
                <w:rFonts w:eastAsia="Aptos"/>
                <w:iCs/>
                <w:kern w:val="0"/>
                <w:sz w:val="18"/>
                <w:szCs w:val="18"/>
                <w:lang w:val="en-ID" w:eastAsia="en-PH"/>
                <w14:ligatures w14:val="none"/>
              </w:rPr>
            </w:pPr>
            <w:r w:rsidRPr="00762802">
              <w:rPr>
                <w:rFonts w:eastAsia="Aptos"/>
                <w:iCs/>
                <w:kern w:val="0"/>
                <w:sz w:val="18"/>
                <w:szCs w:val="18"/>
                <w:lang w:val="en-ID" w:eastAsia="en-PH"/>
                <w14:ligatures w14:val="none"/>
              </w:rPr>
              <w:t>Maritime Pollution-related instruments</w:t>
            </w:r>
          </w:p>
          <w:p w14:paraId="21F3624E" w14:textId="77777777" w:rsidR="00762802" w:rsidRPr="00762802" w:rsidRDefault="00762802" w:rsidP="00762802">
            <w:pPr>
              <w:spacing w:line="276" w:lineRule="auto"/>
              <w:rPr>
                <w:b w:val="0"/>
                <w:bCs w:val="0"/>
                <w:sz w:val="18"/>
                <w:szCs w:val="18"/>
              </w:rPr>
            </w:pPr>
          </w:p>
          <w:p w14:paraId="110F11F8"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Maritime Organization (IMO) Convention</w:t>
            </w:r>
          </w:p>
          <w:p w14:paraId="0A312373" w14:textId="77777777" w:rsidR="00762802" w:rsidRPr="00762802" w:rsidRDefault="00762802" w:rsidP="00762802">
            <w:pPr>
              <w:spacing w:line="276" w:lineRule="auto"/>
              <w:ind w:firstLine="0"/>
              <w:rPr>
                <w:b w:val="0"/>
                <w:bCs w:val="0"/>
                <w:sz w:val="18"/>
                <w:szCs w:val="18"/>
              </w:rPr>
            </w:pPr>
            <w:r w:rsidRPr="00762802">
              <w:rPr>
                <w:b w:val="0"/>
                <w:bCs w:val="0"/>
                <w:sz w:val="18"/>
                <w:szCs w:val="18"/>
              </w:rPr>
              <w:t>International Convention for the Prevention of Pollution from Ships (MARPOL) and Annexes I-VI</w:t>
            </w:r>
          </w:p>
        </w:tc>
        <w:tc>
          <w:tcPr>
            <w:tcW w:w="1998" w:type="pct"/>
            <w:tcBorders>
              <w:top w:val="none" w:sz="0" w:space="0" w:color="auto"/>
              <w:bottom w:val="none" w:sz="0" w:space="0" w:color="auto"/>
            </w:tcBorders>
          </w:tcPr>
          <w:p w14:paraId="1A29A9C7"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b/>
                <w:bCs/>
                <w:sz w:val="18"/>
                <w:szCs w:val="18"/>
              </w:rPr>
            </w:pPr>
          </w:p>
          <w:p w14:paraId="4B62F735"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b/>
                <w:bCs/>
                <w:sz w:val="18"/>
                <w:szCs w:val="18"/>
              </w:rPr>
            </w:pPr>
          </w:p>
          <w:p w14:paraId="2EB283C6" w14:textId="4C2B6C3E" w:rsidR="00762802" w:rsidRPr="009B2C75" w:rsidRDefault="00762802" w:rsidP="00762802">
            <w:pPr>
              <w:spacing w:line="276" w:lineRule="auto"/>
              <w:ind w:firstLine="0"/>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 xml:space="preserve">Year </w:t>
            </w:r>
            <w:r w:rsidR="008B045F" w:rsidRPr="009B2C75">
              <w:rPr>
                <w:sz w:val="18"/>
                <w:szCs w:val="18"/>
              </w:rPr>
              <w:t>joined:</w:t>
            </w:r>
            <w:r w:rsidRPr="009B2C75">
              <w:rPr>
                <w:sz w:val="18"/>
                <w:szCs w:val="18"/>
              </w:rPr>
              <w:t xml:space="preserve"> 1964</w:t>
            </w:r>
          </w:p>
          <w:p w14:paraId="1175FC67"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p w14:paraId="7660BB1B" w14:textId="77777777" w:rsidR="00762802" w:rsidRPr="009B2C75" w:rsidRDefault="00762802" w:rsidP="00762802">
            <w:pPr>
              <w:spacing w:line="276" w:lineRule="auto"/>
              <w:jc w:val="center"/>
              <w:cnfStyle w:val="000000100000" w:firstRow="0" w:lastRow="0" w:firstColumn="0" w:lastColumn="0" w:oddVBand="0" w:evenVBand="0" w:oddHBand="1" w:evenHBand="0" w:firstRowFirstColumn="0" w:firstRowLastColumn="0" w:lastRowFirstColumn="0" w:lastRowLastColumn="0"/>
              <w:rPr>
                <w:b/>
                <w:bCs/>
                <w:sz w:val="18"/>
                <w:szCs w:val="18"/>
              </w:rPr>
            </w:pPr>
          </w:p>
          <w:p w14:paraId="77F6E3C8" w14:textId="77777777" w:rsidR="00762802" w:rsidRPr="009B2C75" w:rsidRDefault="00762802" w:rsidP="00762802">
            <w:pPr>
              <w:spacing w:line="276" w:lineRule="auto"/>
              <w:jc w:val="center"/>
              <w:cnfStyle w:val="000000100000" w:firstRow="0" w:lastRow="0" w:firstColumn="0" w:lastColumn="0" w:oddVBand="0" w:evenVBand="0" w:oddHBand="1" w:evenHBand="0" w:firstRowFirstColumn="0" w:firstRowLastColumn="0" w:lastRowFirstColumn="0" w:lastRowLastColumn="0"/>
              <w:rPr>
                <w:b/>
                <w:bCs/>
                <w:sz w:val="18"/>
                <w:szCs w:val="18"/>
              </w:rPr>
            </w:pPr>
          </w:p>
        </w:tc>
      </w:tr>
      <w:tr w:rsidR="00762802" w:rsidRPr="009B2C75" w14:paraId="54DCC3B8" w14:textId="77777777" w:rsidTr="00357240">
        <w:trPr>
          <w:trHeight w:val="159"/>
          <w:jc w:val="center"/>
        </w:trPr>
        <w:tc>
          <w:tcPr>
            <w:cnfStyle w:val="001000000000" w:firstRow="0" w:lastRow="0" w:firstColumn="1" w:lastColumn="0" w:oddVBand="0" w:evenVBand="0" w:oddHBand="0" w:evenHBand="0" w:firstRowFirstColumn="0" w:firstRowLastColumn="0" w:lastRowFirstColumn="0" w:lastRowLastColumn="0"/>
            <w:tcW w:w="3002" w:type="pct"/>
          </w:tcPr>
          <w:p w14:paraId="1973A591" w14:textId="77777777" w:rsidR="00762802" w:rsidRPr="00762802" w:rsidRDefault="00762802" w:rsidP="00762802">
            <w:pPr>
              <w:spacing w:line="276" w:lineRule="auto"/>
              <w:ind w:firstLine="0"/>
              <w:rPr>
                <w:rFonts w:eastAsia="Aptos"/>
                <w:iCs/>
                <w:kern w:val="0"/>
                <w:sz w:val="18"/>
                <w:szCs w:val="18"/>
                <w:lang w:val="en-ID" w:eastAsia="en-PH"/>
                <w14:ligatures w14:val="none"/>
              </w:rPr>
            </w:pPr>
            <w:r w:rsidRPr="00762802">
              <w:rPr>
                <w:rFonts w:eastAsia="Aptos"/>
                <w:iCs/>
                <w:kern w:val="0"/>
                <w:sz w:val="18"/>
                <w:szCs w:val="18"/>
                <w:lang w:val="en-ID" w:eastAsia="en-PH"/>
                <w14:ligatures w14:val="none"/>
              </w:rPr>
              <w:t>Climate Change-related instruments</w:t>
            </w:r>
          </w:p>
          <w:p w14:paraId="04A35EDB" w14:textId="77777777" w:rsidR="00762802" w:rsidRPr="00762802" w:rsidRDefault="00762802" w:rsidP="00762802">
            <w:pPr>
              <w:spacing w:line="276" w:lineRule="auto"/>
              <w:rPr>
                <w:rFonts w:eastAsia="Aptos"/>
                <w:b w:val="0"/>
                <w:bCs w:val="0"/>
                <w:iCs/>
                <w:kern w:val="0"/>
                <w:sz w:val="18"/>
                <w:szCs w:val="18"/>
                <w:lang w:val="en-ID" w:eastAsia="en-PH"/>
                <w14:ligatures w14:val="none"/>
              </w:rPr>
            </w:pPr>
          </w:p>
          <w:p w14:paraId="0A7AAD5C"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United Nations Framework Convention on Climate Change (UNFCCC)</w:t>
            </w:r>
          </w:p>
          <w:p w14:paraId="1F5965EF"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Kyoto Protocol</w:t>
            </w:r>
          </w:p>
          <w:p w14:paraId="43A84E8D"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Paris Agreement</w:t>
            </w:r>
          </w:p>
          <w:p w14:paraId="2ADA5110" w14:textId="77777777" w:rsidR="00762802" w:rsidRPr="00762802" w:rsidRDefault="00762802" w:rsidP="00762802">
            <w:pPr>
              <w:spacing w:line="276" w:lineRule="auto"/>
              <w:rPr>
                <w:rFonts w:eastAsia="Aptos"/>
                <w:b w:val="0"/>
                <w:bCs w:val="0"/>
                <w:iCs/>
                <w:kern w:val="0"/>
                <w:sz w:val="18"/>
                <w:szCs w:val="18"/>
                <w:lang w:val="en-ID" w:eastAsia="en-PH"/>
                <w14:ligatures w14:val="none"/>
              </w:rPr>
            </w:pPr>
          </w:p>
        </w:tc>
        <w:tc>
          <w:tcPr>
            <w:tcW w:w="1998" w:type="pct"/>
          </w:tcPr>
          <w:p w14:paraId="1464A47D"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7407026F" w14:textId="77777777" w:rsidR="00762802" w:rsidRPr="009B2C75" w:rsidRDefault="00762802" w:rsidP="00762802">
            <w:pPr>
              <w:spacing w:line="276" w:lineRule="auto"/>
              <w:cnfStyle w:val="000000000000" w:firstRow="0" w:lastRow="0" w:firstColumn="0" w:lastColumn="0" w:oddVBand="0" w:evenVBand="0" w:oddHBand="0" w:evenHBand="0" w:firstRowFirstColumn="0" w:firstRowLastColumn="0" w:lastRowFirstColumn="0" w:lastRowLastColumn="0"/>
              <w:rPr>
                <w:sz w:val="18"/>
                <w:szCs w:val="18"/>
              </w:rPr>
            </w:pPr>
          </w:p>
          <w:p w14:paraId="4BF550EA" w14:textId="6AF84761"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2 August 1994</w:t>
            </w:r>
          </w:p>
          <w:p w14:paraId="1D2DECC3" w14:textId="77777777" w:rsidR="00762802" w:rsidRPr="009B2C75" w:rsidRDefault="00762802"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 20 November 2003</w:t>
            </w:r>
          </w:p>
          <w:p w14:paraId="05E0C0D2" w14:textId="432326B5" w:rsidR="00762802" w:rsidRPr="009B2C75" w:rsidRDefault="008B045F" w:rsidP="00762802">
            <w:pPr>
              <w:spacing w:line="276" w:lineRule="auto"/>
              <w:ind w:firstLine="0"/>
              <w:cnfStyle w:val="000000000000" w:firstRow="0" w:lastRow="0" w:firstColumn="0" w:lastColumn="0" w:oddVBand="0" w:evenVBand="0" w:oddHBand="0" w:evenHBand="0" w:firstRowFirstColumn="0" w:firstRowLastColumn="0" w:lastRowFirstColumn="0" w:lastRowLastColumn="0"/>
              <w:rPr>
                <w:sz w:val="18"/>
                <w:szCs w:val="18"/>
              </w:rPr>
            </w:pPr>
            <w:r w:rsidRPr="009B2C75">
              <w:rPr>
                <w:sz w:val="18"/>
                <w:szCs w:val="18"/>
              </w:rPr>
              <w:t>Ratified:</w:t>
            </w:r>
            <w:r w:rsidR="00762802" w:rsidRPr="009B2C75">
              <w:rPr>
                <w:sz w:val="18"/>
                <w:szCs w:val="18"/>
              </w:rPr>
              <w:t xml:space="preserve"> 23 March 2017</w:t>
            </w:r>
          </w:p>
        </w:tc>
      </w:tr>
      <w:tr w:rsidR="00762802" w:rsidRPr="009B2C75" w14:paraId="25A5F541" w14:textId="77777777" w:rsidTr="00357240">
        <w:trPr>
          <w:cnfStyle w:val="000000100000" w:firstRow="0" w:lastRow="0" w:firstColumn="0" w:lastColumn="0" w:oddVBand="0" w:evenVBand="0" w:oddHBand="1" w:evenHBand="0" w:firstRowFirstColumn="0" w:firstRowLastColumn="0" w:lastRowFirstColumn="0" w:lastRowLastColumn="0"/>
          <w:trHeight w:val="1567"/>
          <w:jc w:val="center"/>
        </w:trPr>
        <w:tc>
          <w:tcPr>
            <w:cnfStyle w:val="001000000000" w:firstRow="0" w:lastRow="0" w:firstColumn="1" w:lastColumn="0" w:oddVBand="0" w:evenVBand="0" w:oddHBand="0" w:evenHBand="0" w:firstRowFirstColumn="0" w:firstRowLastColumn="0" w:lastRowFirstColumn="0" w:lastRowLastColumn="0"/>
            <w:tcW w:w="3002" w:type="pct"/>
            <w:tcBorders>
              <w:top w:val="none" w:sz="0" w:space="0" w:color="auto"/>
              <w:bottom w:val="none" w:sz="0" w:space="0" w:color="auto"/>
            </w:tcBorders>
          </w:tcPr>
          <w:p w14:paraId="344D3F7D" w14:textId="77777777" w:rsidR="00762802" w:rsidRPr="00762802" w:rsidRDefault="00762802" w:rsidP="00762802">
            <w:pPr>
              <w:spacing w:line="276" w:lineRule="auto"/>
              <w:ind w:firstLine="0"/>
              <w:rPr>
                <w:rFonts w:eastAsia="Aptos"/>
                <w:iCs/>
                <w:kern w:val="0"/>
                <w:sz w:val="18"/>
                <w:szCs w:val="18"/>
                <w:lang w:val="en-ID" w:eastAsia="en-PH"/>
                <w14:ligatures w14:val="none"/>
              </w:rPr>
            </w:pPr>
            <w:r w:rsidRPr="00762802">
              <w:rPr>
                <w:rFonts w:eastAsia="Aptos"/>
                <w:iCs/>
                <w:kern w:val="0"/>
                <w:sz w:val="18"/>
                <w:szCs w:val="18"/>
                <w:lang w:val="en-ID" w:eastAsia="en-PH"/>
                <w14:ligatures w14:val="none"/>
              </w:rPr>
              <w:t xml:space="preserve">Sustainable Development Goals </w:t>
            </w:r>
          </w:p>
          <w:p w14:paraId="1289697E" w14:textId="77777777" w:rsidR="00762802" w:rsidRPr="00762802" w:rsidRDefault="00762802" w:rsidP="00762802">
            <w:pPr>
              <w:spacing w:line="276" w:lineRule="auto"/>
              <w:rPr>
                <w:rFonts w:eastAsia="Aptos"/>
                <w:b w:val="0"/>
                <w:bCs w:val="0"/>
                <w:iCs/>
                <w:kern w:val="0"/>
                <w:sz w:val="18"/>
                <w:szCs w:val="18"/>
                <w:lang w:val="en-ID" w:eastAsia="en-PH"/>
                <w14:ligatures w14:val="none"/>
              </w:rPr>
            </w:pPr>
          </w:p>
          <w:p w14:paraId="3CA0BA66"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 xml:space="preserve">2030 Agenda for Sustainable Development </w:t>
            </w:r>
          </w:p>
          <w:p w14:paraId="7D1BBAA9" w14:textId="77777777" w:rsidR="00762802" w:rsidRPr="00762802" w:rsidRDefault="00762802" w:rsidP="00762802">
            <w:pPr>
              <w:spacing w:line="276" w:lineRule="auto"/>
              <w:ind w:firstLine="0"/>
              <w:rPr>
                <w:rFonts w:eastAsia="Aptos"/>
                <w:b w:val="0"/>
                <w:bCs w:val="0"/>
                <w:iCs/>
                <w:kern w:val="0"/>
                <w:sz w:val="18"/>
                <w:szCs w:val="18"/>
                <w:lang w:val="en-ID" w:eastAsia="en-PH"/>
                <w14:ligatures w14:val="none"/>
              </w:rPr>
            </w:pPr>
            <w:r w:rsidRPr="00762802">
              <w:rPr>
                <w:rFonts w:eastAsia="Aptos"/>
                <w:b w:val="0"/>
                <w:bCs w:val="0"/>
                <w:iCs/>
                <w:kern w:val="0"/>
                <w:sz w:val="18"/>
                <w:szCs w:val="18"/>
                <w:lang w:val="en-ID" w:eastAsia="en-PH"/>
                <w14:ligatures w14:val="none"/>
              </w:rPr>
              <w:t>(UN General Assembly Resolution A/RES/70/1)</w:t>
            </w:r>
          </w:p>
          <w:p w14:paraId="2BD4DCE8" w14:textId="77777777" w:rsidR="00762802" w:rsidRPr="00762802" w:rsidRDefault="00762802" w:rsidP="00762802">
            <w:pPr>
              <w:spacing w:line="276" w:lineRule="auto"/>
              <w:rPr>
                <w:rFonts w:eastAsia="Aptos"/>
                <w:b w:val="0"/>
                <w:bCs w:val="0"/>
                <w:iCs/>
                <w:kern w:val="0"/>
                <w:sz w:val="18"/>
                <w:szCs w:val="18"/>
                <w:lang w:val="en-ID" w:eastAsia="en-PH"/>
                <w14:ligatures w14:val="none"/>
              </w:rPr>
            </w:pPr>
          </w:p>
        </w:tc>
        <w:tc>
          <w:tcPr>
            <w:tcW w:w="1998" w:type="pct"/>
            <w:tcBorders>
              <w:top w:val="none" w:sz="0" w:space="0" w:color="auto"/>
              <w:bottom w:val="none" w:sz="0" w:space="0" w:color="auto"/>
            </w:tcBorders>
          </w:tcPr>
          <w:p w14:paraId="202B7F55"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p w14:paraId="3FC0AB8F" w14:textId="77777777" w:rsidR="00762802" w:rsidRPr="009B2C75" w:rsidRDefault="00762802" w:rsidP="00762802">
            <w:pPr>
              <w:spacing w:line="276" w:lineRule="auto"/>
              <w:cnfStyle w:val="000000100000" w:firstRow="0" w:lastRow="0" w:firstColumn="0" w:lastColumn="0" w:oddVBand="0" w:evenVBand="0" w:oddHBand="1" w:evenHBand="0" w:firstRowFirstColumn="0" w:firstRowLastColumn="0" w:lastRowFirstColumn="0" w:lastRowLastColumn="0"/>
              <w:rPr>
                <w:sz w:val="18"/>
                <w:szCs w:val="18"/>
              </w:rPr>
            </w:pPr>
          </w:p>
          <w:p w14:paraId="6B8F0901" w14:textId="14766F97" w:rsidR="00762802" w:rsidRPr="009B2C75" w:rsidRDefault="00762802" w:rsidP="00E001C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B2C75">
              <w:rPr>
                <w:sz w:val="18"/>
                <w:szCs w:val="18"/>
              </w:rPr>
              <w:t>Adopted: 25 September 2015</w:t>
            </w:r>
            <w:r w:rsidRPr="009B2C75">
              <w:rPr>
                <w:sz w:val="18"/>
                <w:szCs w:val="18"/>
              </w:rPr>
              <w:br/>
              <w:t>PH joined all UN Member States in unanimously adopting the 2030 Agenda for Sustainable Development</w:t>
            </w:r>
          </w:p>
        </w:tc>
      </w:tr>
    </w:tbl>
    <w:p w14:paraId="5AF7ED03" w14:textId="2A635C3C" w:rsidR="008B045F" w:rsidRPr="00D55B7A" w:rsidRDefault="008B045F" w:rsidP="008B045F">
      <w:pPr>
        <w:pStyle w:val="Heading4"/>
        <w:spacing w:before="240"/>
        <w:rPr>
          <w:rFonts w:eastAsia="Aptos"/>
          <w:lang w:val="en-ID" w:eastAsia="en-PH"/>
        </w:rPr>
      </w:pPr>
      <w:r>
        <w:rPr>
          <w:rFonts w:eastAsia="Aptos"/>
          <w:lang w:val="en-ID" w:eastAsia="en-PH"/>
        </w:rPr>
        <w:t>6.2.3.2. Regional Legal/Policy Frameworks and Forums</w:t>
      </w:r>
    </w:p>
    <w:p w14:paraId="1D1B1EB7" w14:textId="1A39BC4C" w:rsidR="008B045F" w:rsidRPr="00D55B7A" w:rsidRDefault="008B045F" w:rsidP="008B045F">
      <w:pPr>
        <w:spacing w:after="240" w:line="276" w:lineRule="auto"/>
        <w:rPr>
          <w:rFonts w:eastAsia="Aptos"/>
          <w:iCs/>
          <w:lang w:val="en-ID" w:eastAsia="en-PH"/>
        </w:rPr>
      </w:pPr>
      <w:r w:rsidRPr="00D55B7A">
        <w:rPr>
          <w:rFonts w:eastAsia="Aptos"/>
          <w:iCs/>
          <w:lang w:val="en-ID" w:eastAsia="en-PH"/>
        </w:rPr>
        <w:t xml:space="preserve">At the ASEAN level, there is an </w:t>
      </w:r>
      <w:r w:rsidRPr="00D55B7A">
        <w:rPr>
          <w:rFonts w:eastAsia="Aptos"/>
          <w:b/>
          <w:bCs/>
          <w:iCs/>
          <w:lang w:val="en-ID" w:eastAsia="en-PH"/>
        </w:rPr>
        <w:t>ASEAN Working Group on the Coastal and Marine Environment, (AWGCME)</w:t>
      </w:r>
      <w:r w:rsidRPr="00D55B7A">
        <w:rPr>
          <w:rFonts w:eastAsia="Aptos"/>
          <w:iCs/>
          <w:lang w:val="en-ID" w:eastAsia="en-PH"/>
        </w:rPr>
        <w:t xml:space="preserve">, that works on coastal and marine environment in coordination with </w:t>
      </w:r>
      <w:r>
        <w:rPr>
          <w:rFonts w:eastAsia="Aptos"/>
          <w:iCs/>
          <w:lang w:val="en-ID" w:eastAsia="en-PH"/>
        </w:rPr>
        <w:t xml:space="preserve">the </w:t>
      </w:r>
      <w:r w:rsidRPr="00D55B7A">
        <w:rPr>
          <w:rFonts w:eastAsia="Aptos"/>
          <w:iCs/>
          <w:lang w:val="en-ID" w:eastAsia="en-PH"/>
        </w:rPr>
        <w:t xml:space="preserve">ASEAN Centre for Biodiversity (ACB) and the ASEAN Working Group on Nature Conservation and Biodiversity (AWGNCB), as well as other working groups and sectoral bodies. The AWGCME will oversee the planning, technical and implementation issues under this Strategic Priority Area, while the ASEAN Environment Ministers and the ASEAN Senior Officials on Environment </w:t>
      </w:r>
      <w:r w:rsidRPr="009B2C75">
        <w:rPr>
          <w:rFonts w:eastAsia="Aptos"/>
          <w:iCs/>
          <w:lang w:val="en-ID" w:eastAsia="en-PH"/>
        </w:rPr>
        <w:t>will</w:t>
      </w:r>
      <w:r w:rsidRPr="00D55B7A">
        <w:rPr>
          <w:rFonts w:eastAsia="Aptos"/>
          <w:iCs/>
          <w:lang w:val="en-ID" w:eastAsia="en-PH"/>
        </w:rPr>
        <w:t xml:space="preserve"> provide policy and strategic guidance for its work</w:t>
      </w:r>
      <w:r w:rsidR="00E001C7">
        <w:rPr>
          <w:rFonts w:eastAsia="Aptos"/>
          <w:iCs/>
          <w:lang w:val="en-ID" w:eastAsia="en-PH"/>
        </w:rPr>
        <w:t xml:space="preserve"> </w:t>
      </w:r>
      <w:r>
        <w:rPr>
          <w:rFonts w:eastAsia="Aptos"/>
          <w:iCs/>
          <w:lang w:val="en-ID" w:eastAsia="en-PH"/>
        </w:rPr>
        <w:t>(ASEAN Secretariat, n.d.)</w:t>
      </w:r>
      <w:r w:rsidRPr="00D55B7A">
        <w:rPr>
          <w:rFonts w:eastAsia="Aptos"/>
          <w:iCs/>
          <w:lang w:val="en-ID" w:eastAsia="en-PH"/>
        </w:rPr>
        <w:t>.</w:t>
      </w:r>
    </w:p>
    <w:p w14:paraId="22BCA935" w14:textId="77777777" w:rsidR="008B045F" w:rsidRDefault="008B045F" w:rsidP="008B045F">
      <w:pPr>
        <w:spacing w:after="240" w:line="276" w:lineRule="auto"/>
        <w:rPr>
          <w:rFonts w:eastAsia="Aptos"/>
          <w:iCs/>
          <w:lang w:val="en-ID" w:eastAsia="en-PH"/>
        </w:rPr>
      </w:pPr>
      <w:r w:rsidRPr="00D55B7A">
        <w:rPr>
          <w:rFonts w:eastAsia="Aptos"/>
          <w:iCs/>
          <w:lang w:val="en-ID" w:eastAsia="en-PH"/>
        </w:rPr>
        <w:t xml:space="preserve">Another major ASEAN initiative of relevance to this review is the </w:t>
      </w:r>
      <w:r w:rsidRPr="00D55B7A">
        <w:rPr>
          <w:rFonts w:eastAsia="Aptos"/>
          <w:b/>
          <w:bCs/>
          <w:iCs/>
          <w:lang w:val="en-ID" w:eastAsia="en-PH"/>
        </w:rPr>
        <w:t>ASEAN Leaders’ Declaration on the Blue Economy</w:t>
      </w:r>
      <w:r>
        <w:rPr>
          <w:rFonts w:eastAsia="Aptos"/>
          <w:b/>
          <w:bCs/>
          <w:iCs/>
          <w:lang w:val="en-ID" w:eastAsia="en-PH"/>
        </w:rPr>
        <w:t xml:space="preserve"> </w:t>
      </w:r>
      <w:r>
        <w:rPr>
          <w:rFonts w:eastAsia="Aptos"/>
          <w:iCs/>
          <w:lang w:val="en-ID" w:eastAsia="en-PH"/>
        </w:rPr>
        <w:t>(ASEAN Secretariat, 2021)</w:t>
      </w:r>
      <w:r w:rsidRPr="00D55B7A">
        <w:rPr>
          <w:rFonts w:eastAsia="Aptos"/>
          <w:iCs/>
          <w:lang w:val="en-ID" w:eastAsia="en-PH"/>
        </w:rPr>
        <w:t xml:space="preserve">, issued in the middle of the pandemic, in 2021. </w:t>
      </w:r>
      <w:r>
        <w:rPr>
          <w:rFonts w:eastAsia="Aptos"/>
          <w:iCs/>
          <w:lang w:val="en-ID" w:eastAsia="en-PH"/>
        </w:rPr>
        <w:t xml:space="preserve">This was further elaborated </w:t>
      </w:r>
      <w:r w:rsidRPr="00D55B7A">
        <w:rPr>
          <w:rFonts w:eastAsia="Aptos"/>
          <w:iCs/>
          <w:lang w:val="en-ID" w:eastAsia="en-PH"/>
        </w:rPr>
        <w:t xml:space="preserve">in 2023 during the Chairmanship of Indonesia, where the </w:t>
      </w:r>
      <w:r w:rsidRPr="00D55B7A">
        <w:rPr>
          <w:rFonts w:eastAsia="Aptos"/>
          <w:b/>
          <w:bCs/>
          <w:iCs/>
          <w:lang w:val="en-ID" w:eastAsia="en-PH"/>
        </w:rPr>
        <w:t>ASEAN Blue Economy Framework</w:t>
      </w:r>
      <w:r>
        <w:rPr>
          <w:rFonts w:eastAsia="Aptos"/>
          <w:b/>
          <w:bCs/>
          <w:iCs/>
          <w:lang w:val="en-ID" w:eastAsia="en-PH"/>
        </w:rPr>
        <w:t xml:space="preserve"> </w:t>
      </w:r>
      <w:r>
        <w:rPr>
          <w:rFonts w:eastAsia="Aptos"/>
          <w:iCs/>
          <w:lang w:val="en-ID" w:eastAsia="en-PH"/>
        </w:rPr>
        <w:t>(ASEAN Secretariat, 2023)</w:t>
      </w:r>
      <w:r w:rsidRPr="00D55B7A">
        <w:rPr>
          <w:rFonts w:eastAsia="Aptos"/>
          <w:iCs/>
          <w:lang w:val="en-ID" w:eastAsia="en-PH"/>
        </w:rPr>
        <w:t xml:space="preserve"> was formulated, and there, the </w:t>
      </w:r>
      <w:r w:rsidRPr="00D55B7A">
        <w:rPr>
          <w:rFonts w:eastAsia="Aptos"/>
          <w:b/>
          <w:bCs/>
          <w:iCs/>
          <w:lang w:val="en-ID" w:eastAsia="en-PH"/>
        </w:rPr>
        <w:t>ASEAN Blue Economy Vision</w:t>
      </w:r>
      <w:r w:rsidRPr="00D55B7A">
        <w:rPr>
          <w:rFonts w:eastAsia="Aptos"/>
          <w:iCs/>
          <w:lang w:val="en-ID" w:eastAsia="en-PH"/>
        </w:rPr>
        <w:t xml:space="preserve"> was articulated.</w:t>
      </w:r>
    </w:p>
    <w:p w14:paraId="2AE59A14" w14:textId="77777777" w:rsidR="008B045F" w:rsidRPr="008B045F" w:rsidRDefault="008B045F" w:rsidP="008B045F">
      <w:pPr>
        <w:spacing w:after="240" w:line="276" w:lineRule="auto"/>
        <w:ind w:firstLine="0"/>
        <w:rPr>
          <w:rFonts w:eastAsia="Aptos"/>
          <w:iCs/>
          <w:u w:val="single"/>
          <w:lang w:val="en-ID" w:eastAsia="en-PH"/>
        </w:rPr>
      </w:pPr>
      <w:r w:rsidRPr="008B045F">
        <w:rPr>
          <w:rFonts w:eastAsia="Aptos"/>
          <w:iCs/>
          <w:u w:val="single"/>
          <w:lang w:val="en-ID" w:eastAsia="en-PH"/>
        </w:rPr>
        <w:t xml:space="preserve">Transboundary Arrangements     </w:t>
      </w:r>
    </w:p>
    <w:p w14:paraId="06A87415" w14:textId="369AB9F6" w:rsidR="00BC4997" w:rsidRPr="00D55B7A" w:rsidRDefault="00BC4997" w:rsidP="00BC4997">
      <w:pPr>
        <w:spacing w:after="240" w:line="276" w:lineRule="auto"/>
        <w:rPr>
          <w:rFonts w:eastAsia="Aptos"/>
          <w:iCs/>
          <w:lang w:val="en-ID" w:eastAsia="en-PH"/>
        </w:rPr>
      </w:pPr>
      <w:r>
        <w:rPr>
          <w:rFonts w:eastAsia="Aptos"/>
          <w:iCs/>
          <w:lang w:val="en-ID" w:eastAsia="en-PH"/>
        </w:rPr>
        <w:t>T</w:t>
      </w:r>
      <w:r w:rsidRPr="00D55B7A">
        <w:rPr>
          <w:rFonts w:eastAsia="Aptos"/>
          <w:iCs/>
          <w:lang w:val="en-ID" w:eastAsia="en-PH"/>
        </w:rPr>
        <w:t xml:space="preserve">he Philippines is also active in </w:t>
      </w:r>
      <w:r w:rsidRPr="00D55B7A">
        <w:rPr>
          <w:rFonts w:eastAsia="Aptos"/>
          <w:b/>
          <w:bCs/>
          <w:iCs/>
          <w:lang w:val="en-ID" w:eastAsia="en-PH"/>
        </w:rPr>
        <w:t>PEMSEA</w:t>
      </w:r>
      <w:r w:rsidRPr="00D55B7A">
        <w:rPr>
          <w:rFonts w:eastAsia="Aptos"/>
          <w:iCs/>
          <w:lang w:val="en-ID" w:eastAsia="en-PH"/>
        </w:rPr>
        <w:t xml:space="preserve">, </w:t>
      </w:r>
      <w:r w:rsidRPr="00D55B7A">
        <w:rPr>
          <w:rFonts w:eastAsia="Aptos"/>
          <w:b/>
          <w:bCs/>
          <w:iCs/>
          <w:lang w:val="en-ID" w:eastAsia="en-PH"/>
        </w:rPr>
        <w:t>COBSEA</w:t>
      </w:r>
      <w:r w:rsidRPr="00D55B7A">
        <w:rPr>
          <w:rFonts w:eastAsia="Aptos"/>
          <w:iCs/>
          <w:lang w:val="en-ID" w:eastAsia="en-PH"/>
        </w:rPr>
        <w:t xml:space="preserve"> and the </w:t>
      </w:r>
      <w:r w:rsidRPr="00D55B7A">
        <w:rPr>
          <w:rFonts w:eastAsia="Aptos"/>
          <w:b/>
          <w:bCs/>
          <w:iCs/>
          <w:lang w:val="en-ID" w:eastAsia="en-PH"/>
        </w:rPr>
        <w:t>Coral Triangle Initiative</w:t>
      </w:r>
      <w:r w:rsidRPr="00D55B7A">
        <w:rPr>
          <w:rFonts w:eastAsia="Aptos"/>
          <w:iCs/>
          <w:lang w:val="en-ID" w:eastAsia="en-PH"/>
        </w:rPr>
        <w:t>, in addition to this current Project, the SCS-SAP, to pursue its constant efforts to ensure the effective conservation of this coastal and marine resources.</w:t>
      </w:r>
    </w:p>
    <w:p w14:paraId="4350863E" w14:textId="1173940C" w:rsidR="00D10FD7" w:rsidRDefault="008B045F" w:rsidP="008B045F">
      <w:pPr>
        <w:pStyle w:val="Heading4"/>
      </w:pPr>
      <w:r>
        <w:t>6.2.3.3 National and Subnational Legislation and Policies</w:t>
      </w:r>
    </w:p>
    <w:p w14:paraId="750C90B8" w14:textId="61989BB8" w:rsidR="00BC4997" w:rsidRPr="00D55B7A" w:rsidRDefault="00BC4997" w:rsidP="00BC4997">
      <w:pPr>
        <w:spacing w:after="240" w:line="276" w:lineRule="auto"/>
        <w:rPr>
          <w:rFonts w:eastAsia="Aptos"/>
          <w:iCs/>
          <w:lang w:val="en-ID" w:eastAsia="en-PH"/>
        </w:rPr>
      </w:pPr>
      <w:r w:rsidRPr="00D55B7A">
        <w:rPr>
          <w:rFonts w:eastAsia="Aptos"/>
          <w:iCs/>
          <w:lang w:val="en-ID" w:eastAsia="en-PH"/>
        </w:rPr>
        <w:t xml:space="preserve">At the outset, a key document in relation to coastal ecosystems management is the </w:t>
      </w:r>
      <w:r w:rsidRPr="00D55B7A">
        <w:rPr>
          <w:rFonts w:eastAsia="Aptos"/>
          <w:b/>
          <w:bCs/>
          <w:iCs/>
          <w:lang w:val="en-ID" w:eastAsia="en-PH"/>
        </w:rPr>
        <w:t>1987 Philippine Constitution</w:t>
      </w:r>
      <w:r w:rsidRPr="00D55B7A">
        <w:rPr>
          <w:rFonts w:eastAsia="Aptos"/>
          <w:iCs/>
          <w:lang w:val="en-ID" w:eastAsia="en-PH"/>
        </w:rPr>
        <w:t>, which</w:t>
      </w:r>
      <w:r>
        <w:rPr>
          <w:rFonts w:eastAsia="Aptos"/>
          <w:iCs/>
          <w:lang w:val="en-ID" w:eastAsia="en-PH"/>
        </w:rPr>
        <w:t xml:space="preserve"> </w:t>
      </w:r>
      <w:r w:rsidRPr="00D55B7A">
        <w:rPr>
          <w:rFonts w:eastAsia="Aptos"/>
          <w:iCs/>
          <w:lang w:val="en-ID" w:eastAsia="en-PH"/>
        </w:rPr>
        <w:t>declares that “the State shall protect the nation’s marine wealth in its archipelagic waters, territorial sea, and exclusive economic zone, and reserve its use and enjoyment exclusively to Filipino citizens”</w:t>
      </w:r>
      <w:r>
        <w:rPr>
          <w:rFonts w:eastAsia="Aptos"/>
          <w:iCs/>
          <w:lang w:val="en-ID" w:eastAsia="en-PH"/>
        </w:rPr>
        <w:t xml:space="preserve"> (Official Gazette, n.d.)</w:t>
      </w:r>
      <w:r w:rsidRPr="00D55B7A">
        <w:rPr>
          <w:rFonts w:eastAsia="Aptos"/>
          <w:iCs/>
          <w:lang w:val="en-ID" w:eastAsia="en-PH"/>
        </w:rPr>
        <w:t xml:space="preserve">. This is further qualified by </w:t>
      </w:r>
      <w:r>
        <w:rPr>
          <w:rFonts w:eastAsia="Aptos"/>
          <w:iCs/>
          <w:lang w:val="en-ID" w:eastAsia="en-PH"/>
        </w:rPr>
        <w:t>a mandate</w:t>
      </w:r>
      <w:r w:rsidRPr="00D55B7A">
        <w:rPr>
          <w:rFonts w:eastAsia="Aptos"/>
          <w:iCs/>
          <w:lang w:val="en-ID" w:eastAsia="en-PH"/>
        </w:rPr>
        <w:t xml:space="preserve"> to Congress to pass a law which may “allow small-scale utilization of natural resources by Filipino citizens, as well as cooperative fish farming, with priority to subsistence fishermen and </w:t>
      </w:r>
      <w:proofErr w:type="spellStart"/>
      <w:r w:rsidRPr="00D55B7A">
        <w:rPr>
          <w:rFonts w:eastAsia="Aptos"/>
          <w:iCs/>
          <w:lang w:val="en-ID" w:eastAsia="en-PH"/>
        </w:rPr>
        <w:t>fishworkers</w:t>
      </w:r>
      <w:proofErr w:type="spellEnd"/>
      <w:r w:rsidRPr="00D55B7A">
        <w:rPr>
          <w:rFonts w:eastAsia="Aptos"/>
          <w:iCs/>
          <w:lang w:val="en-ID" w:eastAsia="en-PH"/>
        </w:rPr>
        <w:t xml:space="preserve"> in rivers, lakes, bays, and lagoons”</w:t>
      </w:r>
      <w:r w:rsidR="004C3B63">
        <w:rPr>
          <w:rFonts w:eastAsia="Aptos"/>
          <w:iCs/>
          <w:lang w:val="en-ID" w:eastAsia="en-PH"/>
        </w:rPr>
        <w:t xml:space="preserve"> </w:t>
      </w:r>
      <w:r>
        <w:rPr>
          <w:rFonts w:eastAsia="Aptos"/>
          <w:iCs/>
          <w:lang w:val="en-ID" w:eastAsia="en-PH"/>
        </w:rPr>
        <w:t>(</w:t>
      </w:r>
      <w:r>
        <w:rPr>
          <w:rFonts w:eastAsia="Aptos"/>
          <w:i/>
          <w:lang w:val="en-ID" w:eastAsia="en-PH"/>
        </w:rPr>
        <w:t>Ibid.</w:t>
      </w:r>
      <w:r>
        <w:rPr>
          <w:rFonts w:eastAsia="Aptos"/>
          <w:iCs/>
          <w:lang w:val="en-ID" w:eastAsia="en-PH"/>
        </w:rPr>
        <w:t>)</w:t>
      </w:r>
      <w:r w:rsidRPr="00D55B7A">
        <w:rPr>
          <w:rFonts w:eastAsia="Aptos"/>
          <w:iCs/>
          <w:lang w:val="en-ID" w:eastAsia="en-PH"/>
        </w:rPr>
        <w:t>.</w:t>
      </w:r>
    </w:p>
    <w:p w14:paraId="0D55EF60" w14:textId="5F078BF1" w:rsidR="00BC4997" w:rsidRDefault="00BC4997" w:rsidP="00BC4997">
      <w:pPr>
        <w:spacing w:after="240" w:line="276" w:lineRule="auto"/>
        <w:rPr>
          <w:rFonts w:eastAsia="Aptos"/>
          <w:iCs/>
          <w:lang w:val="en-ID" w:eastAsia="en-PH"/>
        </w:rPr>
      </w:pPr>
      <w:r>
        <w:rPr>
          <w:rFonts w:eastAsia="Aptos"/>
          <w:iCs/>
          <w:lang w:val="en-ID" w:eastAsia="en-PH"/>
        </w:rPr>
        <w:lastRenderedPageBreak/>
        <w:t xml:space="preserve">The following </w:t>
      </w:r>
      <w:r w:rsidRPr="007C3BDA">
        <w:rPr>
          <w:rFonts w:eastAsia="Aptos"/>
          <w:b/>
          <w:bCs/>
          <w:iCs/>
          <w:lang w:val="en-ID" w:eastAsia="en-PH"/>
        </w:rPr>
        <w:t>Table 6.2</w:t>
      </w:r>
      <w:r>
        <w:rPr>
          <w:rFonts w:eastAsia="Aptos"/>
          <w:iCs/>
          <w:lang w:val="en-ID" w:eastAsia="en-PH"/>
        </w:rPr>
        <w:t xml:space="preserve"> lays out the key national laws and measures addressing coastal and marine resources management, including those that address fisheries and biodiversity conservation:</w:t>
      </w:r>
    </w:p>
    <w:p w14:paraId="074C01D8" w14:textId="37376216" w:rsidR="001A2CE1" w:rsidRPr="001A2CE1" w:rsidRDefault="001A2CE1" w:rsidP="001A2CE1">
      <w:pPr>
        <w:spacing w:line="276" w:lineRule="auto"/>
        <w:ind w:firstLine="0"/>
        <w:rPr>
          <w:rFonts w:eastAsia="Aptos"/>
          <w:iCs/>
          <w:sz w:val="18"/>
          <w:szCs w:val="18"/>
          <w:lang w:val="en-ID" w:eastAsia="en-PH"/>
        </w:rPr>
      </w:pPr>
      <w:r w:rsidRPr="001A2CE1">
        <w:rPr>
          <w:rFonts w:eastAsia="Aptos"/>
          <w:b/>
          <w:bCs/>
          <w:iCs/>
          <w:sz w:val="18"/>
          <w:szCs w:val="18"/>
          <w:lang w:val="en-ID" w:eastAsia="en-PH"/>
        </w:rPr>
        <w:t xml:space="preserve">Table 6.2 </w:t>
      </w:r>
      <w:r w:rsidRPr="001A2CE1">
        <w:rPr>
          <w:rFonts w:eastAsia="Aptos"/>
          <w:iCs/>
          <w:sz w:val="18"/>
          <w:szCs w:val="18"/>
          <w:lang w:val="en-ID" w:eastAsia="en-PH"/>
        </w:rPr>
        <w:t>Legislative and Policy Measures on Coastal and Marine Conservation and Management</w:t>
      </w:r>
    </w:p>
    <w:tbl>
      <w:tblPr>
        <w:tblStyle w:val="PlainTable21"/>
        <w:tblW w:w="0" w:type="auto"/>
        <w:tblBorders>
          <w:top w:val="single" w:sz="12" w:space="0" w:color="auto"/>
          <w:bottom w:val="single" w:sz="12" w:space="0" w:color="auto"/>
        </w:tblBorders>
        <w:tblLook w:val="04A0" w:firstRow="1" w:lastRow="0" w:firstColumn="1" w:lastColumn="0" w:noHBand="0" w:noVBand="1"/>
      </w:tblPr>
      <w:tblGrid>
        <w:gridCol w:w="4398"/>
        <w:gridCol w:w="4962"/>
      </w:tblGrid>
      <w:tr w:rsidR="00556B97" w:rsidRPr="00556B97" w14:paraId="170DDF68" w14:textId="77777777" w:rsidTr="001A2C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12" w:space="0" w:color="auto"/>
              <w:bottom w:val="single" w:sz="12" w:space="0" w:color="auto"/>
            </w:tcBorders>
          </w:tcPr>
          <w:p w14:paraId="1E7E7ADB" w14:textId="77777777" w:rsidR="00556B97" w:rsidRPr="00556B97" w:rsidRDefault="00556B97" w:rsidP="00556B97">
            <w:pPr>
              <w:spacing w:line="276" w:lineRule="auto"/>
              <w:ind w:firstLine="0"/>
              <w:jc w:val="center"/>
              <w:rPr>
                <w:rFonts w:eastAsia="Aptos"/>
                <w:iCs/>
                <w:color w:val="auto"/>
                <w:sz w:val="18"/>
                <w:szCs w:val="18"/>
                <w:lang w:val="en-ID" w:eastAsia="en-PH"/>
              </w:rPr>
            </w:pPr>
            <w:r w:rsidRPr="00556B97">
              <w:rPr>
                <w:rFonts w:eastAsia="Aptos"/>
                <w:iCs/>
                <w:color w:val="auto"/>
                <w:sz w:val="18"/>
                <w:szCs w:val="18"/>
                <w:lang w:val="en-ID" w:eastAsia="en-PH"/>
              </w:rPr>
              <w:t>Legislation/Policy Measure</w:t>
            </w:r>
          </w:p>
        </w:tc>
        <w:tc>
          <w:tcPr>
            <w:tcW w:w="0" w:type="auto"/>
            <w:tcBorders>
              <w:top w:val="single" w:sz="12" w:space="0" w:color="auto"/>
              <w:bottom w:val="single" w:sz="12" w:space="0" w:color="auto"/>
            </w:tcBorders>
          </w:tcPr>
          <w:p w14:paraId="753BED5C" w14:textId="77777777" w:rsidR="00556B97" w:rsidRPr="00556B97" w:rsidRDefault="00556B97" w:rsidP="00556B9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auto"/>
                <w:sz w:val="18"/>
                <w:szCs w:val="18"/>
                <w:lang w:val="en-ID" w:eastAsia="en-PH"/>
              </w:rPr>
            </w:pPr>
            <w:r w:rsidRPr="00556B97">
              <w:rPr>
                <w:rFonts w:eastAsia="Aptos"/>
                <w:iCs/>
                <w:color w:val="auto"/>
                <w:sz w:val="18"/>
                <w:szCs w:val="18"/>
                <w:lang w:val="en-ID" w:eastAsia="en-PH"/>
              </w:rPr>
              <w:t xml:space="preserve">Subject </w:t>
            </w:r>
          </w:p>
        </w:tc>
      </w:tr>
      <w:tr w:rsidR="00556B97" w:rsidRPr="00556B97" w14:paraId="5E8E3001" w14:textId="77777777" w:rsidTr="001A2C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12" w:space="0" w:color="auto"/>
              <w:bottom w:val="none" w:sz="0" w:space="0" w:color="auto"/>
            </w:tcBorders>
          </w:tcPr>
          <w:p w14:paraId="0A404B5D" w14:textId="77777777"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Fisheries Code (Republic Act 8550) 1998</w:t>
            </w:r>
          </w:p>
        </w:tc>
        <w:tc>
          <w:tcPr>
            <w:tcW w:w="0" w:type="auto"/>
            <w:tcBorders>
              <w:top w:val="single" w:sz="12" w:space="0" w:color="auto"/>
              <w:bottom w:val="none" w:sz="0" w:space="0" w:color="auto"/>
            </w:tcBorders>
          </w:tcPr>
          <w:p w14:paraId="5F97D333" w14:textId="3C536133" w:rsidR="00556B97" w:rsidRPr="00556B97" w:rsidRDefault="00556B97" w:rsidP="001A2CE1">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Aptos"/>
                <w:iCs/>
                <w:color w:val="auto"/>
                <w:sz w:val="18"/>
                <w:szCs w:val="18"/>
                <w:lang w:val="en-ID" w:eastAsia="en-PH"/>
              </w:rPr>
            </w:pPr>
            <w:r>
              <w:rPr>
                <w:rFonts w:eastAsia="Aptos"/>
                <w:iCs/>
                <w:color w:val="auto"/>
                <w:sz w:val="18"/>
                <w:szCs w:val="18"/>
                <w:lang w:val="en-ID" w:eastAsia="en-PH"/>
              </w:rPr>
              <w:t>-F</w:t>
            </w:r>
            <w:r w:rsidRPr="00556B97">
              <w:rPr>
                <w:rFonts w:eastAsia="Aptos"/>
                <w:iCs/>
                <w:color w:val="auto"/>
                <w:sz w:val="18"/>
                <w:szCs w:val="18"/>
                <w:lang w:val="en-ID" w:eastAsia="en-PH"/>
              </w:rPr>
              <w:t>isheries conservation and management</w:t>
            </w:r>
          </w:p>
        </w:tc>
      </w:tr>
      <w:tr w:rsidR="00556B97" w:rsidRPr="00556B97" w14:paraId="44F3E33B" w14:textId="77777777" w:rsidTr="001A2CE1">
        <w:tc>
          <w:tcPr>
            <w:cnfStyle w:val="001000000000" w:firstRow="0" w:lastRow="0" w:firstColumn="1" w:lastColumn="0" w:oddVBand="0" w:evenVBand="0" w:oddHBand="0" w:evenHBand="0" w:firstRowFirstColumn="0" w:firstRowLastColumn="0" w:lastRowFirstColumn="0" w:lastRowLastColumn="0"/>
            <w:tcW w:w="0" w:type="auto"/>
          </w:tcPr>
          <w:p w14:paraId="0FD48676" w14:textId="7400D959"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Fisheries Code amendment (Republic Act 10654) 2015</w:t>
            </w:r>
          </w:p>
        </w:tc>
        <w:tc>
          <w:tcPr>
            <w:tcW w:w="0" w:type="auto"/>
          </w:tcPr>
          <w:p w14:paraId="67370627" w14:textId="23A3C854" w:rsidR="00556B97" w:rsidRPr="00556B97" w:rsidRDefault="00556B97" w:rsidP="001A2CE1">
            <w:pPr>
              <w:spacing w:line="276" w:lineRule="auto"/>
              <w:ind w:firstLine="0"/>
              <w:cnfStyle w:val="000000000000" w:firstRow="0" w:lastRow="0" w:firstColumn="0" w:lastColumn="0" w:oddVBand="0" w:evenVBand="0" w:oddHBand="0" w:evenHBand="0" w:firstRowFirstColumn="0" w:firstRowLastColumn="0" w:lastRowFirstColumn="0" w:lastRowLastColumn="0"/>
              <w:rPr>
                <w:rFonts w:eastAsia="Aptos"/>
                <w:iCs/>
                <w:color w:val="auto"/>
                <w:sz w:val="18"/>
                <w:szCs w:val="18"/>
                <w:lang w:val="en-ID" w:eastAsia="en-PH"/>
              </w:rPr>
            </w:pPr>
            <w:r>
              <w:rPr>
                <w:rFonts w:eastAsia="Aptos"/>
                <w:iCs/>
                <w:color w:val="auto"/>
                <w:sz w:val="18"/>
                <w:szCs w:val="18"/>
                <w:lang w:val="en-ID" w:eastAsia="en-PH"/>
              </w:rPr>
              <w:t>-A</w:t>
            </w:r>
            <w:r w:rsidRPr="00556B97">
              <w:rPr>
                <w:rFonts w:eastAsia="Aptos"/>
                <w:iCs/>
                <w:color w:val="auto"/>
                <w:sz w:val="18"/>
                <w:szCs w:val="18"/>
                <w:lang w:val="en-ID" w:eastAsia="en-PH"/>
              </w:rPr>
              <w:t>ddress and deter IUU fishing</w:t>
            </w:r>
          </w:p>
        </w:tc>
      </w:tr>
      <w:tr w:rsidR="00556B97" w:rsidRPr="00556B97" w14:paraId="7D69A45B" w14:textId="77777777" w:rsidTr="001A2C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tcPr>
          <w:p w14:paraId="5B6118D6" w14:textId="77777777"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Executive Order No. 533 (2006)</w:t>
            </w:r>
          </w:p>
        </w:tc>
        <w:tc>
          <w:tcPr>
            <w:tcW w:w="0" w:type="auto"/>
            <w:tcBorders>
              <w:top w:val="none" w:sz="0" w:space="0" w:color="auto"/>
              <w:bottom w:val="none" w:sz="0" w:space="0" w:color="auto"/>
            </w:tcBorders>
          </w:tcPr>
          <w:p w14:paraId="3702B1BE" w14:textId="7AF001B8" w:rsidR="00556B97" w:rsidRPr="00556B97" w:rsidRDefault="00556B97" w:rsidP="001A2CE1">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Aptos"/>
                <w:iCs/>
                <w:color w:val="auto"/>
                <w:sz w:val="18"/>
                <w:szCs w:val="18"/>
                <w:lang w:val="en-ID" w:eastAsia="en-PH"/>
              </w:rPr>
            </w:pPr>
            <w:r>
              <w:rPr>
                <w:rFonts w:eastAsia="Aptos"/>
                <w:iCs/>
                <w:color w:val="auto"/>
                <w:sz w:val="18"/>
                <w:szCs w:val="18"/>
                <w:lang w:val="en-ID" w:eastAsia="en-PH"/>
              </w:rPr>
              <w:t>-Es</w:t>
            </w:r>
            <w:r w:rsidRPr="00556B97">
              <w:rPr>
                <w:rFonts w:eastAsia="Aptos"/>
                <w:iCs/>
                <w:color w:val="auto"/>
                <w:sz w:val="18"/>
                <w:szCs w:val="18"/>
                <w:lang w:val="en-ID" w:eastAsia="en-PH"/>
              </w:rPr>
              <w:t>tablished ICM as a national policy framework</w:t>
            </w:r>
          </w:p>
        </w:tc>
      </w:tr>
      <w:tr w:rsidR="00556B97" w:rsidRPr="00556B97" w14:paraId="0F410B0C" w14:textId="77777777" w:rsidTr="001A2CE1">
        <w:tc>
          <w:tcPr>
            <w:cnfStyle w:val="001000000000" w:firstRow="0" w:lastRow="0" w:firstColumn="1" w:lastColumn="0" w:oddVBand="0" w:evenVBand="0" w:oddHBand="0" w:evenHBand="0" w:firstRowFirstColumn="0" w:firstRowLastColumn="0" w:lastRowFirstColumn="0" w:lastRowLastColumn="0"/>
            <w:tcW w:w="0" w:type="auto"/>
          </w:tcPr>
          <w:p w14:paraId="58D32B32" w14:textId="5F9F30ED"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National Integrated Protected Areas NIPAS Act (Republic Act 7586) 1992</w:t>
            </w:r>
          </w:p>
          <w:p w14:paraId="382D0BFC" w14:textId="77777777" w:rsidR="00556B97" w:rsidRPr="00556B97" w:rsidRDefault="00556B97" w:rsidP="001A2CE1">
            <w:pPr>
              <w:spacing w:line="276" w:lineRule="auto"/>
              <w:ind w:firstLine="0"/>
              <w:rPr>
                <w:rFonts w:eastAsia="Aptos"/>
                <w:b w:val="0"/>
                <w:bCs w:val="0"/>
                <w:iCs/>
                <w:color w:val="auto"/>
                <w:sz w:val="18"/>
                <w:szCs w:val="18"/>
                <w:lang w:val="en-ID" w:eastAsia="en-PH"/>
              </w:rPr>
            </w:pPr>
            <w:r w:rsidRPr="00556B97">
              <w:rPr>
                <w:rFonts w:eastAsia="Aptos"/>
                <w:b w:val="0"/>
                <w:bCs w:val="0"/>
                <w:iCs/>
                <w:color w:val="auto"/>
                <w:sz w:val="18"/>
                <w:szCs w:val="18"/>
                <w:lang w:val="en-ID" w:eastAsia="en-PH"/>
              </w:rPr>
              <w:t>And its amendment, RA 11038 in 2018</w:t>
            </w:r>
          </w:p>
        </w:tc>
        <w:tc>
          <w:tcPr>
            <w:tcW w:w="0" w:type="auto"/>
          </w:tcPr>
          <w:p w14:paraId="33318ED3" w14:textId="71867B49" w:rsidR="00556B97" w:rsidRPr="00556B97" w:rsidRDefault="00556B97" w:rsidP="001A2CE1">
            <w:pPr>
              <w:spacing w:line="276" w:lineRule="auto"/>
              <w:ind w:firstLine="0"/>
              <w:cnfStyle w:val="000000000000" w:firstRow="0" w:lastRow="0" w:firstColumn="0" w:lastColumn="0" w:oddVBand="0" w:evenVBand="0" w:oddHBand="0" w:evenHBand="0" w:firstRowFirstColumn="0" w:firstRowLastColumn="0" w:lastRowFirstColumn="0" w:lastRowLastColumn="0"/>
              <w:rPr>
                <w:rFonts w:eastAsia="Aptos"/>
                <w:iCs/>
                <w:color w:val="auto"/>
                <w:sz w:val="18"/>
                <w:szCs w:val="18"/>
                <w:lang w:val="en-ID" w:eastAsia="en-PH"/>
              </w:rPr>
            </w:pPr>
            <w:r>
              <w:rPr>
                <w:rFonts w:eastAsia="Aptos"/>
                <w:iCs/>
                <w:color w:val="auto"/>
                <w:sz w:val="18"/>
                <w:szCs w:val="18"/>
                <w:lang w:val="en-ID" w:eastAsia="en-PH"/>
              </w:rPr>
              <w:t>-E</w:t>
            </w:r>
            <w:r w:rsidRPr="00556B97">
              <w:rPr>
                <w:rFonts w:eastAsia="Aptos"/>
                <w:iCs/>
                <w:color w:val="auto"/>
                <w:sz w:val="18"/>
                <w:szCs w:val="18"/>
                <w:lang w:val="en-ID" w:eastAsia="en-PH"/>
              </w:rPr>
              <w:t>stablished the process for setting up protected areas, including marine protected areas</w:t>
            </w:r>
          </w:p>
        </w:tc>
      </w:tr>
    </w:tbl>
    <w:p w14:paraId="116E6A1A" w14:textId="3E9A9664" w:rsidR="001A2CE1" w:rsidRPr="001A2CE1" w:rsidRDefault="001A2CE1" w:rsidP="001A2CE1">
      <w:pPr>
        <w:spacing w:before="240" w:after="240" w:line="276" w:lineRule="auto"/>
        <w:rPr>
          <w:rFonts w:eastAsia="Aptos"/>
          <w:b/>
          <w:bCs/>
          <w:iCs/>
          <w:lang w:val="en-ID" w:eastAsia="en-PH"/>
        </w:rPr>
      </w:pPr>
      <w:r w:rsidRPr="00D55B7A">
        <w:rPr>
          <w:rFonts w:eastAsia="Aptos"/>
          <w:iCs/>
          <w:lang w:val="en-ID" w:eastAsia="en-PH"/>
        </w:rPr>
        <w:t>As to the establishment of marine protected areas, they are</w:t>
      </w:r>
      <w:r>
        <w:rPr>
          <w:rFonts w:eastAsia="Aptos"/>
          <w:iCs/>
          <w:lang w:val="en-ID" w:eastAsia="en-PH"/>
        </w:rPr>
        <w:t xml:space="preserve"> included in </w:t>
      </w:r>
      <w:r w:rsidRPr="00D55B7A">
        <w:rPr>
          <w:rFonts w:eastAsia="Aptos"/>
          <w:iCs/>
          <w:lang w:val="en-ID" w:eastAsia="en-PH"/>
        </w:rPr>
        <w:t xml:space="preserve">the </w:t>
      </w:r>
      <w:r w:rsidRPr="00D55B7A">
        <w:rPr>
          <w:rFonts w:eastAsia="Aptos"/>
          <w:b/>
          <w:bCs/>
          <w:iCs/>
          <w:lang w:val="en-ID" w:eastAsia="en-PH"/>
        </w:rPr>
        <w:t>National Integrated Protected Areas Act</w:t>
      </w:r>
      <w:r>
        <w:rPr>
          <w:rFonts w:eastAsia="Aptos"/>
          <w:b/>
          <w:bCs/>
          <w:iCs/>
          <w:lang w:val="en-ID" w:eastAsia="en-PH"/>
        </w:rPr>
        <w:t xml:space="preserve"> </w:t>
      </w:r>
      <w:r>
        <w:rPr>
          <w:rFonts w:eastAsia="Aptos"/>
          <w:iCs/>
          <w:lang w:val="en-ID" w:eastAsia="en-PH"/>
        </w:rPr>
        <w:t>(Supreme Court E-library, n.d.)</w:t>
      </w:r>
      <w:r w:rsidRPr="00D55B7A">
        <w:rPr>
          <w:rFonts w:eastAsia="Aptos"/>
          <w:iCs/>
          <w:lang w:val="en-ID" w:eastAsia="en-PH"/>
        </w:rPr>
        <w:t xml:space="preserve">, amended by the </w:t>
      </w:r>
      <w:r w:rsidRPr="00D55B7A">
        <w:rPr>
          <w:rFonts w:eastAsia="Aptos"/>
          <w:b/>
          <w:bCs/>
          <w:iCs/>
          <w:lang w:val="en-ID" w:eastAsia="en-PH"/>
        </w:rPr>
        <w:t>Expanded National Integrated Protected Areas Act</w:t>
      </w:r>
      <w:r w:rsidRPr="00D55B7A">
        <w:rPr>
          <w:rFonts w:eastAsia="Aptos"/>
          <w:iCs/>
          <w:lang w:val="en-ID" w:eastAsia="en-PH"/>
        </w:rPr>
        <w:t>, approved in 2018</w:t>
      </w:r>
      <w:r>
        <w:rPr>
          <w:rFonts w:eastAsia="Aptos"/>
          <w:iCs/>
          <w:lang w:val="en-ID" w:eastAsia="en-PH"/>
        </w:rPr>
        <w:t xml:space="preserve"> (Senate, n.d.)</w:t>
      </w:r>
      <w:r w:rsidRPr="00D55B7A">
        <w:rPr>
          <w:rFonts w:eastAsia="Aptos"/>
          <w:iCs/>
          <w:lang w:val="en-ID" w:eastAsia="en-PH"/>
        </w:rPr>
        <w:t xml:space="preserve">. The </w:t>
      </w:r>
      <w:r w:rsidRPr="00D55B7A">
        <w:rPr>
          <w:rFonts w:eastAsia="Aptos"/>
          <w:b/>
          <w:bCs/>
          <w:iCs/>
          <w:lang w:val="en-ID" w:eastAsia="en-PH"/>
        </w:rPr>
        <w:t xml:space="preserve">Wildlife Act </w:t>
      </w:r>
      <w:r>
        <w:rPr>
          <w:rFonts w:eastAsia="Aptos"/>
          <w:iCs/>
          <w:lang w:val="en-ID" w:eastAsia="en-PH"/>
        </w:rPr>
        <w:t>(Official Gazette, n.d.)</w:t>
      </w:r>
      <w:r w:rsidRPr="00D55B7A">
        <w:rPr>
          <w:rFonts w:eastAsia="Aptos"/>
          <w:b/>
          <w:bCs/>
          <w:iCs/>
          <w:lang w:val="en-ID" w:eastAsia="en-PH"/>
        </w:rPr>
        <w:t xml:space="preserve"> </w:t>
      </w:r>
      <w:r w:rsidRPr="00D55B7A">
        <w:rPr>
          <w:rFonts w:eastAsia="Aptos"/>
          <w:iCs/>
          <w:lang w:val="en-ID" w:eastAsia="en-PH"/>
        </w:rPr>
        <w:t>approved in 2001, mandated that jurisdiction over all terrestrial plant and animal species, all turtles and tortoises and wetland species, including but not limited to crocodiles, waterbirds and all amphibians and dugong is vested with the  (DENR),</w:t>
      </w:r>
      <w:r>
        <w:rPr>
          <w:rFonts w:eastAsia="Aptos"/>
          <w:iCs/>
          <w:lang w:val="en-ID" w:eastAsia="en-PH"/>
        </w:rPr>
        <w:t xml:space="preserve"> while</w:t>
      </w:r>
      <w:r w:rsidRPr="00D55B7A">
        <w:rPr>
          <w:rFonts w:eastAsia="Aptos"/>
          <w:iCs/>
          <w:lang w:val="en-ID" w:eastAsia="en-PH"/>
        </w:rPr>
        <w:t xml:space="preserve"> the Department of Agriculture (DA) shall have jurisdiction over all declared aquatic critical habitats, all aquatic resources including but not limited to all fishes, aquatic plants, invertebrates and all marine mammals, except dugong, and in </w:t>
      </w:r>
      <w:r>
        <w:rPr>
          <w:rFonts w:eastAsia="Aptos"/>
          <w:iCs/>
          <w:lang w:val="en-ID" w:eastAsia="en-PH"/>
        </w:rPr>
        <w:t xml:space="preserve">the </w:t>
      </w:r>
      <w:r w:rsidRPr="00D55B7A">
        <w:rPr>
          <w:rFonts w:eastAsia="Aptos"/>
          <w:iCs/>
          <w:lang w:val="en-ID" w:eastAsia="en-PH"/>
        </w:rPr>
        <w:t xml:space="preserve">Province of Palawan, jurisdiction over all these species vested to the Palawan Council for Sustainable Development pursuant to Republic Act No. 7611 or the </w:t>
      </w:r>
      <w:r w:rsidRPr="00D55B7A">
        <w:rPr>
          <w:rFonts w:eastAsia="Aptos"/>
          <w:b/>
          <w:bCs/>
          <w:iCs/>
          <w:lang w:val="en-ID" w:eastAsia="en-PH"/>
        </w:rPr>
        <w:t>Strategic Environmental Plan</w:t>
      </w:r>
      <w:r>
        <w:rPr>
          <w:rFonts w:eastAsia="Aptos"/>
          <w:b/>
          <w:bCs/>
          <w:iCs/>
          <w:lang w:val="en-ID" w:eastAsia="en-PH"/>
        </w:rPr>
        <w:t xml:space="preserve"> (SEP)</w:t>
      </w:r>
      <w:r w:rsidRPr="00D55B7A">
        <w:rPr>
          <w:rFonts w:eastAsia="Aptos"/>
          <w:b/>
          <w:bCs/>
          <w:iCs/>
          <w:lang w:val="en-ID" w:eastAsia="en-PH"/>
        </w:rPr>
        <w:t xml:space="preserve"> for Palawan Act</w:t>
      </w:r>
      <w:r>
        <w:rPr>
          <w:rFonts w:eastAsia="Aptos"/>
          <w:iCs/>
          <w:lang w:val="en-ID" w:eastAsia="en-PH"/>
        </w:rPr>
        <w:t xml:space="preserve"> (PCSD, n.d.)</w:t>
      </w:r>
      <w:r w:rsidRPr="00D55B7A">
        <w:rPr>
          <w:rFonts w:eastAsia="Aptos"/>
          <w:b/>
          <w:bCs/>
          <w:iCs/>
          <w:lang w:val="en-ID" w:eastAsia="en-PH"/>
        </w:rPr>
        <w:t>.</w:t>
      </w:r>
    </w:p>
    <w:p w14:paraId="4FBD64EE" w14:textId="690E6FE4" w:rsidR="001A2CE1" w:rsidRDefault="001A2CE1" w:rsidP="001A2CE1">
      <w:pPr>
        <w:spacing w:after="240" w:line="276" w:lineRule="auto"/>
        <w:rPr>
          <w:rFonts w:eastAsia="Aptos"/>
          <w:iCs/>
          <w:lang w:val="en-ID" w:eastAsia="en-PH"/>
        </w:rPr>
      </w:pPr>
      <w:r w:rsidRPr="00D55B7A">
        <w:rPr>
          <w:rFonts w:eastAsia="Aptos"/>
          <w:iCs/>
          <w:lang w:val="en-ID" w:eastAsia="en-PH"/>
        </w:rPr>
        <w:t xml:space="preserve">In the most recent iteration of the </w:t>
      </w:r>
      <w:r w:rsidRPr="00D55B7A">
        <w:rPr>
          <w:rFonts w:eastAsia="Aptos"/>
          <w:b/>
          <w:bCs/>
          <w:iCs/>
          <w:lang w:val="en-ID" w:eastAsia="en-PH"/>
        </w:rPr>
        <w:t>Philippine Biodiversity Strategy and Action Plan (PBSAP) 2024-2040</w:t>
      </w:r>
      <w:r w:rsidRPr="00D55B7A">
        <w:rPr>
          <w:rFonts w:eastAsia="Aptos"/>
          <w:iCs/>
          <w:lang w:val="en-ID" w:eastAsia="en-PH"/>
        </w:rPr>
        <w:t>, there</w:t>
      </w:r>
      <w:r>
        <w:rPr>
          <w:rFonts w:eastAsia="Aptos"/>
          <w:iCs/>
          <w:lang w:val="en-ID" w:eastAsia="en-PH"/>
        </w:rPr>
        <w:t xml:space="preserve"> is </w:t>
      </w:r>
      <w:r w:rsidRPr="00D55B7A">
        <w:rPr>
          <w:rFonts w:eastAsia="Aptos"/>
          <w:iCs/>
          <w:lang w:val="en-ID" w:eastAsia="en-PH"/>
        </w:rPr>
        <w:t>a plan to expand the country’s marine protected areas from a baseline of 3.2 million has to 35.24 million has by 2040, as</w:t>
      </w:r>
      <w:r>
        <w:rPr>
          <w:rFonts w:eastAsia="Aptos"/>
          <w:iCs/>
          <w:lang w:val="en-ID" w:eastAsia="en-PH"/>
        </w:rPr>
        <w:t xml:space="preserve"> shown </w:t>
      </w:r>
      <w:r w:rsidRPr="00D55B7A">
        <w:rPr>
          <w:rFonts w:eastAsia="Aptos"/>
          <w:iCs/>
          <w:lang w:val="en-ID" w:eastAsia="en-PH"/>
        </w:rPr>
        <w:t xml:space="preserve">in </w:t>
      </w:r>
      <w:r w:rsidRPr="007C3BDA">
        <w:rPr>
          <w:rFonts w:eastAsia="Aptos"/>
          <w:b/>
          <w:bCs/>
          <w:iCs/>
          <w:lang w:val="en-ID" w:eastAsia="en-PH"/>
        </w:rPr>
        <w:t>Figure 6.5</w:t>
      </w:r>
      <w:r>
        <w:rPr>
          <w:rFonts w:eastAsia="Aptos"/>
          <w:iCs/>
          <w:lang w:val="en-ID" w:eastAsia="en-PH"/>
        </w:rPr>
        <w:t xml:space="preserve">, </w:t>
      </w:r>
      <w:r w:rsidRPr="00D55B7A">
        <w:rPr>
          <w:rFonts w:eastAsia="Aptos"/>
          <w:iCs/>
          <w:lang w:val="en-ID" w:eastAsia="en-PH"/>
        </w:rPr>
        <w:t>from the most recent consultation activity by the Biodiversity Management Bureau in Iloilo City in September 16-17, 2025 (DENR-BMB, 2025):</w:t>
      </w:r>
    </w:p>
    <w:p w14:paraId="3EEDAF4A" w14:textId="3F6A8C0A" w:rsidR="007A3D6A" w:rsidRDefault="007A3D6A" w:rsidP="007A3D6A">
      <w:pPr>
        <w:spacing w:line="276" w:lineRule="auto"/>
        <w:ind w:firstLine="0"/>
        <w:jc w:val="center"/>
        <w:rPr>
          <w:rFonts w:eastAsia="Aptos"/>
          <w:iCs/>
          <w:lang w:val="en-ID" w:eastAsia="en-PH"/>
        </w:rPr>
      </w:pPr>
      <w:r w:rsidRPr="00D55B7A">
        <w:rPr>
          <w:rFonts w:eastAsia="Aptos"/>
          <w:iCs/>
          <w:noProof/>
          <w:lang w:val="en-ID" w:eastAsia="en-PH"/>
        </w:rPr>
        <w:drawing>
          <wp:inline distT="0" distB="0" distL="0" distR="0" wp14:anchorId="758B3385" wp14:editId="79D1E9E9">
            <wp:extent cx="5788244" cy="3355450"/>
            <wp:effectExtent l="0" t="0" r="3175" b="0"/>
            <wp:docPr id="1948675299" name="Picture 1" descr="A map of a large are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675299" name="Picture 1" descr="A map of a large area&#10;&#10;AI-generated content may be incorrect."/>
                    <pic:cNvPicPr/>
                  </pic:nvPicPr>
                  <pic:blipFill>
                    <a:blip r:embed="rId13"/>
                    <a:stretch>
                      <a:fillRect/>
                    </a:stretch>
                  </pic:blipFill>
                  <pic:spPr>
                    <a:xfrm>
                      <a:off x="0" y="0"/>
                      <a:ext cx="5796745" cy="3360378"/>
                    </a:xfrm>
                    <a:prstGeom prst="rect">
                      <a:avLst/>
                    </a:prstGeom>
                  </pic:spPr>
                </pic:pic>
              </a:graphicData>
            </a:graphic>
          </wp:inline>
        </w:drawing>
      </w:r>
    </w:p>
    <w:p w14:paraId="0B4C2A6E" w14:textId="1A225FE3" w:rsidR="007A3D6A" w:rsidRDefault="007A3D6A" w:rsidP="007A3D6A">
      <w:pPr>
        <w:pStyle w:val="Figurelabel"/>
        <w:rPr>
          <w:rFonts w:eastAsia="Aptos"/>
          <w:b w:val="0"/>
          <w:bCs w:val="0"/>
          <w:lang w:val="en-ID"/>
        </w:rPr>
      </w:pPr>
      <w:r>
        <w:rPr>
          <w:rFonts w:eastAsia="Aptos"/>
          <w:lang w:val="en-ID"/>
        </w:rPr>
        <w:t xml:space="preserve">Figure 6.5. </w:t>
      </w:r>
      <w:r w:rsidRPr="007A3D6A">
        <w:rPr>
          <w:rFonts w:eastAsia="Aptos"/>
          <w:b w:val="0"/>
          <w:bCs w:val="0"/>
          <w:lang w:val="en-ID"/>
        </w:rPr>
        <w:t>Potential Marine Areas for Conservation (DENR-BMB, 2025)</w:t>
      </w:r>
    </w:p>
    <w:p w14:paraId="33E26354" w14:textId="05735013" w:rsidR="004577E8" w:rsidRPr="00D55B7A" w:rsidRDefault="004577E8" w:rsidP="004577E8">
      <w:pPr>
        <w:spacing w:after="240" w:line="276" w:lineRule="auto"/>
        <w:rPr>
          <w:rFonts w:eastAsia="Aptos"/>
          <w:iCs/>
          <w:lang w:val="en-ID" w:eastAsia="en-PH"/>
        </w:rPr>
      </w:pPr>
      <w:r w:rsidRPr="00D55B7A">
        <w:rPr>
          <w:rFonts w:eastAsia="Aptos"/>
          <w:iCs/>
          <w:lang w:val="en-ID" w:eastAsia="en-PH"/>
        </w:rPr>
        <w:lastRenderedPageBreak/>
        <w:t xml:space="preserve">This PBSAP has also identified actions to be undertaken by key government agencies to implement the </w:t>
      </w:r>
      <w:r w:rsidRPr="008035D8">
        <w:rPr>
          <w:rFonts w:eastAsia="Aptos"/>
          <w:b/>
          <w:bCs/>
          <w:iCs/>
          <w:lang w:val="en-ID" w:eastAsia="en-PH"/>
        </w:rPr>
        <w:t>Kunming-Montreal Global Biodiversity Framework</w:t>
      </w:r>
      <w:r>
        <w:rPr>
          <w:rFonts w:eastAsia="Aptos"/>
          <w:iCs/>
          <w:lang w:val="en-ID" w:eastAsia="en-PH"/>
        </w:rPr>
        <w:t xml:space="preserve"> (CBD Secretariat, n.d.)</w:t>
      </w:r>
      <w:r w:rsidRPr="00D55B7A">
        <w:rPr>
          <w:rFonts w:eastAsia="Aptos"/>
          <w:iCs/>
          <w:lang w:val="en-ID" w:eastAsia="en-PH"/>
        </w:rPr>
        <w:t xml:space="preserve"> which has an extensive set of targets to effectively manage these protected areas, including on marine spatial planning.</w:t>
      </w:r>
    </w:p>
    <w:p w14:paraId="7328A9C2" w14:textId="54B3D619" w:rsidR="004577E8" w:rsidRPr="00D55B7A" w:rsidRDefault="004577E8" w:rsidP="004577E8">
      <w:pPr>
        <w:spacing w:after="240" w:line="276" w:lineRule="auto"/>
        <w:rPr>
          <w:rFonts w:eastAsia="Aptos"/>
          <w:iCs/>
          <w:lang w:val="en-ID" w:eastAsia="en-PH"/>
        </w:rPr>
      </w:pPr>
      <w:r>
        <w:rPr>
          <w:rFonts w:eastAsia="Aptos"/>
          <w:iCs/>
          <w:lang w:val="en-ID" w:eastAsia="en-PH"/>
        </w:rPr>
        <w:t xml:space="preserve"> While</w:t>
      </w:r>
      <w:r w:rsidRPr="00D55B7A">
        <w:rPr>
          <w:rFonts w:eastAsia="Aptos"/>
          <w:iCs/>
          <w:lang w:val="en-ID" w:eastAsia="en-PH"/>
        </w:rPr>
        <w:t xml:space="preserve"> the</w:t>
      </w:r>
      <w:r>
        <w:rPr>
          <w:rFonts w:eastAsia="Aptos"/>
          <w:iCs/>
          <w:lang w:val="en-ID" w:eastAsia="en-PH"/>
        </w:rPr>
        <w:t xml:space="preserve"> BFAR</w:t>
      </w:r>
      <w:r w:rsidRPr="00D55B7A">
        <w:rPr>
          <w:rFonts w:eastAsia="Aptos"/>
          <w:iCs/>
          <w:lang w:val="en-ID" w:eastAsia="en-PH"/>
        </w:rPr>
        <w:t xml:space="preserve"> issued the </w:t>
      </w:r>
      <w:r w:rsidRPr="00D55B7A">
        <w:rPr>
          <w:rFonts w:eastAsia="Aptos"/>
          <w:b/>
          <w:bCs/>
          <w:iCs/>
          <w:lang w:val="en-ID" w:eastAsia="en-PH"/>
        </w:rPr>
        <w:t>Fisheries Administrative Order No. 263, series of 2019</w:t>
      </w:r>
      <w:r>
        <w:rPr>
          <w:rFonts w:eastAsia="Aptos"/>
          <w:b/>
          <w:bCs/>
          <w:iCs/>
          <w:lang w:val="en-ID" w:eastAsia="en-PH"/>
        </w:rPr>
        <w:t xml:space="preserve"> </w:t>
      </w:r>
      <w:r>
        <w:rPr>
          <w:rFonts w:eastAsia="Aptos"/>
          <w:iCs/>
          <w:lang w:val="en-ID" w:eastAsia="en-PH"/>
        </w:rPr>
        <w:t>(DA-BFAR, 2023)</w:t>
      </w:r>
      <w:r w:rsidRPr="00D55B7A">
        <w:rPr>
          <w:rFonts w:eastAsia="Aptos"/>
          <w:iCs/>
          <w:lang w:val="en-ID" w:eastAsia="en-PH"/>
        </w:rPr>
        <w:t xml:space="preserve">, which established </w:t>
      </w:r>
      <w:r w:rsidRPr="00D55B7A">
        <w:rPr>
          <w:rFonts w:eastAsia="Aptos"/>
          <w:b/>
          <w:bCs/>
          <w:iCs/>
          <w:lang w:val="en-ID" w:eastAsia="en-PH"/>
        </w:rPr>
        <w:t>FMAs</w:t>
      </w:r>
      <w:r w:rsidRPr="00D55B7A">
        <w:rPr>
          <w:rFonts w:eastAsia="Aptos"/>
          <w:iCs/>
          <w:lang w:val="en-ID" w:eastAsia="en-PH"/>
        </w:rPr>
        <w:t xml:space="preserve"> to realize the ecosystem-based approach to fisheries management and integrated coastal area management. The Philippine Coast Guard, by virtue of its mandate under </w:t>
      </w:r>
      <w:r w:rsidRPr="00D55B7A">
        <w:rPr>
          <w:rFonts w:eastAsia="Aptos"/>
          <w:b/>
          <w:bCs/>
          <w:iCs/>
          <w:lang w:val="en-ID" w:eastAsia="en-PH"/>
        </w:rPr>
        <w:t>Republic Act 9993</w:t>
      </w:r>
      <w:r w:rsidRPr="00D55B7A">
        <w:rPr>
          <w:rFonts w:eastAsia="Aptos"/>
          <w:iCs/>
          <w:lang w:val="en-ID" w:eastAsia="en-PH"/>
        </w:rPr>
        <w:t xml:space="preserve">, the </w:t>
      </w:r>
      <w:r w:rsidRPr="00D55B7A">
        <w:rPr>
          <w:rFonts w:eastAsia="Aptos"/>
          <w:b/>
          <w:bCs/>
          <w:iCs/>
          <w:lang w:val="en-ID" w:eastAsia="en-PH"/>
        </w:rPr>
        <w:t>Philippine Coast Guard Law of 2009,</w:t>
      </w:r>
      <w:r w:rsidRPr="00D55B7A">
        <w:rPr>
          <w:rFonts w:eastAsia="Aptos"/>
          <w:iCs/>
          <w:lang w:val="en-ID" w:eastAsia="en-PH"/>
        </w:rPr>
        <w:t xml:space="preserve"> is </w:t>
      </w:r>
      <w:r>
        <w:rPr>
          <w:rFonts w:eastAsia="Aptos"/>
          <w:iCs/>
          <w:lang w:val="en-ID" w:eastAsia="en-PH"/>
        </w:rPr>
        <w:t xml:space="preserve">tasked in the </w:t>
      </w:r>
      <w:r w:rsidRPr="00D55B7A">
        <w:rPr>
          <w:rFonts w:eastAsia="Aptos"/>
          <w:iCs/>
          <w:lang w:val="en-ID" w:eastAsia="en-PH"/>
        </w:rPr>
        <w:t>enforce</w:t>
      </w:r>
      <w:r>
        <w:rPr>
          <w:rFonts w:eastAsia="Aptos"/>
          <w:iCs/>
          <w:lang w:val="en-ID" w:eastAsia="en-PH"/>
        </w:rPr>
        <w:t xml:space="preserve">ment of </w:t>
      </w:r>
      <w:r w:rsidRPr="00D55B7A">
        <w:rPr>
          <w:rFonts w:eastAsia="Aptos"/>
          <w:iCs/>
          <w:lang w:val="en-ID" w:eastAsia="en-PH"/>
        </w:rPr>
        <w:t>laws for the protection of marine environment and resources from offshore sources or pollution within the maritime jurisdiction of the Philippines</w:t>
      </w:r>
      <w:r>
        <w:rPr>
          <w:rFonts w:eastAsia="Aptos"/>
          <w:iCs/>
          <w:lang w:val="en-ID" w:eastAsia="en-PH"/>
        </w:rPr>
        <w:t xml:space="preserve"> (Senate, n.d.). </w:t>
      </w:r>
    </w:p>
    <w:p w14:paraId="3E3A867B" w14:textId="108FCAED" w:rsidR="004577E8" w:rsidRPr="00D55B7A" w:rsidRDefault="004577E8" w:rsidP="004577E8">
      <w:pPr>
        <w:spacing w:after="240" w:line="276" w:lineRule="auto"/>
        <w:rPr>
          <w:rFonts w:eastAsia="Aptos"/>
          <w:iCs/>
          <w:lang w:val="en-ID" w:eastAsia="en-PH"/>
        </w:rPr>
      </w:pPr>
      <w:r w:rsidRPr="00D55B7A">
        <w:rPr>
          <w:rFonts w:eastAsia="Aptos"/>
          <w:iCs/>
          <w:lang w:val="en-ID" w:eastAsia="en-PH"/>
        </w:rPr>
        <w:t xml:space="preserve">In regards to land-based sources of pollution, there is the </w:t>
      </w:r>
      <w:r w:rsidRPr="00D55B7A">
        <w:rPr>
          <w:rFonts w:eastAsia="Aptos"/>
          <w:b/>
          <w:bCs/>
          <w:iCs/>
          <w:lang w:val="en-ID" w:eastAsia="en-PH"/>
        </w:rPr>
        <w:t>Executive Order No. 192</w:t>
      </w:r>
      <w:r w:rsidRPr="00D55B7A">
        <w:rPr>
          <w:rFonts w:eastAsia="Aptos"/>
          <w:iCs/>
          <w:lang w:val="en-ID" w:eastAsia="en-PH"/>
        </w:rPr>
        <w:t>, which empowers the Environmental Management Bureau (EMB) of the DENR to: (a) Recommend possible legislations, policies and programs for environmental management and pollution control; (b) Formulate environmental quality standards such as the quality standards for water, air, land, noise and radiations; (c) Recommend rules and regulations for environmental impact assessments and provide technical assistance for their implementation and monitoring; (d) Formulate rules and regulation for the proper disposition of solid wastes, toxic and hazardous substances</w:t>
      </w:r>
      <w:r>
        <w:rPr>
          <w:rFonts w:eastAsia="Aptos"/>
          <w:iCs/>
          <w:lang w:val="en-ID" w:eastAsia="en-PH"/>
        </w:rPr>
        <w:t xml:space="preserve"> (Official Gazette, n.d.)</w:t>
      </w:r>
      <w:r w:rsidRPr="00D55B7A">
        <w:rPr>
          <w:rFonts w:eastAsia="Aptos"/>
          <w:iCs/>
          <w:lang w:val="en-ID" w:eastAsia="en-PH"/>
        </w:rPr>
        <w:t xml:space="preserve"> </w:t>
      </w:r>
    </w:p>
    <w:p w14:paraId="6645E224" w14:textId="122958CC" w:rsidR="004577E8" w:rsidRPr="00D55B7A" w:rsidRDefault="004577E8" w:rsidP="004577E8">
      <w:pPr>
        <w:spacing w:after="240" w:line="276" w:lineRule="auto"/>
        <w:rPr>
          <w:rFonts w:eastAsia="Aptos"/>
          <w:iCs/>
          <w:lang w:val="en-ID" w:eastAsia="en-PH"/>
        </w:rPr>
      </w:pPr>
      <w:r w:rsidRPr="00D55B7A">
        <w:rPr>
          <w:rFonts w:eastAsia="Aptos"/>
          <w:iCs/>
          <w:lang w:val="en-ID" w:eastAsia="en-PH"/>
        </w:rPr>
        <w:t xml:space="preserve">The EMB takes charge of overseeing the implementation of the </w:t>
      </w:r>
      <w:r w:rsidRPr="00D55B7A">
        <w:rPr>
          <w:rFonts w:eastAsia="Aptos"/>
          <w:b/>
          <w:bCs/>
          <w:iCs/>
          <w:lang w:val="en-ID" w:eastAsia="en-PH"/>
        </w:rPr>
        <w:t xml:space="preserve">Clean Water Act, </w:t>
      </w:r>
      <w:r w:rsidRPr="00D55B7A">
        <w:rPr>
          <w:rFonts w:eastAsia="Aptos"/>
          <w:iCs/>
          <w:lang w:val="en-ID" w:eastAsia="en-PH"/>
        </w:rPr>
        <w:t>which addresses water quality management in all water bodies</w:t>
      </w:r>
      <w:r>
        <w:rPr>
          <w:rFonts w:eastAsia="Aptos"/>
          <w:iCs/>
          <w:lang w:val="en-ID" w:eastAsia="en-PH"/>
        </w:rPr>
        <w:t>, p</w:t>
      </w:r>
      <w:r w:rsidRPr="00D55B7A">
        <w:rPr>
          <w:rFonts w:eastAsia="Aptos"/>
          <w:iCs/>
          <w:lang w:val="en-ID" w:eastAsia="en-PH"/>
        </w:rPr>
        <w:t>rimarily applying to the abatement and control of pollution from land based sources</w:t>
      </w:r>
      <w:r>
        <w:rPr>
          <w:rFonts w:eastAsia="Aptos"/>
          <w:iCs/>
          <w:lang w:val="en-ID" w:eastAsia="en-PH"/>
        </w:rPr>
        <w:t xml:space="preserve"> (Senate E-Library, n.d.</w:t>
      </w:r>
      <w:proofErr w:type="gramStart"/>
      <w:r>
        <w:rPr>
          <w:rFonts w:eastAsia="Aptos"/>
          <w:iCs/>
          <w:lang w:val="en-ID" w:eastAsia="en-PH"/>
        </w:rPr>
        <w:t xml:space="preserve">) </w:t>
      </w:r>
      <w:r w:rsidRPr="00D55B7A">
        <w:rPr>
          <w:rFonts w:eastAsia="Aptos"/>
          <w:iCs/>
          <w:lang w:val="en-ID" w:eastAsia="en-PH"/>
        </w:rPr>
        <w:t>.</w:t>
      </w:r>
      <w:proofErr w:type="gramEnd"/>
      <w:r w:rsidRPr="00D55B7A">
        <w:rPr>
          <w:rFonts w:eastAsia="Aptos"/>
          <w:iCs/>
          <w:lang w:val="en-ID" w:eastAsia="en-PH"/>
        </w:rPr>
        <w:t xml:space="preserve"> There is also the recently passed </w:t>
      </w:r>
      <w:r w:rsidRPr="00D55B7A">
        <w:rPr>
          <w:rFonts w:eastAsia="Aptos"/>
          <w:b/>
          <w:bCs/>
          <w:iCs/>
          <w:lang w:val="en-ID" w:eastAsia="en-PH"/>
        </w:rPr>
        <w:t xml:space="preserve">Extended Producer Responsibility Act of 2022 </w:t>
      </w:r>
      <w:r w:rsidRPr="00D55B7A">
        <w:rPr>
          <w:rFonts w:eastAsia="Aptos"/>
          <w:iCs/>
          <w:lang w:val="en-ID" w:eastAsia="en-PH"/>
        </w:rPr>
        <w:t>that requires producers to be environmentally responsible throughout the life cycle of a product, especially its post-consumer or end-of-life stage</w:t>
      </w:r>
      <w:r>
        <w:rPr>
          <w:rFonts w:eastAsia="Aptos"/>
          <w:iCs/>
          <w:lang w:val="en-ID" w:eastAsia="en-PH"/>
        </w:rPr>
        <w:t xml:space="preserve"> (Senate of the Philippines, n.d.)</w:t>
      </w:r>
      <w:r w:rsidRPr="00D55B7A">
        <w:rPr>
          <w:rFonts w:eastAsia="Aptos"/>
          <w:iCs/>
          <w:lang w:val="en-ID" w:eastAsia="en-PH"/>
        </w:rPr>
        <w:t>.</w:t>
      </w:r>
    </w:p>
    <w:p w14:paraId="08FFE6A0" w14:textId="559090F3" w:rsidR="007A3D6A" w:rsidRDefault="007A3D6A" w:rsidP="007A3D6A">
      <w:pPr>
        <w:spacing w:after="240" w:line="276" w:lineRule="auto"/>
        <w:rPr>
          <w:rFonts w:eastAsia="Aptos"/>
          <w:iCs/>
          <w:lang w:val="en-ID" w:eastAsia="en-PH"/>
        </w:rPr>
      </w:pPr>
      <w:r>
        <w:rPr>
          <w:rFonts w:eastAsia="Aptos"/>
          <w:iCs/>
          <w:lang w:val="en-ID" w:eastAsia="en-PH"/>
        </w:rPr>
        <w:t>The land-based pollution thematic area report (</w:t>
      </w:r>
      <w:proofErr w:type="spellStart"/>
      <w:r>
        <w:rPr>
          <w:rFonts w:eastAsia="Aptos"/>
          <w:iCs/>
          <w:lang w:val="en-ID" w:eastAsia="en-PH"/>
        </w:rPr>
        <w:t>Promentill</w:t>
      </w:r>
      <w:r w:rsidR="00473507">
        <w:rPr>
          <w:rFonts w:eastAsia="Aptos"/>
          <w:iCs/>
          <w:lang w:val="en-ID" w:eastAsia="en-PH"/>
        </w:rPr>
        <w:t>a</w:t>
      </w:r>
      <w:proofErr w:type="spellEnd"/>
      <w:r>
        <w:rPr>
          <w:rFonts w:eastAsia="Aptos"/>
          <w:iCs/>
          <w:lang w:val="en-ID" w:eastAsia="en-PH"/>
        </w:rPr>
        <w:t xml:space="preserve"> </w:t>
      </w:r>
      <w:r w:rsidR="00473507">
        <w:rPr>
          <w:rFonts w:eastAsia="Aptos"/>
          <w:iCs/>
          <w:lang w:val="en-ID" w:eastAsia="en-PH"/>
        </w:rPr>
        <w:t>&amp;</w:t>
      </w:r>
      <w:r>
        <w:rPr>
          <w:rFonts w:eastAsia="Aptos"/>
          <w:iCs/>
          <w:lang w:val="en-ID" w:eastAsia="en-PH"/>
        </w:rPr>
        <w:t xml:space="preserve"> Aguila, 2025) </w:t>
      </w:r>
      <w:r w:rsidRPr="00D55B7A">
        <w:rPr>
          <w:rFonts w:eastAsia="Aptos"/>
          <w:iCs/>
          <w:lang w:val="en-ID" w:eastAsia="en-PH"/>
        </w:rPr>
        <w:t>noted some   persistent challenges in the following areas:</w:t>
      </w:r>
    </w:p>
    <w:p w14:paraId="68093C0F" w14:textId="77777777" w:rsidR="00473507" w:rsidRDefault="00473507">
      <w:pPr>
        <w:pStyle w:val="ListParagraph"/>
        <w:numPr>
          <w:ilvl w:val="0"/>
          <w:numId w:val="65"/>
        </w:numPr>
        <w:spacing w:line="276" w:lineRule="auto"/>
        <w:rPr>
          <w:rFonts w:eastAsia="Aptos"/>
          <w:iCs/>
          <w:lang w:val="en-ID" w:eastAsia="en-PH"/>
        </w:rPr>
      </w:pPr>
      <w:r w:rsidRPr="00473507">
        <w:rPr>
          <w:rFonts w:eastAsia="Aptos"/>
          <w:iCs/>
          <w:lang w:val="en-ID" w:eastAsia="en-PH"/>
        </w:rPr>
        <w:t>Wastewater treatment due to rapid urbanization along coastlines and unabated infrastructure development;</w:t>
      </w:r>
    </w:p>
    <w:p w14:paraId="010FF8CB" w14:textId="77777777" w:rsidR="00473507" w:rsidRDefault="00473507">
      <w:pPr>
        <w:pStyle w:val="ListParagraph"/>
        <w:numPr>
          <w:ilvl w:val="0"/>
          <w:numId w:val="65"/>
        </w:numPr>
        <w:spacing w:line="276" w:lineRule="auto"/>
        <w:rPr>
          <w:rFonts w:eastAsia="Aptos"/>
          <w:iCs/>
          <w:lang w:val="en-ID" w:eastAsia="en-PH"/>
        </w:rPr>
      </w:pPr>
      <w:r w:rsidRPr="00473507">
        <w:rPr>
          <w:rFonts w:eastAsia="Aptos"/>
          <w:iCs/>
          <w:lang w:val="en-ID" w:eastAsia="en-PH"/>
        </w:rPr>
        <w:t>Pesticide and nutrient overloading in the country’s river systems persist due to continuing agricultural intensification;</w:t>
      </w:r>
    </w:p>
    <w:p w14:paraId="56DE4F62" w14:textId="49ACB105" w:rsidR="00473507" w:rsidRPr="00473507" w:rsidRDefault="00473507">
      <w:pPr>
        <w:pStyle w:val="ListParagraph"/>
        <w:numPr>
          <w:ilvl w:val="0"/>
          <w:numId w:val="65"/>
        </w:numPr>
        <w:spacing w:line="276" w:lineRule="auto"/>
        <w:rPr>
          <w:rFonts w:eastAsia="Aptos"/>
          <w:iCs/>
          <w:lang w:val="en-ID" w:eastAsia="en-PH"/>
        </w:rPr>
      </w:pPr>
      <w:r w:rsidRPr="00473507">
        <w:rPr>
          <w:rFonts w:eastAsia="Aptos"/>
          <w:iCs/>
          <w:lang w:val="en-ID" w:eastAsia="en-PH"/>
        </w:rPr>
        <w:t>Plastic pollution, along with solid waste, continue to pollute the country’s waterways</w:t>
      </w:r>
    </w:p>
    <w:p w14:paraId="29984E20" w14:textId="77777777" w:rsidR="00473507" w:rsidRPr="00D55B7A" w:rsidRDefault="00473507" w:rsidP="00473507">
      <w:pPr>
        <w:spacing w:line="276" w:lineRule="auto"/>
        <w:rPr>
          <w:rFonts w:eastAsia="Aptos"/>
          <w:iCs/>
          <w:lang w:val="en-ID" w:eastAsia="en-PH"/>
        </w:rPr>
      </w:pPr>
    </w:p>
    <w:p w14:paraId="52F9EE33" w14:textId="1416E932" w:rsidR="00473507" w:rsidRPr="00D55B7A" w:rsidRDefault="00473507" w:rsidP="00473507">
      <w:pPr>
        <w:spacing w:after="240" w:line="276" w:lineRule="auto"/>
        <w:rPr>
          <w:rFonts w:eastAsia="Aptos"/>
          <w:iCs/>
          <w:lang w:val="en-ID" w:eastAsia="en-PH"/>
        </w:rPr>
      </w:pPr>
      <w:r w:rsidRPr="00D55B7A">
        <w:rPr>
          <w:rFonts w:eastAsia="Aptos"/>
          <w:iCs/>
          <w:lang w:val="en-ID" w:eastAsia="en-PH"/>
        </w:rPr>
        <w:t>All these are exacerbated by climate change, which is altering precipitation patterns, raising sea levels, and increasing the frequency of extreme weather events—all factors that influence pollutant transport and impact.</w:t>
      </w:r>
    </w:p>
    <w:p w14:paraId="3CDBA1A9" w14:textId="77777777" w:rsidR="00473507" w:rsidRPr="00D55B7A" w:rsidRDefault="00473507" w:rsidP="00473507">
      <w:pPr>
        <w:spacing w:after="240" w:line="276" w:lineRule="auto"/>
        <w:rPr>
          <w:rFonts w:eastAsia="Aptos"/>
          <w:iCs/>
          <w:lang w:val="en-ID" w:eastAsia="en-PH"/>
        </w:rPr>
      </w:pPr>
      <w:r w:rsidRPr="00D55B7A">
        <w:rPr>
          <w:rFonts w:eastAsia="Aptos"/>
          <w:iCs/>
          <w:lang w:val="en-ID" w:eastAsia="en-PH"/>
        </w:rPr>
        <w:t xml:space="preserve">The Senate Economic Planning Office in 2023 proposed a suite of legislative measures to comprehensively address these problems, a key measure of which called for the creation of a </w:t>
      </w:r>
      <w:r w:rsidRPr="00D55B7A">
        <w:rPr>
          <w:rFonts w:eastAsia="Aptos"/>
          <w:b/>
          <w:bCs/>
          <w:iCs/>
          <w:lang w:val="en-ID" w:eastAsia="en-PH"/>
        </w:rPr>
        <w:t>Department of Water Resources</w:t>
      </w:r>
      <w:r>
        <w:rPr>
          <w:rFonts w:eastAsia="Aptos"/>
          <w:b/>
          <w:bCs/>
          <w:iCs/>
          <w:lang w:val="en-ID" w:eastAsia="en-PH"/>
        </w:rPr>
        <w:t xml:space="preserve"> </w:t>
      </w:r>
      <w:r>
        <w:rPr>
          <w:rFonts w:eastAsia="Aptos"/>
          <w:iCs/>
          <w:lang w:val="en-ID" w:eastAsia="en-PH"/>
        </w:rPr>
        <w:t>(SEPO, 2023)</w:t>
      </w:r>
      <w:r w:rsidRPr="00D55B7A">
        <w:rPr>
          <w:rFonts w:eastAsia="Aptos"/>
          <w:iCs/>
          <w:lang w:val="en-ID" w:eastAsia="en-PH"/>
        </w:rPr>
        <w:t>.</w:t>
      </w:r>
      <w:r>
        <w:rPr>
          <w:rFonts w:eastAsia="Aptos"/>
          <w:iCs/>
          <w:lang w:val="en-ID" w:eastAsia="en-PH"/>
        </w:rPr>
        <w:t xml:space="preserve">   </w:t>
      </w:r>
      <w:r w:rsidRPr="00D55B7A">
        <w:rPr>
          <w:rFonts w:eastAsia="Aptos"/>
          <w:iCs/>
          <w:lang w:val="en-ID" w:eastAsia="en-PH"/>
        </w:rPr>
        <w:t xml:space="preserve">A step towards this institutionalization is the establishment of the </w:t>
      </w:r>
      <w:r w:rsidRPr="00D55B7A">
        <w:rPr>
          <w:rFonts w:eastAsia="Aptos"/>
          <w:b/>
          <w:bCs/>
          <w:iCs/>
          <w:lang w:val="en-ID" w:eastAsia="en-PH"/>
        </w:rPr>
        <w:t>Water Resources Management Office</w:t>
      </w:r>
      <w:r>
        <w:rPr>
          <w:rFonts w:eastAsia="Aptos"/>
          <w:b/>
          <w:bCs/>
          <w:iCs/>
          <w:lang w:val="en-ID" w:eastAsia="en-PH"/>
        </w:rPr>
        <w:t xml:space="preserve"> </w:t>
      </w:r>
      <w:r>
        <w:rPr>
          <w:rFonts w:eastAsia="Aptos"/>
          <w:iCs/>
          <w:lang w:val="en-ID" w:eastAsia="en-PH"/>
        </w:rPr>
        <w:t>(Official Gazette, n.d.)</w:t>
      </w:r>
      <w:r w:rsidRPr="00D55B7A">
        <w:rPr>
          <w:rFonts w:eastAsia="Aptos"/>
          <w:b/>
          <w:bCs/>
          <w:iCs/>
          <w:lang w:val="en-ID" w:eastAsia="en-PH"/>
        </w:rPr>
        <w:t xml:space="preserve"> </w:t>
      </w:r>
      <w:r w:rsidRPr="00D55B7A">
        <w:rPr>
          <w:rFonts w:eastAsia="Aptos"/>
          <w:iCs/>
          <w:lang w:val="en-ID" w:eastAsia="en-PH"/>
        </w:rPr>
        <w:t>to be headed by an Undersecretary to be appointed by the President, upon the recommendation of the DENR Secretary.</w:t>
      </w:r>
    </w:p>
    <w:p w14:paraId="50365AA5" w14:textId="571DCD42" w:rsidR="004577E8" w:rsidRPr="00D55B7A" w:rsidRDefault="004577E8" w:rsidP="004577E8">
      <w:pPr>
        <w:spacing w:after="240" w:line="276" w:lineRule="auto"/>
      </w:pPr>
      <w:r>
        <w:rPr>
          <w:rFonts w:eastAsia="Aptos"/>
          <w:iCs/>
          <w:lang w:val="en-ID" w:eastAsia="en-PH"/>
        </w:rPr>
        <w:t>Recently, i</w:t>
      </w:r>
      <w:r w:rsidRPr="00D55B7A">
        <w:rPr>
          <w:rFonts w:eastAsia="Aptos"/>
          <w:iCs/>
          <w:lang w:val="en-ID" w:eastAsia="en-PH"/>
        </w:rPr>
        <w:t xml:space="preserve">n regard to the implementation of the ASEAN’s </w:t>
      </w:r>
      <w:r w:rsidRPr="00D55B7A">
        <w:rPr>
          <w:rFonts w:eastAsia="Aptos"/>
          <w:i/>
          <w:lang w:val="en-ID" w:eastAsia="en-PH"/>
        </w:rPr>
        <w:t>Blue Economy Framework</w:t>
      </w:r>
      <w:r w:rsidRPr="00D55B7A">
        <w:t xml:space="preserve"> recently</w:t>
      </w:r>
      <w:r>
        <w:t xml:space="preserve"> (Aksyon Klima, 2025)</w:t>
      </w:r>
      <w:r w:rsidRPr="00D55B7A">
        <w:t xml:space="preserve">, the DENR laid out its key priorities for the next two years 2025-2026, and among the measures that are being eyed that relates to the blue economy include </w:t>
      </w:r>
      <w:r w:rsidRPr="00D55B7A">
        <w:rPr>
          <w:b/>
          <w:bCs/>
        </w:rPr>
        <w:t>a draft policy on blue carbon</w:t>
      </w:r>
      <w:r w:rsidRPr="00D55B7A">
        <w:t xml:space="preserve"> to complement the Blue Economy Bill and other initiatives under the National Blue Carbon Action Partnership</w:t>
      </w:r>
      <w:r>
        <w:t xml:space="preserve"> (NBCAP)</w:t>
      </w:r>
      <w:r w:rsidRPr="00D55B7A">
        <w:t xml:space="preserve"> and the creation of a </w:t>
      </w:r>
      <w:r w:rsidRPr="00D55B7A">
        <w:rPr>
          <w:b/>
          <w:bCs/>
        </w:rPr>
        <w:t>blue economy database</w:t>
      </w:r>
      <w:r w:rsidRPr="00D55B7A">
        <w:t xml:space="preserve"> that would track the involvement of stakeholders and ongoing initiatives related to the promotion of a blue economy. The DENR also launched the </w:t>
      </w:r>
      <w:r w:rsidRPr="00D55B7A">
        <w:rPr>
          <w:rFonts w:eastAsia="Arial"/>
          <w:b/>
          <w:bCs/>
          <w:lang w:eastAsia="en-PH"/>
        </w:rPr>
        <w:t>NBCAP</w:t>
      </w:r>
      <w:r w:rsidRPr="00D55B7A">
        <w:rPr>
          <w:rFonts w:eastAsia="Arial"/>
          <w:lang w:eastAsia="en-PH"/>
        </w:rPr>
        <w:t xml:space="preserve"> between the Zoological Society of London, UK DFID and DENR-BMB was launched in UNFCCC COP 28 in 2023</w:t>
      </w:r>
      <w:r>
        <w:rPr>
          <w:rFonts w:eastAsia="Arial"/>
          <w:lang w:eastAsia="en-PH"/>
        </w:rPr>
        <w:t xml:space="preserve"> (DENR, 2023)</w:t>
      </w:r>
      <w:r w:rsidRPr="00D55B7A">
        <w:rPr>
          <w:rFonts w:eastAsia="Arial"/>
          <w:lang w:eastAsia="en-PH"/>
        </w:rPr>
        <w:t xml:space="preserve">. </w:t>
      </w:r>
    </w:p>
    <w:p w14:paraId="50404C4C" w14:textId="77777777" w:rsidR="004577E8" w:rsidRPr="00D55B7A" w:rsidRDefault="004577E8" w:rsidP="004577E8">
      <w:pPr>
        <w:spacing w:after="240" w:line="276" w:lineRule="auto"/>
        <w:rPr>
          <w:rFonts w:eastAsia="Arial"/>
          <w:lang w:eastAsia="en-PH"/>
        </w:rPr>
      </w:pPr>
    </w:p>
    <w:p w14:paraId="3DF5FB65" w14:textId="5E3599A1" w:rsidR="004577E8" w:rsidRPr="004577E8" w:rsidRDefault="004577E8" w:rsidP="004577E8">
      <w:pPr>
        <w:spacing w:after="240" w:line="276" w:lineRule="auto"/>
        <w:rPr>
          <w:rFonts w:eastAsia="Arial"/>
          <w:lang w:eastAsia="en-PH"/>
        </w:rPr>
      </w:pPr>
      <w:r w:rsidRPr="00D55B7A">
        <w:rPr>
          <w:rFonts w:eastAsia="Arial"/>
          <w:lang w:eastAsia="en-PH"/>
        </w:rPr>
        <w:t>The</w:t>
      </w:r>
      <w:r>
        <w:rPr>
          <w:rFonts w:eastAsia="Arial"/>
          <w:lang w:eastAsia="en-PH"/>
        </w:rPr>
        <w:t>re are pending legislative measures on the Blue Economy and these</w:t>
      </w:r>
      <w:r w:rsidRPr="00D55B7A">
        <w:rPr>
          <w:rFonts w:eastAsia="Arial"/>
          <w:lang w:eastAsia="en-PH"/>
        </w:rPr>
        <w:t xml:space="preserve"> measures will have to be passed to fully articulate the </w:t>
      </w:r>
      <w:r w:rsidRPr="00467489">
        <w:rPr>
          <w:rFonts w:eastAsia="Arial"/>
          <w:b/>
          <w:bCs/>
          <w:lang w:eastAsia="en-PH"/>
        </w:rPr>
        <w:t>Philippine Oceans Policy</w:t>
      </w:r>
      <w:r w:rsidRPr="00D55B7A">
        <w:rPr>
          <w:rFonts w:eastAsia="Arial"/>
          <w:lang w:eastAsia="en-PH"/>
        </w:rPr>
        <w:t>, of which there was one referred to by the Philippine delegation in the recent UN Oceans Conference in Busan, South Korea</w:t>
      </w:r>
      <w:r>
        <w:rPr>
          <w:rFonts w:eastAsia="Arial"/>
          <w:lang w:eastAsia="en-PH"/>
        </w:rPr>
        <w:t xml:space="preserve"> (Department of Foreign Affairs, 2025).</w:t>
      </w:r>
    </w:p>
    <w:p w14:paraId="6194B389" w14:textId="42FD02F7" w:rsidR="00473507" w:rsidRDefault="00473507" w:rsidP="00473507">
      <w:pPr>
        <w:pStyle w:val="Heading3"/>
        <w:rPr>
          <w:rFonts w:eastAsia="Arial"/>
          <w:lang w:eastAsia="en-PH"/>
        </w:rPr>
      </w:pPr>
      <w:bookmarkStart w:id="7" w:name="_Toc215447057"/>
      <w:r>
        <w:rPr>
          <w:rFonts w:eastAsia="Arial"/>
          <w:lang w:eastAsia="en-PH"/>
        </w:rPr>
        <w:t>6.2.4 Civil Society, Stakeholders and Participation</w:t>
      </w:r>
      <w:bookmarkEnd w:id="7"/>
    </w:p>
    <w:p w14:paraId="2245FD95" w14:textId="4EB62F44" w:rsidR="00473507" w:rsidRDefault="00473507" w:rsidP="00473507">
      <w:pPr>
        <w:pStyle w:val="Heading4"/>
        <w:rPr>
          <w:rFonts w:eastAsia="Arial"/>
          <w:lang w:eastAsia="en-PH"/>
        </w:rPr>
      </w:pPr>
      <w:r>
        <w:rPr>
          <w:rFonts w:eastAsia="Arial"/>
          <w:lang w:eastAsia="en-PH"/>
        </w:rPr>
        <w:t>6.2.4.1 Key NGOs and Special Interest Groups</w:t>
      </w:r>
    </w:p>
    <w:p w14:paraId="1FB0BE67" w14:textId="664E8C8A" w:rsidR="004577E8" w:rsidRPr="004577E8" w:rsidRDefault="004577E8" w:rsidP="004577E8">
      <w:pPr>
        <w:spacing w:after="240" w:line="276" w:lineRule="auto"/>
        <w:rPr>
          <w:rFonts w:eastAsia="Aptos"/>
          <w:iCs/>
          <w:lang w:val="en-ID" w:eastAsia="en-PH"/>
        </w:rPr>
      </w:pPr>
      <w:r w:rsidRPr="00D55B7A">
        <w:rPr>
          <w:rFonts w:eastAsia="Aptos"/>
          <w:iCs/>
          <w:lang w:val="en-ID" w:eastAsia="en-PH"/>
        </w:rPr>
        <w:t xml:space="preserve">The key </w:t>
      </w:r>
      <w:r>
        <w:rPr>
          <w:rFonts w:eastAsia="Aptos"/>
          <w:iCs/>
          <w:lang w:val="en-ID" w:eastAsia="en-PH"/>
        </w:rPr>
        <w:t>non-government organizations (</w:t>
      </w:r>
      <w:r w:rsidRPr="00D55B7A">
        <w:rPr>
          <w:rFonts w:eastAsia="Aptos"/>
          <w:iCs/>
          <w:lang w:val="en-ID" w:eastAsia="en-PH"/>
        </w:rPr>
        <w:t>NGOs</w:t>
      </w:r>
      <w:r>
        <w:rPr>
          <w:rFonts w:eastAsia="Aptos"/>
          <w:iCs/>
          <w:lang w:val="en-ID" w:eastAsia="en-PH"/>
        </w:rPr>
        <w:t>)</w:t>
      </w:r>
      <w:r w:rsidRPr="00D55B7A">
        <w:rPr>
          <w:rFonts w:eastAsia="Aptos"/>
          <w:iCs/>
          <w:lang w:val="en-ID" w:eastAsia="en-PH"/>
        </w:rPr>
        <w:t xml:space="preserve"> working on coastal and marine issues in the Philippines include</w:t>
      </w:r>
      <w:r>
        <w:rPr>
          <w:rFonts w:eastAsia="Aptos"/>
          <w:iCs/>
          <w:lang w:val="en-ID" w:eastAsia="en-PH"/>
        </w:rPr>
        <w:t>s</w:t>
      </w:r>
      <w:r w:rsidRPr="00D55B7A">
        <w:rPr>
          <w:rFonts w:eastAsia="Aptos"/>
          <w:iCs/>
          <w:lang w:val="en-ID" w:eastAsia="en-PH"/>
        </w:rPr>
        <w:t xml:space="preserve"> the </w:t>
      </w:r>
      <w:r w:rsidRPr="00D55B7A">
        <w:rPr>
          <w:rFonts w:eastAsia="Aptos"/>
          <w:b/>
          <w:bCs/>
          <w:iCs/>
          <w:lang w:val="en-ID" w:eastAsia="en-PH"/>
        </w:rPr>
        <w:t>NGOs for Fisheries Reform (NFR)</w:t>
      </w:r>
      <w:r w:rsidRPr="00D55B7A">
        <w:rPr>
          <w:rFonts w:eastAsia="Aptos"/>
          <w:iCs/>
          <w:lang w:val="en-ID" w:eastAsia="en-PH"/>
        </w:rPr>
        <w:t xml:space="preserve">, </w:t>
      </w:r>
      <w:r w:rsidRPr="00D55B7A">
        <w:rPr>
          <w:rFonts w:eastAsia="Aptos"/>
          <w:iCs/>
          <w:lang w:eastAsia="en-PH"/>
        </w:rPr>
        <w:t>composed of 12 non-government organizations</w:t>
      </w:r>
      <w:r>
        <w:rPr>
          <w:rFonts w:eastAsia="Aptos"/>
          <w:iCs/>
          <w:lang w:eastAsia="en-PH"/>
        </w:rPr>
        <w:t xml:space="preserve"> which </w:t>
      </w:r>
      <w:r w:rsidRPr="00D55B7A">
        <w:rPr>
          <w:rFonts w:eastAsia="Aptos"/>
          <w:iCs/>
          <w:lang w:eastAsia="en-PH"/>
        </w:rPr>
        <w:t xml:space="preserve">has </w:t>
      </w:r>
      <w:r w:rsidRPr="00D55B7A">
        <w:rPr>
          <w:rFonts w:eastAsia="Aptos"/>
          <w:iCs/>
          <w:lang w:val="en-ID" w:eastAsia="en-PH"/>
        </w:rPr>
        <w:t xml:space="preserve">been in existence since 1994. </w:t>
      </w:r>
      <w:r>
        <w:rPr>
          <w:rFonts w:eastAsia="Aptos"/>
          <w:iCs/>
          <w:lang w:val="en-ID" w:eastAsia="en-PH"/>
        </w:rPr>
        <w:t>T</w:t>
      </w:r>
      <w:r w:rsidRPr="00D55B7A">
        <w:rPr>
          <w:rFonts w:eastAsia="Aptos"/>
          <w:iCs/>
          <w:lang w:val="en-ID" w:eastAsia="en-PH"/>
        </w:rPr>
        <w:t xml:space="preserve">here is also the </w:t>
      </w:r>
      <w:r w:rsidRPr="00D55B7A">
        <w:rPr>
          <w:rFonts w:eastAsia="Aptos"/>
          <w:b/>
          <w:bCs/>
          <w:iCs/>
          <w:lang w:val="en-ID" w:eastAsia="en-PH"/>
        </w:rPr>
        <w:t>PAMALAKAYA-</w:t>
      </w:r>
      <w:proofErr w:type="spellStart"/>
      <w:r w:rsidRPr="00D55B7A">
        <w:rPr>
          <w:rFonts w:eastAsia="Aptos"/>
          <w:b/>
          <w:bCs/>
          <w:iCs/>
          <w:lang w:val="en-ID" w:eastAsia="en-PH"/>
        </w:rPr>
        <w:t>Pilipinas</w:t>
      </w:r>
      <w:proofErr w:type="spellEnd"/>
      <w:r w:rsidRPr="00D55B7A">
        <w:rPr>
          <w:rFonts w:eastAsia="Aptos"/>
          <w:iCs/>
          <w:lang w:val="en-ID" w:eastAsia="en-PH"/>
        </w:rPr>
        <w:t>, a militant alliance of small fisherfolk established in 1987, with 9 regional chapters, 43 provincial chapters and over 80,000 individual members nationwide</w:t>
      </w:r>
      <w:r>
        <w:rPr>
          <w:rFonts w:eastAsia="Aptos"/>
          <w:iCs/>
          <w:lang w:val="en-ID" w:eastAsia="en-PH"/>
        </w:rPr>
        <w:t xml:space="preserve"> (PAMALAKAYA, n.d.)</w:t>
      </w:r>
      <w:r w:rsidRPr="00D55B7A">
        <w:rPr>
          <w:rFonts w:eastAsia="Aptos"/>
          <w:iCs/>
          <w:lang w:val="en-ID" w:eastAsia="en-PH"/>
        </w:rPr>
        <w:t>.  These NGOs are effective within their areas of advocacy, though in essence, not all of their concerns are immediately integrated in government policies, programs and activities</w:t>
      </w:r>
      <w:r>
        <w:rPr>
          <w:rFonts w:eastAsia="Aptos"/>
          <w:iCs/>
          <w:lang w:val="en-ID" w:eastAsia="en-PH"/>
        </w:rPr>
        <w:t xml:space="preserve"> as they will have to be further reviewed before they are taken on-board.</w:t>
      </w:r>
    </w:p>
    <w:p w14:paraId="5A853ABA" w14:textId="6E7276ED" w:rsidR="004577E8" w:rsidRPr="00D55B7A" w:rsidRDefault="004577E8" w:rsidP="004577E8">
      <w:pPr>
        <w:spacing w:after="240" w:line="276" w:lineRule="auto"/>
        <w:rPr>
          <w:rFonts w:eastAsia="Aptos"/>
          <w:iCs/>
          <w:lang w:val="en-ID" w:eastAsia="en-PH"/>
        </w:rPr>
      </w:pPr>
      <w:r w:rsidRPr="00D55B7A">
        <w:rPr>
          <w:rFonts w:eastAsia="Aptos"/>
          <w:iCs/>
          <w:lang w:val="en-ID" w:eastAsia="en-PH"/>
        </w:rPr>
        <w:t xml:space="preserve">There are also area-based NGOs such as the </w:t>
      </w:r>
      <w:r w:rsidRPr="00D55B7A">
        <w:rPr>
          <w:rFonts w:eastAsia="Aptos"/>
          <w:b/>
          <w:bCs/>
          <w:iCs/>
          <w:lang w:val="en-ID" w:eastAsia="en-PH"/>
        </w:rPr>
        <w:t>Marine Conservation Philippines (MCP)</w:t>
      </w:r>
      <w:r w:rsidRPr="00D55B7A">
        <w:rPr>
          <w:rFonts w:eastAsia="Aptos"/>
          <w:iCs/>
          <w:lang w:val="en-ID" w:eastAsia="en-PH"/>
        </w:rPr>
        <w:t xml:space="preserve"> based in </w:t>
      </w:r>
      <w:proofErr w:type="spellStart"/>
      <w:r w:rsidRPr="00D55B7A">
        <w:rPr>
          <w:rFonts w:eastAsia="Aptos"/>
          <w:iCs/>
          <w:lang w:val="en-ID" w:eastAsia="en-PH"/>
        </w:rPr>
        <w:t>Zamboanguita</w:t>
      </w:r>
      <w:proofErr w:type="spellEnd"/>
      <w:r w:rsidRPr="00D55B7A">
        <w:rPr>
          <w:rFonts w:eastAsia="Aptos"/>
          <w:iCs/>
          <w:lang w:val="en-ID" w:eastAsia="en-PH"/>
        </w:rPr>
        <w:t>, Negros Oriental that uses science to understand how local and global pressures affect marine ecosystems, and they empower, engage, and build local and national capacity to reduce and adapt to these pressures, aiming for a sustainable future for the Philippine people and environment</w:t>
      </w:r>
      <w:r>
        <w:rPr>
          <w:rFonts w:eastAsia="Aptos"/>
          <w:iCs/>
          <w:lang w:val="en-ID" w:eastAsia="en-PH"/>
        </w:rPr>
        <w:t xml:space="preserve"> (MCP, n.d.) </w:t>
      </w:r>
      <w:r w:rsidRPr="00D55B7A">
        <w:rPr>
          <w:rFonts w:eastAsia="Aptos"/>
          <w:iCs/>
          <w:lang w:val="en-ID" w:eastAsia="en-PH"/>
        </w:rPr>
        <w:t xml:space="preserve">or the </w:t>
      </w:r>
      <w:r w:rsidRPr="00D55B7A">
        <w:rPr>
          <w:rFonts w:eastAsia="Aptos"/>
          <w:b/>
          <w:bCs/>
          <w:iCs/>
          <w:lang w:val="en-ID" w:eastAsia="en-PH"/>
        </w:rPr>
        <w:t xml:space="preserve">Coral Reef &amp; Rainforest Conservation Project </w:t>
      </w:r>
      <w:r w:rsidRPr="00D55B7A">
        <w:rPr>
          <w:rFonts w:eastAsia="Aptos"/>
          <w:iCs/>
          <w:lang w:val="en-ID" w:eastAsia="en-PH"/>
        </w:rPr>
        <w:t>which implements several marine conservation projects in Siquijor Island</w:t>
      </w:r>
      <w:r>
        <w:rPr>
          <w:rFonts w:eastAsia="Aptos"/>
          <w:iCs/>
          <w:lang w:val="en-ID" w:eastAsia="en-PH"/>
        </w:rPr>
        <w:t xml:space="preserve"> (CRCP, n.d.)</w:t>
      </w:r>
      <w:r w:rsidRPr="00D55B7A">
        <w:rPr>
          <w:rFonts w:eastAsia="Aptos"/>
          <w:iCs/>
          <w:lang w:val="en-ID" w:eastAsia="en-PH"/>
        </w:rPr>
        <w:t xml:space="preserve">.  These NGOs follow the path taken by </w:t>
      </w:r>
      <w:r w:rsidRPr="00D55B7A">
        <w:rPr>
          <w:rFonts w:eastAsia="Aptos"/>
          <w:b/>
          <w:bCs/>
          <w:iCs/>
          <w:lang w:val="en-ID" w:eastAsia="en-PH"/>
        </w:rPr>
        <w:t xml:space="preserve">Coastal Conservation and Education Foundation, Inc., </w:t>
      </w:r>
      <w:r w:rsidRPr="00D55B7A">
        <w:rPr>
          <w:rFonts w:eastAsia="Aptos"/>
          <w:iCs/>
          <w:lang w:val="en-ID" w:eastAsia="en-PH"/>
        </w:rPr>
        <w:t>which, since 1998, helped conserve coastal and marine resources for the benefit of all coastal residents in various coastal communities in the Visayas</w:t>
      </w:r>
      <w:r>
        <w:rPr>
          <w:rFonts w:eastAsia="Aptos"/>
          <w:iCs/>
          <w:lang w:val="en-ID" w:eastAsia="en-PH"/>
        </w:rPr>
        <w:t xml:space="preserve"> (White, 2024)</w:t>
      </w:r>
      <w:r w:rsidRPr="00D55B7A">
        <w:rPr>
          <w:rFonts w:eastAsia="Aptos"/>
          <w:iCs/>
          <w:lang w:val="en-ID" w:eastAsia="en-PH"/>
        </w:rPr>
        <w:t xml:space="preserve">. </w:t>
      </w:r>
    </w:p>
    <w:p w14:paraId="511FE911" w14:textId="77777777" w:rsidR="00473507" w:rsidRPr="00D55B7A" w:rsidRDefault="00473507" w:rsidP="00473507">
      <w:pPr>
        <w:pStyle w:val="Heading4"/>
        <w:rPr>
          <w:rFonts w:eastAsia="Aptos"/>
          <w:lang w:val="en-ID" w:eastAsia="en-PH"/>
        </w:rPr>
      </w:pPr>
      <w:r w:rsidRPr="00D55B7A">
        <w:rPr>
          <w:rFonts w:eastAsia="Aptos"/>
          <w:lang w:val="en-ID" w:eastAsia="en-PH"/>
        </w:rPr>
        <w:t xml:space="preserve">6.2.4.2. Trade Associations and Business Groups </w:t>
      </w:r>
    </w:p>
    <w:p w14:paraId="51B6F7BD" w14:textId="70D186CA" w:rsidR="00DA2B30" w:rsidRPr="00D55B7A" w:rsidRDefault="00DA2B30" w:rsidP="00DA2B30">
      <w:pPr>
        <w:spacing w:after="240" w:line="276" w:lineRule="auto"/>
        <w:rPr>
          <w:rFonts w:eastAsia="Aptos"/>
          <w:iCs/>
          <w:lang w:val="en-ID" w:eastAsia="en-PH"/>
        </w:rPr>
      </w:pPr>
      <w:r w:rsidRPr="00D55B7A">
        <w:rPr>
          <w:rFonts w:eastAsia="Aptos"/>
          <w:iCs/>
          <w:lang w:val="en-ID" w:eastAsia="en-PH"/>
        </w:rPr>
        <w:t xml:space="preserve">When Batangas Bay was identified as a national ICM demonstration site in 1994, it provided a more focused direction to the </w:t>
      </w:r>
      <w:r w:rsidRPr="00D55B7A">
        <w:rPr>
          <w:rFonts w:eastAsia="Aptos"/>
          <w:b/>
          <w:bCs/>
          <w:iCs/>
          <w:lang w:val="en-ID" w:eastAsia="en-PH"/>
        </w:rPr>
        <w:t xml:space="preserve">Batangas Coastal Resources Management Foundation (BCRMF), </w:t>
      </w:r>
      <w:r w:rsidRPr="00D55B7A">
        <w:rPr>
          <w:rFonts w:eastAsia="Aptos"/>
          <w:iCs/>
          <w:lang w:val="en-ID" w:eastAsia="en-PH"/>
        </w:rPr>
        <w:t xml:space="preserve">earlier established in 1991. The Foundation, organized through the efforts of the provincial governor and five of the largest companies in the province: </w:t>
      </w:r>
      <w:proofErr w:type="spellStart"/>
      <w:r w:rsidRPr="00D55B7A">
        <w:rPr>
          <w:rFonts w:eastAsia="Aptos"/>
          <w:iCs/>
          <w:lang w:val="en-ID" w:eastAsia="en-PH"/>
        </w:rPr>
        <w:t>Pilipinas</w:t>
      </w:r>
      <w:proofErr w:type="spellEnd"/>
      <w:r w:rsidRPr="00D55B7A">
        <w:rPr>
          <w:rFonts w:eastAsia="Aptos"/>
          <w:iCs/>
          <w:lang w:val="en-ID" w:eastAsia="en-PH"/>
        </w:rPr>
        <w:t xml:space="preserve"> Shell, Caltex Philippines, </w:t>
      </w:r>
      <w:proofErr w:type="spellStart"/>
      <w:r w:rsidRPr="00D55B7A">
        <w:rPr>
          <w:rFonts w:eastAsia="Aptos"/>
          <w:iCs/>
          <w:lang w:val="en-ID" w:eastAsia="en-PH"/>
        </w:rPr>
        <w:t>Chemphil</w:t>
      </w:r>
      <w:proofErr w:type="spellEnd"/>
      <w:r w:rsidRPr="00D55B7A">
        <w:rPr>
          <w:rFonts w:eastAsia="Aptos"/>
          <w:iCs/>
          <w:lang w:val="en-ID" w:eastAsia="en-PH"/>
        </w:rPr>
        <w:t xml:space="preserve"> Albright Philippines, AG&amp;P Inc., and General Milling Corporation, provided supporting funds, staff,   and other logistical support for the implementation of the ICM program, covering such activities as public awareness, coastal cleanups, coral reef rehabilitation, and monitoring of environmental changes in Batangas Bay</w:t>
      </w:r>
      <w:r>
        <w:rPr>
          <w:rFonts w:eastAsia="Aptos"/>
          <w:iCs/>
          <w:lang w:val="en-ID" w:eastAsia="en-PH"/>
        </w:rPr>
        <w:t xml:space="preserve"> (PEMSEA, 2023)</w:t>
      </w:r>
      <w:r w:rsidRPr="00D55B7A">
        <w:rPr>
          <w:rFonts w:eastAsia="Aptos"/>
          <w:iCs/>
          <w:lang w:val="en-ID" w:eastAsia="en-PH"/>
        </w:rPr>
        <w:t xml:space="preserve">. </w:t>
      </w:r>
    </w:p>
    <w:p w14:paraId="748BDEF1" w14:textId="34F4B704" w:rsidR="00D11FA7" w:rsidRDefault="00D11FA7" w:rsidP="00D11FA7">
      <w:pPr>
        <w:pStyle w:val="Heading3"/>
        <w:rPr>
          <w:rFonts w:eastAsia="Aptos"/>
          <w:lang w:val="en-ID" w:eastAsia="en-PH"/>
        </w:rPr>
      </w:pPr>
      <w:bookmarkStart w:id="8" w:name="_Toc215447058"/>
      <w:r w:rsidRPr="00D11FA7">
        <w:rPr>
          <w:rFonts w:eastAsia="Aptos"/>
          <w:lang w:val="en-ID" w:eastAsia="en-PH"/>
        </w:rPr>
        <w:t>6.2.5 Governance Performance and Effectiveness</w:t>
      </w:r>
      <w:bookmarkEnd w:id="8"/>
      <w:r w:rsidRPr="00D11FA7">
        <w:rPr>
          <w:rFonts w:eastAsia="Aptos"/>
          <w:lang w:val="en-ID" w:eastAsia="en-PH"/>
        </w:rPr>
        <w:t xml:space="preserve"> </w:t>
      </w:r>
    </w:p>
    <w:p w14:paraId="51BBDE1B" w14:textId="1DA4FDD6" w:rsidR="00473507" w:rsidRPr="00171847" w:rsidRDefault="00473507" w:rsidP="00171847">
      <w:pPr>
        <w:pStyle w:val="NoSpacing"/>
        <w:spacing w:after="240" w:line="276" w:lineRule="auto"/>
        <w:ind w:firstLine="360"/>
        <w:jc w:val="both"/>
        <w:rPr>
          <w:rFonts w:ascii="Times New Roman" w:hAnsi="Times New Roman" w:cs="Times New Roman"/>
          <w:color w:val="000000"/>
          <w:sz w:val="20"/>
          <w:szCs w:val="20"/>
        </w:rPr>
      </w:pPr>
      <w:r w:rsidRPr="00D55B7A">
        <w:rPr>
          <w:rStyle w:val="Strong"/>
          <w:rFonts w:ascii="Times New Roman" w:hAnsi="Times New Roman" w:cs="Times New Roman"/>
          <w:color w:val="000000"/>
          <w:sz w:val="20"/>
          <w:szCs w:val="20"/>
        </w:rPr>
        <w:t>Good governance</w:t>
      </w:r>
      <w:r w:rsidRPr="00D55B7A">
        <w:rPr>
          <w:rStyle w:val="apple-converted-space"/>
          <w:rFonts w:ascii="Times New Roman" w:hAnsi="Times New Roman" w:cs="Times New Roman"/>
          <w:color w:val="000000"/>
          <w:sz w:val="20"/>
          <w:szCs w:val="20"/>
        </w:rPr>
        <w:t> </w:t>
      </w:r>
      <w:r w:rsidRPr="00D55B7A">
        <w:rPr>
          <w:rFonts w:ascii="Times New Roman" w:hAnsi="Times New Roman" w:cs="Times New Roman"/>
          <w:color w:val="000000"/>
          <w:sz w:val="20"/>
          <w:szCs w:val="20"/>
        </w:rPr>
        <w:t xml:space="preserve">is about adhering to principles of participation, transparency, accountability, equity, and coordination. At the national level, an </w:t>
      </w:r>
      <w:r w:rsidRPr="00D55B7A">
        <w:rPr>
          <w:rFonts w:ascii="Times New Roman" w:hAnsi="Times New Roman" w:cs="Times New Roman"/>
          <w:sz w:val="20"/>
          <w:szCs w:val="20"/>
        </w:rPr>
        <w:t>assessment of existing governance arrangements and processes was undertaken to identify whether they are consistent with accepted institutional norms and practices (i.e., architecture, process, engagement</w:t>
      </w:r>
      <w:r w:rsidR="00171847" w:rsidRPr="00D55B7A">
        <w:rPr>
          <w:rFonts w:ascii="Times New Roman" w:hAnsi="Times New Roman" w:cs="Times New Roman"/>
          <w:sz w:val="20"/>
          <w:szCs w:val="20"/>
        </w:rPr>
        <w:t>):</w:t>
      </w:r>
    </w:p>
    <w:p w14:paraId="16366F71" w14:textId="20CC5E62" w:rsidR="00B72878" w:rsidRPr="00B72878" w:rsidRDefault="00B72878" w:rsidP="00B72878">
      <w:pPr>
        <w:pStyle w:val="NoSpacing"/>
        <w:numPr>
          <w:ilvl w:val="0"/>
          <w:numId w:val="66"/>
        </w:numPr>
        <w:spacing w:after="240" w:line="276" w:lineRule="auto"/>
        <w:jc w:val="both"/>
        <w:rPr>
          <w:rFonts w:ascii="Times New Roman" w:hAnsi="Times New Roman" w:cs="Times New Roman"/>
          <w:sz w:val="20"/>
          <w:szCs w:val="20"/>
        </w:rPr>
      </w:pPr>
      <w:r w:rsidRPr="00D55B7A">
        <w:rPr>
          <w:rFonts w:ascii="Times New Roman" w:hAnsi="Times New Roman" w:cs="Times New Roman"/>
          <w:b/>
          <w:bCs/>
          <w:sz w:val="20"/>
          <w:szCs w:val="20"/>
        </w:rPr>
        <w:t>Governance architecture</w:t>
      </w:r>
      <w:r w:rsidRPr="00D55B7A">
        <w:rPr>
          <w:rFonts w:ascii="Times New Roman" w:hAnsi="Times New Roman" w:cs="Times New Roman"/>
          <w:sz w:val="20"/>
          <w:szCs w:val="20"/>
        </w:rPr>
        <w:t xml:space="preserve"> – there are institutional arrangements in place, established formally by law, particularly the </w:t>
      </w:r>
      <w:r w:rsidRPr="00496D77">
        <w:rPr>
          <w:rFonts w:ascii="Times New Roman" w:hAnsi="Times New Roman" w:cs="Times New Roman"/>
          <w:b/>
          <w:bCs/>
          <w:sz w:val="20"/>
          <w:szCs w:val="20"/>
        </w:rPr>
        <w:t>Water Quality Management Area (WQMA) Governing Board</w:t>
      </w:r>
      <w:r w:rsidRPr="00D55B7A">
        <w:rPr>
          <w:rFonts w:ascii="Times New Roman" w:hAnsi="Times New Roman" w:cs="Times New Roman"/>
          <w:sz w:val="20"/>
          <w:szCs w:val="20"/>
        </w:rPr>
        <w:t xml:space="preserve"> for clean water, as well as the </w:t>
      </w:r>
      <w:r w:rsidRPr="00496D77">
        <w:rPr>
          <w:rFonts w:ascii="Times New Roman" w:hAnsi="Times New Roman" w:cs="Times New Roman"/>
          <w:b/>
          <w:bCs/>
          <w:sz w:val="20"/>
          <w:szCs w:val="20"/>
        </w:rPr>
        <w:t>Airshed Governing Board</w:t>
      </w:r>
      <w:r w:rsidRPr="00D55B7A">
        <w:rPr>
          <w:rFonts w:ascii="Times New Roman" w:hAnsi="Times New Roman" w:cs="Times New Roman"/>
          <w:sz w:val="20"/>
          <w:szCs w:val="20"/>
        </w:rPr>
        <w:t xml:space="preserve"> for air pollution.</w:t>
      </w:r>
      <w:r>
        <w:rPr>
          <w:rFonts w:ascii="Times New Roman" w:hAnsi="Times New Roman" w:cs="Times New Roman"/>
          <w:sz w:val="20"/>
          <w:szCs w:val="20"/>
        </w:rPr>
        <w:t xml:space="preserve"> For coastal and marine resources management, there’s the </w:t>
      </w:r>
      <w:r w:rsidRPr="00496D77">
        <w:rPr>
          <w:rFonts w:ascii="Times New Roman" w:hAnsi="Times New Roman" w:cs="Times New Roman"/>
          <w:b/>
          <w:bCs/>
          <w:sz w:val="20"/>
          <w:szCs w:val="20"/>
        </w:rPr>
        <w:t>FARMC framework</w:t>
      </w:r>
      <w:r>
        <w:rPr>
          <w:rFonts w:ascii="Times New Roman" w:hAnsi="Times New Roman" w:cs="Times New Roman"/>
          <w:sz w:val="20"/>
          <w:szCs w:val="20"/>
        </w:rPr>
        <w:t xml:space="preserve"> which starts at the national level and at various levels which is now updated into FMA </w:t>
      </w:r>
      <w:r>
        <w:rPr>
          <w:rFonts w:ascii="Times New Roman" w:hAnsi="Times New Roman" w:cs="Times New Roman"/>
          <w:sz w:val="20"/>
          <w:szCs w:val="20"/>
        </w:rPr>
        <w:lastRenderedPageBreak/>
        <w:t>which should act like a protected area management board (PAMB) that is the main mechanism established for biodiversity conservation and management at the local level.</w:t>
      </w:r>
    </w:p>
    <w:p w14:paraId="4EC61503" w14:textId="234F52FE" w:rsidR="00B72878" w:rsidRDefault="00B72878" w:rsidP="00B72878">
      <w:pPr>
        <w:pStyle w:val="NoSpacing"/>
        <w:spacing w:after="240" w:line="276" w:lineRule="auto"/>
        <w:ind w:left="720"/>
        <w:jc w:val="both"/>
        <w:rPr>
          <w:rFonts w:ascii="Times New Roman" w:hAnsi="Times New Roman" w:cs="Times New Roman"/>
          <w:sz w:val="20"/>
          <w:szCs w:val="20"/>
        </w:rPr>
      </w:pPr>
      <w:r>
        <w:rPr>
          <w:rFonts w:ascii="Times New Roman" w:hAnsi="Times New Roman" w:cs="Times New Roman"/>
          <w:sz w:val="20"/>
          <w:szCs w:val="20"/>
        </w:rPr>
        <w:t>These structures can also be replicated at the local government level whenever there’s political acceptance for it, thus a similar local-level WQMA Governing Board, or a PAMB may also be recreated. This is possible because of the inherent power accorded to the local government unit to establish similar governance structures.</w:t>
      </w:r>
    </w:p>
    <w:p w14:paraId="2D0955F7" w14:textId="4FD1BE07" w:rsidR="00B72878" w:rsidRDefault="00B72878" w:rsidP="00B72878">
      <w:pPr>
        <w:pStyle w:val="NoSpacing"/>
        <w:spacing w:after="240" w:line="276" w:lineRule="auto"/>
        <w:ind w:left="720"/>
        <w:jc w:val="both"/>
        <w:rPr>
          <w:rFonts w:ascii="Times New Roman" w:hAnsi="Times New Roman" w:cs="Times New Roman"/>
          <w:sz w:val="20"/>
          <w:szCs w:val="20"/>
        </w:rPr>
      </w:pPr>
      <w:r>
        <w:rPr>
          <w:rFonts w:ascii="Times New Roman" w:hAnsi="Times New Roman" w:cs="Times New Roman"/>
          <w:sz w:val="20"/>
          <w:szCs w:val="20"/>
        </w:rPr>
        <w:t xml:space="preserve">The problem arises when these established local government structures that are similar to the national-level institutional arrangements make decisions that do not take into account the national-level bodies’ decisions or guiding parameters for effective conservation and management efforts either due to lack of capacity, funding or political will. This is not limited to an issue of communication but of effectively considering each other’s initiatives that will need to be considered when local decisions are to be made. Truly, </w:t>
      </w:r>
      <w:r w:rsidRPr="00643DB5">
        <w:rPr>
          <w:rFonts w:ascii="Times New Roman" w:hAnsi="Times New Roman" w:cs="Times New Roman"/>
          <w:sz w:val="20"/>
          <w:szCs w:val="20"/>
        </w:rPr>
        <w:t>Mahon and Fanning</w:t>
      </w:r>
      <w:r>
        <w:rPr>
          <w:rFonts w:ascii="Times New Roman" w:hAnsi="Times New Roman" w:cs="Times New Roman"/>
          <w:sz w:val="20"/>
          <w:szCs w:val="20"/>
        </w:rPr>
        <w:t>’s point on what “c</w:t>
      </w:r>
      <w:r w:rsidRPr="00643DB5">
        <w:rPr>
          <w:rFonts w:ascii="Times New Roman" w:hAnsi="Times New Roman" w:cs="Times New Roman"/>
          <w:sz w:val="20"/>
          <w:szCs w:val="20"/>
        </w:rPr>
        <w:t>oordination</w:t>
      </w:r>
      <w:r>
        <w:rPr>
          <w:rFonts w:ascii="Times New Roman" w:hAnsi="Times New Roman" w:cs="Times New Roman"/>
          <w:sz w:val="20"/>
          <w:szCs w:val="20"/>
        </w:rPr>
        <w:t xml:space="preserve">” means, which </w:t>
      </w:r>
      <w:r w:rsidRPr="00643DB5">
        <w:rPr>
          <w:rFonts w:ascii="Times New Roman" w:hAnsi="Times New Roman" w:cs="Times New Roman"/>
          <w:sz w:val="20"/>
          <w:szCs w:val="20"/>
        </w:rPr>
        <w:t xml:space="preserve"> involves communication and some mutual adjustment of activities among multiple existing decision-making centers</w:t>
      </w:r>
      <w:r>
        <w:rPr>
          <w:rFonts w:ascii="Times New Roman" w:hAnsi="Times New Roman" w:cs="Times New Roman"/>
          <w:sz w:val="20"/>
          <w:szCs w:val="20"/>
        </w:rPr>
        <w:t xml:space="preserve"> as well as “integration”, which means a </w:t>
      </w:r>
      <w:r w:rsidRPr="00643DB5">
        <w:rPr>
          <w:rFonts w:ascii="Times New Roman" w:hAnsi="Times New Roman" w:cs="Times New Roman"/>
          <w:sz w:val="20"/>
          <w:szCs w:val="20"/>
        </w:rPr>
        <w:t>deliberate process to combine or link diverse, often fragmented, sectoral plans and policies into a single, cohesive, holistic framework for comprehensive management</w:t>
      </w:r>
      <w:r>
        <w:rPr>
          <w:rFonts w:ascii="Times New Roman" w:hAnsi="Times New Roman" w:cs="Times New Roman"/>
          <w:sz w:val="20"/>
          <w:szCs w:val="20"/>
        </w:rPr>
        <w:t>, is illustrated starkly in the case of the Philippines where the proliferation of local parallel governance structures are  not coordinated or integrated with the nationally-established governance structures.</w:t>
      </w:r>
    </w:p>
    <w:p w14:paraId="5A33C264" w14:textId="3C740063" w:rsidR="00B72878" w:rsidRPr="00D55B7A" w:rsidRDefault="00B72878" w:rsidP="00B72878">
      <w:pPr>
        <w:pStyle w:val="NoSpacing"/>
        <w:spacing w:after="240" w:line="276" w:lineRule="auto"/>
        <w:ind w:left="720"/>
        <w:jc w:val="both"/>
        <w:rPr>
          <w:rFonts w:ascii="Times New Roman" w:hAnsi="Times New Roman" w:cs="Times New Roman"/>
          <w:sz w:val="20"/>
          <w:szCs w:val="20"/>
        </w:rPr>
      </w:pPr>
      <w:r>
        <w:rPr>
          <w:rFonts w:ascii="Times New Roman" w:hAnsi="Times New Roman" w:cs="Times New Roman"/>
          <w:sz w:val="20"/>
          <w:szCs w:val="20"/>
        </w:rPr>
        <w:t>This propensity of institutional structures to be also replicated down to the local government level but not having the capacity and the means to address the concerns of coastal and marine resources management and land-based pollution at their level also leads to a fragmentation of implementation efforts that are apparent in how certain issues like land-based pollution, are addressed, but actually failing to achieve the desired outcomes</w:t>
      </w:r>
    </w:p>
    <w:p w14:paraId="19CB7672" w14:textId="12534F7E" w:rsidR="00B72878" w:rsidRPr="00D55B7A" w:rsidRDefault="00B72878" w:rsidP="00B72878">
      <w:pPr>
        <w:pStyle w:val="NoSpacing"/>
        <w:numPr>
          <w:ilvl w:val="0"/>
          <w:numId w:val="66"/>
        </w:numPr>
        <w:spacing w:after="240" w:line="240" w:lineRule="auto"/>
        <w:jc w:val="both"/>
        <w:rPr>
          <w:rFonts w:ascii="Times New Roman" w:hAnsi="Times New Roman" w:cs="Times New Roman"/>
          <w:sz w:val="20"/>
          <w:szCs w:val="20"/>
        </w:rPr>
      </w:pPr>
      <w:r w:rsidRPr="002973D8">
        <w:rPr>
          <w:rFonts w:ascii="Times New Roman" w:hAnsi="Times New Roman" w:cs="Times New Roman"/>
          <w:b/>
          <w:bCs/>
          <w:sz w:val="20"/>
          <w:szCs w:val="20"/>
        </w:rPr>
        <w:t xml:space="preserve">Coverage of the full set of issues </w:t>
      </w:r>
      <w:r w:rsidRPr="002973D8">
        <w:rPr>
          <w:rFonts w:ascii="Times New Roman" w:hAnsi="Times New Roman" w:cs="Times New Roman"/>
          <w:sz w:val="20"/>
          <w:szCs w:val="20"/>
        </w:rPr>
        <w:t xml:space="preserve">– the legislation setting up these governance entities have identified the responsibilities for the full range of issues, including at the local level. While it is feasible that the locally-organized governance structures may also deal with the full set of these concerns, the issue arises whether they have the requisite capacity to fully implement </w:t>
      </w:r>
      <w:r>
        <w:rPr>
          <w:rFonts w:ascii="Times New Roman" w:hAnsi="Times New Roman" w:cs="Times New Roman"/>
          <w:sz w:val="20"/>
          <w:szCs w:val="20"/>
        </w:rPr>
        <w:t xml:space="preserve">the identified </w:t>
      </w:r>
      <w:r w:rsidRPr="002973D8">
        <w:rPr>
          <w:rFonts w:ascii="Times New Roman" w:hAnsi="Times New Roman" w:cs="Times New Roman"/>
          <w:sz w:val="20"/>
          <w:szCs w:val="20"/>
        </w:rPr>
        <w:t xml:space="preserve">measures to address coastal and marine resources management and pollution concerns. </w:t>
      </w:r>
      <w:r>
        <w:rPr>
          <w:rFonts w:ascii="Times New Roman" w:hAnsi="Times New Roman" w:cs="Times New Roman"/>
          <w:sz w:val="20"/>
          <w:szCs w:val="20"/>
        </w:rPr>
        <w:t xml:space="preserve">In addition, </w:t>
      </w:r>
      <w:r w:rsidRPr="002973D8">
        <w:rPr>
          <w:rFonts w:ascii="Times New Roman" w:hAnsi="Times New Roman" w:cs="Times New Roman"/>
          <w:sz w:val="20"/>
          <w:szCs w:val="20"/>
        </w:rPr>
        <w:t>the full set of resources, technical and administrative</w:t>
      </w:r>
      <w:r>
        <w:rPr>
          <w:rFonts w:ascii="Times New Roman" w:hAnsi="Times New Roman" w:cs="Times New Roman"/>
          <w:sz w:val="20"/>
          <w:szCs w:val="20"/>
        </w:rPr>
        <w:t>,</w:t>
      </w:r>
      <w:r w:rsidRPr="002973D8">
        <w:rPr>
          <w:rFonts w:ascii="Times New Roman" w:hAnsi="Times New Roman" w:cs="Times New Roman"/>
          <w:sz w:val="20"/>
          <w:szCs w:val="20"/>
        </w:rPr>
        <w:t xml:space="preserve"> to fully administer </w:t>
      </w:r>
      <w:r>
        <w:rPr>
          <w:rFonts w:ascii="Times New Roman" w:hAnsi="Times New Roman" w:cs="Times New Roman"/>
          <w:sz w:val="20"/>
          <w:szCs w:val="20"/>
        </w:rPr>
        <w:t xml:space="preserve">these </w:t>
      </w:r>
      <w:r w:rsidRPr="002973D8">
        <w:rPr>
          <w:rFonts w:ascii="Times New Roman" w:hAnsi="Times New Roman" w:cs="Times New Roman"/>
          <w:sz w:val="20"/>
          <w:szCs w:val="20"/>
        </w:rPr>
        <w:t xml:space="preserve">policy measures </w:t>
      </w:r>
      <w:r>
        <w:rPr>
          <w:rFonts w:ascii="Times New Roman" w:hAnsi="Times New Roman" w:cs="Times New Roman"/>
          <w:sz w:val="20"/>
          <w:szCs w:val="20"/>
        </w:rPr>
        <w:t xml:space="preserve">needs to </w:t>
      </w:r>
      <w:r w:rsidRPr="002973D8">
        <w:rPr>
          <w:rFonts w:ascii="Times New Roman" w:hAnsi="Times New Roman" w:cs="Times New Roman"/>
          <w:sz w:val="20"/>
          <w:szCs w:val="20"/>
        </w:rPr>
        <w:t xml:space="preserve">be in place. </w:t>
      </w:r>
    </w:p>
    <w:p w14:paraId="4248842E" w14:textId="77777777" w:rsidR="00B72878" w:rsidRDefault="00B72878" w:rsidP="00B72878">
      <w:pPr>
        <w:pStyle w:val="NoSpacing"/>
        <w:numPr>
          <w:ilvl w:val="0"/>
          <w:numId w:val="66"/>
        </w:numPr>
        <w:spacing w:line="276" w:lineRule="auto"/>
        <w:jc w:val="both"/>
        <w:rPr>
          <w:rFonts w:ascii="Times New Roman" w:hAnsi="Times New Roman" w:cs="Times New Roman"/>
          <w:sz w:val="20"/>
          <w:szCs w:val="20"/>
        </w:rPr>
      </w:pPr>
      <w:r w:rsidRPr="00D55B7A">
        <w:rPr>
          <w:rFonts w:ascii="Times New Roman" w:hAnsi="Times New Roman" w:cs="Times New Roman"/>
          <w:b/>
          <w:bCs/>
          <w:sz w:val="20"/>
          <w:szCs w:val="20"/>
        </w:rPr>
        <w:t xml:space="preserve">Coverage of the full policy cycle (data and information, formulation and provision of advice; decision-making; implementation; and review and evaluation of policy and implementation) </w:t>
      </w:r>
      <w:r w:rsidRPr="00D55B7A">
        <w:rPr>
          <w:rFonts w:ascii="Times New Roman" w:hAnsi="Times New Roman" w:cs="Times New Roman"/>
          <w:sz w:val="20"/>
          <w:szCs w:val="20"/>
        </w:rPr>
        <w:t xml:space="preserve"> - </w:t>
      </w:r>
      <w:r>
        <w:rPr>
          <w:rFonts w:ascii="Times New Roman" w:hAnsi="Times New Roman" w:cs="Times New Roman"/>
          <w:sz w:val="20"/>
          <w:szCs w:val="20"/>
        </w:rPr>
        <w:t xml:space="preserve"> the full policy cycle is largely covered by all  governance structures reviewed   but what is missing is the continued effort to  review and evaluating these policies’ effectiveness  including their  implementation, These governance structures and mechanisms do not have an effective mechanism for fully reviewing and evaluating its past policies and their implementation, thus there is a need to fully regularize the impact evaluation of the policies that are identified and reviewed here.</w:t>
      </w:r>
    </w:p>
    <w:p w14:paraId="73039E8B" w14:textId="77777777" w:rsidR="00B72878" w:rsidRDefault="00B72878" w:rsidP="00B72878">
      <w:pPr>
        <w:pStyle w:val="NoSpacing"/>
        <w:ind w:left="720"/>
        <w:jc w:val="both"/>
        <w:rPr>
          <w:rFonts w:ascii="Times New Roman" w:hAnsi="Times New Roman" w:cs="Times New Roman"/>
          <w:sz w:val="20"/>
          <w:szCs w:val="20"/>
        </w:rPr>
      </w:pPr>
    </w:p>
    <w:p w14:paraId="035D2266" w14:textId="0A5CC43D" w:rsidR="00473507" w:rsidRPr="00171847" w:rsidRDefault="00473507" w:rsidP="00171847">
      <w:pPr>
        <w:pStyle w:val="NoSpacing"/>
        <w:spacing w:after="240" w:line="276" w:lineRule="auto"/>
        <w:jc w:val="both"/>
        <w:rPr>
          <w:rFonts w:ascii="Times New Roman" w:hAnsi="Times New Roman" w:cs="Times New Roman"/>
          <w:b/>
          <w:bCs/>
          <w:sz w:val="20"/>
          <w:szCs w:val="20"/>
        </w:rPr>
      </w:pPr>
      <w:r>
        <w:rPr>
          <w:rFonts w:ascii="Times New Roman" w:hAnsi="Times New Roman" w:cs="Times New Roman"/>
          <w:sz w:val="20"/>
          <w:szCs w:val="20"/>
        </w:rPr>
        <w:t xml:space="preserve">Some </w:t>
      </w:r>
      <w:r w:rsidRPr="00D55B7A">
        <w:rPr>
          <w:rFonts w:ascii="Times New Roman" w:hAnsi="Times New Roman" w:cs="Times New Roman"/>
          <w:sz w:val="20"/>
          <w:szCs w:val="20"/>
        </w:rPr>
        <w:t xml:space="preserve">details of this assessment can be found in </w:t>
      </w:r>
      <w:r w:rsidRPr="00E001C7">
        <w:rPr>
          <w:rFonts w:ascii="Times New Roman" w:hAnsi="Times New Roman" w:cs="Times New Roman"/>
          <w:b/>
          <w:bCs/>
          <w:sz w:val="20"/>
          <w:szCs w:val="20"/>
        </w:rPr>
        <w:t xml:space="preserve">Annex </w:t>
      </w:r>
      <w:r w:rsidR="00171847" w:rsidRPr="00E001C7">
        <w:rPr>
          <w:rFonts w:ascii="Times New Roman" w:hAnsi="Times New Roman" w:cs="Times New Roman"/>
          <w:b/>
          <w:bCs/>
          <w:sz w:val="20"/>
          <w:szCs w:val="20"/>
        </w:rPr>
        <w:t>6.</w:t>
      </w:r>
      <w:r w:rsidR="00B72878">
        <w:rPr>
          <w:rFonts w:ascii="Times New Roman" w:hAnsi="Times New Roman" w:cs="Times New Roman"/>
          <w:b/>
          <w:bCs/>
          <w:sz w:val="20"/>
          <w:szCs w:val="20"/>
        </w:rPr>
        <w:t>F.2</w:t>
      </w:r>
    </w:p>
    <w:p w14:paraId="6CF5B7D1" w14:textId="77777777" w:rsidR="00B72878" w:rsidRPr="001539E1" w:rsidRDefault="00B72878" w:rsidP="001539E1">
      <w:pPr>
        <w:pStyle w:val="NoSpacing"/>
        <w:spacing w:line="276" w:lineRule="auto"/>
        <w:ind w:firstLine="720"/>
        <w:jc w:val="both"/>
        <w:rPr>
          <w:rFonts w:ascii="Times New Roman" w:hAnsi="Times New Roman" w:cs="Times New Roman"/>
          <w:color w:val="000000"/>
          <w:sz w:val="20"/>
          <w:szCs w:val="20"/>
        </w:rPr>
      </w:pPr>
      <w:r w:rsidRPr="00D55B7A">
        <w:rPr>
          <w:rStyle w:val="Strong"/>
          <w:rFonts w:ascii="Times New Roman" w:eastAsiaTheme="majorEastAsia" w:hAnsi="Times New Roman" w:cs="Times New Roman"/>
          <w:color w:val="000000"/>
          <w:sz w:val="20"/>
          <w:szCs w:val="20"/>
        </w:rPr>
        <w:t>E</w:t>
      </w:r>
      <w:r w:rsidRPr="00D55B7A">
        <w:rPr>
          <w:rStyle w:val="Strong"/>
          <w:rFonts w:ascii="Times New Roman" w:hAnsi="Times New Roman" w:cs="Times New Roman"/>
          <w:color w:val="000000"/>
          <w:sz w:val="20"/>
          <w:szCs w:val="20"/>
        </w:rPr>
        <w:t>ffective governance</w:t>
      </w:r>
      <w:r w:rsidRPr="00D55B7A">
        <w:rPr>
          <w:rStyle w:val="apple-converted-space"/>
          <w:rFonts w:ascii="Times New Roman" w:hAnsi="Times New Roman" w:cs="Times New Roman"/>
          <w:color w:val="000000"/>
          <w:sz w:val="20"/>
          <w:szCs w:val="20"/>
        </w:rPr>
        <w:t xml:space="preserve"> is </w:t>
      </w:r>
      <w:r w:rsidRPr="00D55B7A">
        <w:rPr>
          <w:rFonts w:ascii="Times New Roman" w:hAnsi="Times New Roman" w:cs="Times New Roman"/>
          <w:color w:val="000000"/>
          <w:sz w:val="20"/>
          <w:szCs w:val="20"/>
        </w:rPr>
        <w:t>about achieving results, often measured by indicators like government effectiveness and regulatory quality (World Bank Governance Indicators).</w:t>
      </w:r>
      <w:r w:rsidRPr="00D55B7A">
        <w:rPr>
          <w:rStyle w:val="apple-converted-space"/>
          <w:rFonts w:ascii="Times New Roman" w:hAnsi="Times New Roman" w:cs="Times New Roman"/>
          <w:color w:val="000000"/>
          <w:sz w:val="20"/>
          <w:szCs w:val="20"/>
        </w:rPr>
        <w:t> </w:t>
      </w:r>
      <w:r w:rsidRPr="00D55B7A">
        <w:rPr>
          <w:rFonts w:ascii="Times New Roman" w:hAnsi="Times New Roman" w:cs="Times New Roman"/>
          <w:color w:val="000000"/>
          <w:sz w:val="20"/>
          <w:szCs w:val="20"/>
        </w:rPr>
        <w:t xml:space="preserve"> </w:t>
      </w:r>
      <w:r w:rsidRPr="001539E1">
        <w:rPr>
          <w:rFonts w:ascii="Times New Roman" w:hAnsi="Times New Roman" w:cs="Times New Roman"/>
          <w:color w:val="000000"/>
          <w:sz w:val="20"/>
          <w:szCs w:val="20"/>
        </w:rPr>
        <w:t>Effective governance is a</w:t>
      </w:r>
      <w:r w:rsidRPr="001539E1">
        <w:rPr>
          <w:rStyle w:val="apple-converted-space"/>
          <w:rFonts w:ascii="Times New Roman" w:hAnsi="Times New Roman" w:cs="Times New Roman"/>
          <w:color w:val="000000"/>
          <w:sz w:val="20"/>
          <w:szCs w:val="20"/>
        </w:rPr>
        <w:t> </w:t>
      </w:r>
      <w:r w:rsidRPr="001539E1">
        <w:rPr>
          <w:rStyle w:val="Emphasis"/>
          <w:rFonts w:ascii="Times New Roman" w:hAnsi="Times New Roman" w:cs="Times New Roman"/>
          <w:color w:val="000000"/>
          <w:sz w:val="20"/>
          <w:szCs w:val="20"/>
        </w:rPr>
        <w:t>component</w:t>
      </w:r>
      <w:r w:rsidRPr="001539E1">
        <w:rPr>
          <w:rStyle w:val="apple-converted-space"/>
          <w:rFonts w:ascii="Times New Roman" w:hAnsi="Times New Roman" w:cs="Times New Roman"/>
          <w:color w:val="000000"/>
          <w:sz w:val="20"/>
          <w:szCs w:val="20"/>
        </w:rPr>
        <w:t> </w:t>
      </w:r>
      <w:r w:rsidRPr="001539E1">
        <w:rPr>
          <w:rFonts w:ascii="Times New Roman" w:hAnsi="Times New Roman" w:cs="Times New Roman"/>
          <w:color w:val="000000"/>
          <w:sz w:val="20"/>
          <w:szCs w:val="20"/>
        </w:rPr>
        <w:t>or</w:t>
      </w:r>
      <w:r w:rsidRPr="001539E1">
        <w:rPr>
          <w:rStyle w:val="apple-converted-space"/>
          <w:rFonts w:ascii="Times New Roman" w:hAnsi="Times New Roman" w:cs="Times New Roman"/>
          <w:color w:val="000000"/>
          <w:sz w:val="20"/>
          <w:szCs w:val="20"/>
        </w:rPr>
        <w:t> </w:t>
      </w:r>
      <w:r w:rsidRPr="001539E1">
        <w:rPr>
          <w:rStyle w:val="Emphasis"/>
          <w:rFonts w:ascii="Times New Roman" w:hAnsi="Times New Roman" w:cs="Times New Roman"/>
          <w:color w:val="000000"/>
          <w:sz w:val="20"/>
          <w:szCs w:val="20"/>
        </w:rPr>
        <w:t>result</w:t>
      </w:r>
      <w:r w:rsidRPr="001539E1">
        <w:rPr>
          <w:rStyle w:val="apple-converted-space"/>
          <w:rFonts w:ascii="Times New Roman" w:hAnsi="Times New Roman" w:cs="Times New Roman"/>
          <w:color w:val="000000"/>
          <w:sz w:val="20"/>
          <w:szCs w:val="20"/>
        </w:rPr>
        <w:t> </w:t>
      </w:r>
      <w:r w:rsidRPr="001539E1">
        <w:rPr>
          <w:rFonts w:ascii="Times New Roman" w:hAnsi="Times New Roman" w:cs="Times New Roman"/>
          <w:color w:val="000000"/>
          <w:sz w:val="20"/>
          <w:szCs w:val="20"/>
        </w:rPr>
        <w:t xml:space="preserve">of good governance, as adherence to good governance principles often leads to more effective and sustainable outcomes. </w:t>
      </w:r>
    </w:p>
    <w:p w14:paraId="2999BCF2" w14:textId="77777777" w:rsidR="00B72878" w:rsidRPr="00D55B7A" w:rsidRDefault="00B72878" w:rsidP="001539E1">
      <w:pPr>
        <w:pStyle w:val="NoSpacing"/>
        <w:spacing w:line="276" w:lineRule="auto"/>
        <w:jc w:val="both"/>
        <w:rPr>
          <w:rFonts w:ascii="Times New Roman" w:hAnsi="Times New Roman" w:cs="Times New Roman"/>
          <w:sz w:val="20"/>
          <w:szCs w:val="20"/>
        </w:rPr>
      </w:pPr>
    </w:p>
    <w:p w14:paraId="09F258AC" w14:textId="39DEB4FF" w:rsidR="00B72878" w:rsidRPr="00906D0C" w:rsidRDefault="00B72878" w:rsidP="001539E1">
      <w:pPr>
        <w:pStyle w:val="NoSpacing"/>
        <w:spacing w:after="240" w:line="276" w:lineRule="auto"/>
        <w:ind w:firstLine="720"/>
        <w:jc w:val="both"/>
        <w:rPr>
          <w:rFonts w:ascii="Times New Roman" w:hAnsi="Times New Roman" w:cs="Times New Roman"/>
          <w:b/>
          <w:bCs/>
          <w:sz w:val="20"/>
          <w:szCs w:val="20"/>
        </w:rPr>
      </w:pPr>
      <w:r w:rsidRPr="00D55B7A">
        <w:rPr>
          <w:rFonts w:ascii="Times New Roman" w:hAnsi="Times New Roman" w:cs="Times New Roman"/>
          <w:sz w:val="20"/>
          <w:szCs w:val="20"/>
        </w:rPr>
        <w:t xml:space="preserve">An assessment was undertaken to determine whether governance practices have achieved what they were established to do (ecosystem pressure, ecosystem state, social justice, human well-being), and resulted in changes in </w:t>
      </w:r>
      <w:r w:rsidRPr="00D55B7A">
        <w:rPr>
          <w:rFonts w:ascii="Times New Roman" w:hAnsi="Times New Roman" w:cs="Times New Roman"/>
          <w:sz w:val="20"/>
          <w:szCs w:val="20"/>
        </w:rPr>
        <w:lastRenderedPageBreak/>
        <w:t>peoples’ behavior and changes in ecosystem states.</w:t>
      </w:r>
      <w:r>
        <w:rPr>
          <w:rFonts w:ascii="Times New Roman" w:hAnsi="Times New Roman" w:cs="Times New Roman"/>
          <w:sz w:val="20"/>
          <w:szCs w:val="20"/>
        </w:rPr>
        <w:t xml:space="preserve"> An elaboration of this can be found in </w:t>
      </w:r>
      <w:proofErr w:type="gramStart"/>
      <w:r>
        <w:rPr>
          <w:rFonts w:ascii="Times New Roman" w:hAnsi="Times New Roman" w:cs="Times New Roman"/>
          <w:sz w:val="20"/>
          <w:szCs w:val="20"/>
        </w:rPr>
        <w:t>an</w:t>
      </w:r>
      <w:proofErr w:type="gramEnd"/>
      <w:r>
        <w:rPr>
          <w:rFonts w:ascii="Times New Roman" w:hAnsi="Times New Roman" w:cs="Times New Roman"/>
          <w:sz w:val="20"/>
          <w:szCs w:val="20"/>
        </w:rPr>
        <w:t xml:space="preserve"> </w:t>
      </w:r>
      <w:r>
        <w:rPr>
          <w:rFonts w:ascii="Times New Roman" w:hAnsi="Times New Roman" w:cs="Times New Roman"/>
          <w:b/>
          <w:bCs/>
          <w:sz w:val="20"/>
          <w:szCs w:val="20"/>
        </w:rPr>
        <w:t xml:space="preserve">Supplementary Material </w:t>
      </w:r>
      <w:r w:rsidRPr="00906D0C">
        <w:rPr>
          <w:rFonts w:ascii="Times New Roman" w:hAnsi="Times New Roman" w:cs="Times New Roman"/>
          <w:b/>
          <w:bCs/>
          <w:sz w:val="20"/>
          <w:szCs w:val="20"/>
        </w:rPr>
        <w:t>6.</w:t>
      </w:r>
      <w:r>
        <w:rPr>
          <w:rFonts w:ascii="Times New Roman" w:hAnsi="Times New Roman" w:cs="Times New Roman"/>
          <w:b/>
          <w:bCs/>
          <w:sz w:val="20"/>
          <w:szCs w:val="20"/>
        </w:rPr>
        <w:t xml:space="preserve">B </w:t>
      </w:r>
      <w:r>
        <w:rPr>
          <w:rFonts w:ascii="Times New Roman" w:hAnsi="Times New Roman" w:cs="Times New Roman"/>
          <w:sz w:val="20"/>
          <w:szCs w:val="20"/>
        </w:rPr>
        <w:t xml:space="preserve">while the corresponding Gap Analysis is in </w:t>
      </w:r>
      <w:r w:rsidR="004C3B63" w:rsidRPr="004C3B63">
        <w:rPr>
          <w:rFonts w:ascii="Times New Roman" w:hAnsi="Times New Roman" w:cs="Times New Roman"/>
          <w:b/>
          <w:bCs/>
          <w:sz w:val="20"/>
          <w:szCs w:val="20"/>
        </w:rPr>
        <w:t>Annex 6.H:</w:t>
      </w:r>
      <w:r w:rsidR="004C3B63">
        <w:rPr>
          <w:rFonts w:ascii="Times New Roman" w:hAnsi="Times New Roman" w:cs="Times New Roman"/>
          <w:sz w:val="20"/>
          <w:szCs w:val="20"/>
        </w:rPr>
        <w:t xml:space="preserve"> </w:t>
      </w:r>
      <w:r>
        <w:rPr>
          <w:rFonts w:ascii="Times New Roman" w:hAnsi="Times New Roman" w:cs="Times New Roman"/>
          <w:b/>
          <w:bCs/>
          <w:sz w:val="20"/>
          <w:szCs w:val="20"/>
        </w:rPr>
        <w:t xml:space="preserve">Supplementary Material </w:t>
      </w:r>
      <w:r w:rsidR="004C3B63">
        <w:rPr>
          <w:rFonts w:ascii="Times New Roman" w:hAnsi="Times New Roman" w:cs="Times New Roman"/>
          <w:b/>
          <w:bCs/>
          <w:sz w:val="20"/>
          <w:szCs w:val="20"/>
        </w:rPr>
        <w:t>C.</w:t>
      </w:r>
    </w:p>
    <w:p w14:paraId="6810AB33" w14:textId="3F26DEA9" w:rsidR="00D11FA7" w:rsidRDefault="00D11FA7" w:rsidP="00D11FA7">
      <w:pPr>
        <w:pStyle w:val="Heading2"/>
        <w:rPr>
          <w:rFonts w:eastAsia="Aptos"/>
          <w:lang w:val="en-ID" w:eastAsia="en-PH"/>
        </w:rPr>
      </w:pPr>
      <w:bookmarkStart w:id="9" w:name="_Toc215447059"/>
      <w:r>
        <w:rPr>
          <w:rFonts w:eastAsia="Aptos"/>
          <w:lang w:val="en-ID" w:eastAsia="en-PH"/>
        </w:rPr>
        <w:t>6.3 Discussion and Conclusions</w:t>
      </w:r>
      <w:bookmarkEnd w:id="9"/>
    </w:p>
    <w:p w14:paraId="562F23A2" w14:textId="6B62A572" w:rsidR="00D11FA7" w:rsidRDefault="00D11FA7" w:rsidP="00D11FA7">
      <w:pPr>
        <w:pStyle w:val="Heading3"/>
        <w:rPr>
          <w:rFonts w:eastAsia="Aptos"/>
          <w:lang w:val="en-ID" w:eastAsia="en-PH"/>
        </w:rPr>
      </w:pPr>
      <w:bookmarkStart w:id="10" w:name="_Toc215447060"/>
      <w:r>
        <w:rPr>
          <w:rFonts w:eastAsia="Aptos"/>
          <w:lang w:val="en-ID" w:eastAsia="en-PH"/>
        </w:rPr>
        <w:t>6.3.1 Risk Assessment: Current Governance Capacity to Engage Stakeholders, Reduce Ecosystem Stresses, Improve or Protect Ecosystems, Achieve Socially Just Outcomes, and Improve Human Well-Being</w:t>
      </w:r>
      <w:bookmarkEnd w:id="10"/>
    </w:p>
    <w:p w14:paraId="69ACB5F5" w14:textId="2639154F" w:rsidR="00BE4923" w:rsidRPr="00D55B7A" w:rsidRDefault="00BE4923" w:rsidP="00787763">
      <w:pPr>
        <w:spacing w:after="240" w:line="276" w:lineRule="auto"/>
        <w:rPr>
          <w:rFonts w:eastAsia="Aptos"/>
          <w:lang w:val="en-ID" w:eastAsia="en-PH"/>
        </w:rPr>
      </w:pPr>
      <w:r w:rsidRPr="00D55B7A">
        <w:rPr>
          <w:rFonts w:eastAsia="Aptos"/>
          <w:lang w:val="en-ID" w:eastAsia="en-PH"/>
        </w:rPr>
        <w:t>At the national level, the Philippine’s national-level performance can be observed through broad global governance indicators:</w:t>
      </w:r>
    </w:p>
    <w:p w14:paraId="21CD6EB1" w14:textId="77777777" w:rsidR="00BE4923" w:rsidRPr="00D55B7A" w:rsidRDefault="00BE4923" w:rsidP="00B32F2C">
      <w:pPr>
        <w:numPr>
          <w:ilvl w:val="0"/>
          <w:numId w:val="67"/>
        </w:numPr>
        <w:spacing w:line="276" w:lineRule="auto"/>
        <w:rPr>
          <w:rFonts w:eastAsia="Aptos"/>
          <w:lang w:val="en-ID" w:eastAsia="en-PH"/>
        </w:rPr>
      </w:pPr>
      <w:r w:rsidRPr="00D55B7A">
        <w:rPr>
          <w:rFonts w:eastAsia="Aptos"/>
          <w:b/>
          <w:bCs/>
          <w:lang w:val="en-ID" w:eastAsia="en-PH"/>
        </w:rPr>
        <w:t>Environmental Performance Index (2024)</w:t>
      </w:r>
      <w:r w:rsidRPr="00D55B7A">
        <w:rPr>
          <w:rFonts w:eastAsia="Aptos"/>
          <w:lang w:val="en-ID" w:eastAsia="en-PH"/>
        </w:rPr>
        <w:t>: The Philippines was ranked 168th out of 180 countries, with a low overall score, indicating significant environmental challenges, particularly in waste management. This suggests systemic issues that could filter down to provincial-level implementation.</w:t>
      </w:r>
    </w:p>
    <w:p w14:paraId="51E30CF1" w14:textId="1019E7D2" w:rsidR="00B32F2C" w:rsidRPr="00496D77" w:rsidRDefault="00B32F2C" w:rsidP="00B32F2C">
      <w:pPr>
        <w:numPr>
          <w:ilvl w:val="0"/>
          <w:numId w:val="67"/>
        </w:numPr>
        <w:spacing w:line="276" w:lineRule="auto"/>
        <w:rPr>
          <w:rFonts w:eastAsia="Aptos"/>
          <w:color w:val="000000"/>
          <w:lang w:val="en-ID" w:eastAsia="en-PH"/>
        </w:rPr>
      </w:pPr>
      <w:r w:rsidRPr="00D55B7A">
        <w:rPr>
          <w:rFonts w:eastAsia="Aptos"/>
          <w:b/>
          <w:bCs/>
          <w:lang w:val="en-ID" w:eastAsia="en-PH"/>
        </w:rPr>
        <w:t>Government Effectiveness Percentile Rank</w:t>
      </w:r>
      <w:r w:rsidRPr="00D55B7A">
        <w:rPr>
          <w:rFonts w:eastAsia="Aptos"/>
          <w:lang w:val="en-ID" w:eastAsia="en-PH"/>
        </w:rPr>
        <w:t>:</w:t>
      </w:r>
      <w:r>
        <w:rPr>
          <w:rFonts w:eastAsia="Aptos"/>
          <w:lang w:val="en-ID" w:eastAsia="en-PH"/>
        </w:rPr>
        <w:t xml:space="preserve"> </w:t>
      </w:r>
      <w:r w:rsidRPr="00255B67">
        <w:rPr>
          <w:rFonts w:eastAsia="Aptos"/>
          <w:color w:val="000000"/>
          <w:lang w:val="en-ID" w:eastAsia="en-PH"/>
        </w:rPr>
        <w:t xml:space="preserve">Captures the quality of public services, the capacity of the civil service, and the quality of policy formulation and implementation. </w:t>
      </w:r>
      <w:r>
        <w:rPr>
          <w:rFonts w:eastAsia="Aptos"/>
          <w:color w:val="000000"/>
          <w:lang w:val="en-ID" w:eastAsia="en-PH"/>
        </w:rPr>
        <w:t>The Philippines</w:t>
      </w:r>
      <w:r w:rsidRPr="00255B67">
        <w:rPr>
          <w:rFonts w:eastAsia="Aptos"/>
          <w:color w:val="000000"/>
          <w:lang w:val="en-ID" w:eastAsia="en-PH"/>
        </w:rPr>
        <w:t xml:space="preserve"> generally remains in the medium tier for government effectiveness, which </w:t>
      </w:r>
      <w:r w:rsidRPr="00255B67">
        <w:rPr>
          <w:rFonts w:eastAsia="Aptos"/>
          <w:color w:val="000000"/>
          <w:lang w:eastAsia="en-PH"/>
        </w:rPr>
        <w:t xml:space="preserve">suggests some strengths in its governance, but also </w:t>
      </w:r>
      <w:r w:rsidRPr="00255B67">
        <w:rPr>
          <w:rFonts w:eastAsia="Aptos"/>
          <w:color w:val="000000"/>
          <w:lang w:val="en-ID" w:eastAsia="en-PH"/>
        </w:rPr>
        <w:t xml:space="preserve">indicates an opportunity to </w:t>
      </w:r>
      <w:r w:rsidRPr="00255B67">
        <w:rPr>
          <w:rFonts w:eastAsia="Aptos"/>
          <w:color w:val="000000"/>
          <w:lang w:eastAsia="en-PH"/>
        </w:rPr>
        <w:t>improve compared to other countries globally</w:t>
      </w:r>
      <w:r w:rsidRPr="00255B67">
        <w:rPr>
          <w:rFonts w:eastAsia="Aptos"/>
          <w:color w:val="000000"/>
          <w:lang w:val="en-ID" w:eastAsia="en-PH"/>
        </w:rPr>
        <w:t xml:space="preserve"> the quality of civil service and policy implementation. This would likely impact the capacity at provincial levels</w:t>
      </w:r>
    </w:p>
    <w:p w14:paraId="0E745677" w14:textId="7DF65378" w:rsidR="00B32F2C" w:rsidRPr="002A2918" w:rsidRDefault="00B32F2C" w:rsidP="00B32F2C">
      <w:pPr>
        <w:numPr>
          <w:ilvl w:val="0"/>
          <w:numId w:val="67"/>
        </w:numPr>
        <w:spacing w:line="276" w:lineRule="auto"/>
        <w:rPr>
          <w:rFonts w:eastAsia="Aptos"/>
          <w:lang w:val="en-ID" w:eastAsia="en-PH"/>
        </w:rPr>
      </w:pPr>
      <w:r w:rsidRPr="00D55B7A">
        <w:rPr>
          <w:rFonts w:eastAsia="Aptos"/>
          <w:b/>
          <w:bCs/>
          <w:lang w:val="en-ID" w:eastAsia="en-PH"/>
        </w:rPr>
        <w:t>Regulatory Quality Percentile Rank</w:t>
      </w:r>
      <w:r w:rsidRPr="00D55B7A">
        <w:rPr>
          <w:rFonts w:eastAsia="Aptos"/>
          <w:lang w:val="en-ID" w:eastAsia="en-PH"/>
        </w:rPr>
        <w:t xml:space="preserve">: </w:t>
      </w:r>
      <w:r w:rsidRPr="00255B67">
        <w:rPr>
          <w:rFonts w:eastAsia="Aptos"/>
          <w:color w:val="000000"/>
          <w:lang w:val="en-ID" w:eastAsia="en-PH"/>
        </w:rPr>
        <w:t xml:space="preserve">Assesses the ability of a government to formulate and implement sound policies and regulations that permit and promote private sector development. Whilst ranking in the medium tier globally, </w:t>
      </w:r>
      <w:r>
        <w:rPr>
          <w:rFonts w:eastAsia="Aptos"/>
          <w:color w:val="000000"/>
          <w:lang w:val="en-ID" w:eastAsia="en-PH"/>
        </w:rPr>
        <w:t xml:space="preserve">the Philippines </w:t>
      </w:r>
      <w:r w:rsidRPr="00255B67">
        <w:rPr>
          <w:rFonts w:eastAsia="Aptos"/>
          <w:color w:val="000000"/>
          <w:lang w:val="en-ID" w:eastAsia="en-PH"/>
        </w:rPr>
        <w:t xml:space="preserve">has a </w:t>
      </w:r>
      <w:r>
        <w:rPr>
          <w:rFonts w:eastAsia="Aptos"/>
          <w:color w:val="000000"/>
          <w:lang w:val="en-ID" w:eastAsia="en-PH"/>
        </w:rPr>
        <w:t xml:space="preserve">generally steady ranking </w:t>
      </w:r>
      <w:r w:rsidRPr="00255B67">
        <w:rPr>
          <w:rFonts w:eastAsia="Aptos"/>
          <w:color w:val="000000"/>
          <w:lang w:val="en-ID" w:eastAsia="en-PH"/>
        </w:rPr>
        <w:t xml:space="preserve">in its regulatory quality percentile rank over time, indicating </w:t>
      </w:r>
      <w:r>
        <w:rPr>
          <w:rFonts w:eastAsia="Aptos"/>
          <w:color w:val="000000"/>
          <w:lang w:val="en-ID" w:eastAsia="en-PH"/>
        </w:rPr>
        <w:t xml:space="preserve">some </w:t>
      </w:r>
      <w:r w:rsidRPr="00255B67">
        <w:rPr>
          <w:rFonts w:eastAsia="Aptos"/>
          <w:color w:val="000000"/>
          <w:lang w:val="en-ID" w:eastAsia="en-PH"/>
        </w:rPr>
        <w:t>challenges in its national regulatory environment. Effective national regulatory quality is crucial for developing and enforcing rules that can be implemented at the provincial level, including for fisheries management and pollution</w:t>
      </w:r>
      <w:r>
        <w:rPr>
          <w:rFonts w:eastAsia="Aptos"/>
          <w:color w:val="000000"/>
          <w:lang w:val="en-ID" w:eastAsia="en-PH"/>
        </w:rPr>
        <w:t xml:space="preserve"> </w:t>
      </w:r>
    </w:p>
    <w:p w14:paraId="2025CFB3" w14:textId="77777777" w:rsidR="00B32F2C" w:rsidRPr="00D55B7A" w:rsidRDefault="00B32F2C" w:rsidP="00B32F2C">
      <w:pPr>
        <w:numPr>
          <w:ilvl w:val="0"/>
          <w:numId w:val="67"/>
        </w:numPr>
        <w:spacing w:after="240" w:line="276" w:lineRule="auto"/>
        <w:rPr>
          <w:rFonts w:eastAsia="Aptos"/>
          <w:lang w:val="en-ID" w:eastAsia="en-PH"/>
        </w:rPr>
      </w:pPr>
      <w:r w:rsidRPr="004566CE">
        <w:rPr>
          <w:rFonts w:eastAsia="Aptos"/>
          <w:b/>
          <w:bCs/>
          <w:color w:val="000000"/>
          <w:lang w:val="en-ID" w:eastAsia="en-PH"/>
        </w:rPr>
        <w:t xml:space="preserve">Control of Corruption Rank: </w:t>
      </w:r>
      <w:r w:rsidRPr="004566CE">
        <w:rPr>
          <w:rFonts w:eastAsia="Aptos"/>
          <w:color w:val="000000"/>
          <w:lang w:val="en-ID" w:eastAsia="en-PH"/>
        </w:rPr>
        <w:t>is ranked in the lower tiers, and has shown to have decreased Philippines in the last two decades</w:t>
      </w:r>
    </w:p>
    <w:p w14:paraId="6EA2EA2B" w14:textId="2330CD7B" w:rsidR="00787763" w:rsidRDefault="00787763" w:rsidP="00787763">
      <w:pPr>
        <w:spacing w:line="276" w:lineRule="auto"/>
        <w:ind w:firstLine="0"/>
        <w:jc w:val="center"/>
        <w:rPr>
          <w:rFonts w:eastAsia="Aptos"/>
          <w:lang w:val="en-ID" w:eastAsia="en-PH"/>
        </w:rPr>
      </w:pPr>
      <w:r w:rsidRPr="00D55B7A">
        <w:rPr>
          <w:rFonts w:eastAsia="Aptos"/>
          <w:noProof/>
          <w:lang w:val="en-ID" w:eastAsia="en-PH"/>
        </w:rPr>
        <w:drawing>
          <wp:inline distT="0" distB="0" distL="0" distR="0" wp14:anchorId="2247BD8E" wp14:editId="4C84EA6A">
            <wp:extent cx="3528000" cy="1908000"/>
            <wp:effectExtent l="0" t="0" r="0" b="0"/>
            <wp:docPr id="1387638437" name="Picture 1" descr="A graph of different colored bars&#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7638437" name="Picture 1" descr="A graph of different colored bars&#10;&#10;AI-generated content may be incorrect."/>
                    <pic:cNvPicPr/>
                  </pic:nvPicPr>
                  <pic:blipFill>
                    <a:blip r:embed="rId14"/>
                    <a:stretch>
                      <a:fillRect/>
                    </a:stretch>
                  </pic:blipFill>
                  <pic:spPr>
                    <a:xfrm>
                      <a:off x="0" y="0"/>
                      <a:ext cx="3528000" cy="1908000"/>
                    </a:xfrm>
                    <a:prstGeom prst="rect">
                      <a:avLst/>
                    </a:prstGeom>
                  </pic:spPr>
                </pic:pic>
              </a:graphicData>
            </a:graphic>
          </wp:inline>
        </w:drawing>
      </w:r>
    </w:p>
    <w:p w14:paraId="5F1EF43F" w14:textId="4ED8AB71" w:rsidR="00787763" w:rsidRDefault="00787763" w:rsidP="00787763">
      <w:pPr>
        <w:pStyle w:val="Figurelabel"/>
        <w:rPr>
          <w:rFonts w:eastAsia="Aptos"/>
          <w:lang w:val="en-ID"/>
        </w:rPr>
      </w:pPr>
      <w:r w:rsidRPr="00173D55">
        <w:rPr>
          <w:rFonts w:eastAsia="Aptos"/>
          <w:lang w:val="en-ID"/>
        </w:rPr>
        <w:t>Figure 6.</w:t>
      </w:r>
      <w:r w:rsidR="00B32F2C">
        <w:rPr>
          <w:rFonts w:eastAsia="Aptos"/>
          <w:lang w:val="en-ID"/>
        </w:rPr>
        <w:t>6</w:t>
      </w:r>
      <w:r w:rsidR="00173D55" w:rsidRPr="00173D55">
        <w:rPr>
          <w:rFonts w:eastAsia="Aptos"/>
          <w:lang w:val="en-ID"/>
        </w:rPr>
        <w:t xml:space="preserve">. </w:t>
      </w:r>
      <w:r w:rsidR="00173D55" w:rsidRPr="00173D55">
        <w:rPr>
          <w:rFonts w:eastAsia="Aptos"/>
          <w:b w:val="0"/>
          <w:bCs w:val="0"/>
          <w:lang w:val="en-ID"/>
        </w:rPr>
        <w:t>Indicators for Governance</w:t>
      </w:r>
      <w:r w:rsidR="00B32F2C">
        <w:rPr>
          <w:rFonts w:eastAsia="Aptos"/>
          <w:b w:val="0"/>
          <w:bCs w:val="0"/>
          <w:lang w:val="en-ID"/>
        </w:rPr>
        <w:t xml:space="preserve"> (World Governance indicators </w:t>
      </w:r>
      <w:r w:rsidR="00B32F2C" w:rsidRPr="00B32F2C">
        <w:rPr>
          <w:rFonts w:eastAsia="Aptos"/>
          <w:b w:val="0"/>
          <w:bCs w:val="0"/>
          <w:lang w:val="en-ID" w:eastAsia="en-PH"/>
        </w:rPr>
        <w:t>http://www.govindicators.org/</w:t>
      </w:r>
      <w:r w:rsidR="00B32F2C" w:rsidRPr="00B32F2C">
        <w:t>)</w:t>
      </w:r>
    </w:p>
    <w:p w14:paraId="6BD6DF88" w14:textId="6F8C732C" w:rsidR="00787763" w:rsidRPr="00787763" w:rsidRDefault="00787763" w:rsidP="00787763">
      <w:pPr>
        <w:spacing w:after="240" w:line="276" w:lineRule="auto"/>
        <w:rPr>
          <w:rFonts w:eastAsia="Aptos"/>
          <w:lang w:val="en-ID" w:eastAsia="en-PH"/>
        </w:rPr>
      </w:pPr>
      <w:r w:rsidRPr="00787763">
        <w:rPr>
          <w:rFonts w:eastAsia="Aptos"/>
          <w:lang w:val="en-ID" w:eastAsia="en-PH"/>
        </w:rPr>
        <w:t>While specific data on provincial capacity for the Philippines is not available, the assessment using the national-level governance indicators suggests that the Philippines faces challenges in its governance capacity at the provincial level within the South China Sea.</w:t>
      </w:r>
    </w:p>
    <w:p w14:paraId="2D4A5480" w14:textId="77777777" w:rsidR="00787763" w:rsidRPr="00787763" w:rsidRDefault="00787763" w:rsidP="00787763">
      <w:pPr>
        <w:spacing w:after="240" w:line="276" w:lineRule="auto"/>
        <w:rPr>
          <w:rFonts w:eastAsia="Aptos"/>
          <w:lang w:val="en-ID" w:eastAsia="en-PH"/>
        </w:rPr>
      </w:pPr>
      <w:r w:rsidRPr="00E001C7">
        <w:rPr>
          <w:rFonts w:eastAsia="Aptos"/>
          <w:lang w:val="en-ID" w:eastAsia="en-PH"/>
        </w:rPr>
        <w:t>At the provincial level, the governance review undertook a consultative risk assessment of governance</w:t>
      </w:r>
      <w:r w:rsidRPr="00787763">
        <w:rPr>
          <w:rFonts w:eastAsia="Aptos"/>
          <w:lang w:val="en-ID" w:eastAsia="en-PH"/>
        </w:rPr>
        <w:t xml:space="preserve"> capacity using the Governance Architecture Risk Ranking Guide from the TWAP Assessment of LME’s (Fanning </w:t>
      </w:r>
      <w:r w:rsidRPr="00787763">
        <w:rPr>
          <w:rFonts w:eastAsia="Aptos"/>
          <w:i/>
          <w:iCs/>
          <w:lang w:val="en-ID" w:eastAsia="en-PH"/>
        </w:rPr>
        <w:t>et al.</w:t>
      </w:r>
      <w:r w:rsidRPr="00787763">
        <w:rPr>
          <w:rFonts w:eastAsia="Aptos"/>
          <w:lang w:val="en-ID" w:eastAsia="en-PH"/>
        </w:rPr>
        <w:t xml:space="preserve"> 2017) to assess completeness, integration and engagement, particularly at the project site level. </w:t>
      </w:r>
    </w:p>
    <w:p w14:paraId="34D4504A" w14:textId="1B571B79" w:rsidR="00787763" w:rsidRPr="00B32F2C" w:rsidRDefault="00787763" w:rsidP="00B32F2C">
      <w:pPr>
        <w:pStyle w:val="Figurelabel"/>
        <w:ind w:firstLine="720"/>
        <w:jc w:val="both"/>
        <w:rPr>
          <w:rFonts w:eastAsia="Aptos"/>
          <w:b w:val="0"/>
          <w:bCs w:val="0"/>
          <w:sz w:val="20"/>
          <w:szCs w:val="20"/>
          <w:lang w:val="en-ID" w:eastAsia="en-PH"/>
        </w:rPr>
      </w:pPr>
      <w:r w:rsidRPr="00787763">
        <w:rPr>
          <w:rFonts w:eastAsia="Aptos"/>
          <w:b w:val="0"/>
          <w:bCs w:val="0"/>
          <w:sz w:val="20"/>
          <w:szCs w:val="20"/>
          <w:lang w:val="en-ID" w:eastAsia="en-PH"/>
        </w:rPr>
        <w:lastRenderedPageBreak/>
        <w:t xml:space="preserve">The assessment drew from information collected through a questionnaire provided at the NTDA Inception Workshop in March 2025 (see </w:t>
      </w:r>
      <w:r w:rsidRPr="00E001C7">
        <w:rPr>
          <w:rFonts w:eastAsia="Aptos"/>
          <w:sz w:val="20"/>
          <w:szCs w:val="20"/>
          <w:lang w:val="en-ID" w:eastAsia="en-PH"/>
        </w:rPr>
        <w:t>A</w:t>
      </w:r>
      <w:r w:rsidR="00B32F2C">
        <w:rPr>
          <w:rFonts w:eastAsia="Aptos"/>
          <w:sz w:val="20"/>
          <w:szCs w:val="20"/>
          <w:lang w:val="en-ID" w:eastAsia="en-PH"/>
        </w:rPr>
        <w:t>nnex</w:t>
      </w:r>
      <w:r w:rsidRPr="00E001C7">
        <w:rPr>
          <w:rFonts w:eastAsia="Aptos"/>
          <w:sz w:val="20"/>
          <w:szCs w:val="20"/>
          <w:lang w:val="en-ID" w:eastAsia="en-PH"/>
        </w:rPr>
        <w:t xml:space="preserve"> 6.A</w:t>
      </w:r>
      <w:r w:rsidRPr="00787763">
        <w:rPr>
          <w:rFonts w:eastAsia="Aptos"/>
          <w:b w:val="0"/>
          <w:bCs w:val="0"/>
          <w:sz w:val="20"/>
          <w:szCs w:val="20"/>
          <w:lang w:val="en-ID" w:eastAsia="en-PH"/>
        </w:rPr>
        <w:t>) to key stakeholders from the project sites, with the results of this assessment as follows: medium risk of completeness, and very low risk for integration and engagement. In comparison, the TWAP</w:t>
      </w:r>
      <w:r w:rsidR="00B32F2C">
        <w:rPr>
          <w:rFonts w:eastAsia="Aptos"/>
          <w:b w:val="0"/>
          <w:bCs w:val="0"/>
          <w:sz w:val="20"/>
          <w:szCs w:val="20"/>
          <w:lang w:val="en-ID" w:eastAsia="en-PH"/>
        </w:rPr>
        <w:t xml:space="preserve"> </w:t>
      </w:r>
      <w:r w:rsidRPr="00B32F2C">
        <w:rPr>
          <w:rFonts w:eastAsia="Aptos"/>
          <w:b w:val="0"/>
          <w:bCs w:val="0"/>
          <w:lang w:val="en-ID" w:eastAsia="en-PH"/>
        </w:rPr>
        <w:t xml:space="preserve">Assessment of Governance Architecture for the transboundary governance of the South China Sea of: medium risk of completeness, high risk for integration, and low risk for engagement.     </w:t>
      </w:r>
    </w:p>
    <w:p w14:paraId="5018FB2D" w14:textId="73F46B7C" w:rsidR="00787763" w:rsidRDefault="00787763" w:rsidP="00787763">
      <w:pPr>
        <w:spacing w:after="240" w:line="276" w:lineRule="auto"/>
        <w:rPr>
          <w:rFonts w:eastAsia="Aptos"/>
          <w:lang w:val="en-ID" w:eastAsia="en-PH"/>
        </w:rPr>
      </w:pPr>
      <w:r w:rsidRPr="00D55B7A">
        <w:rPr>
          <w:rFonts w:eastAsia="Aptos"/>
          <w:lang w:val="en-ID" w:eastAsia="en-PH"/>
        </w:rPr>
        <w:t xml:space="preserve">The detailed results of this assessment based on the responses to the questionnaire is in </w:t>
      </w:r>
      <w:r w:rsidRPr="00E001C7">
        <w:rPr>
          <w:rFonts w:eastAsia="Aptos"/>
          <w:b/>
          <w:bCs/>
          <w:lang w:val="en-ID" w:eastAsia="en-PH"/>
        </w:rPr>
        <w:t>Appendix 6.A</w:t>
      </w:r>
      <w:r w:rsidR="00B32F2C">
        <w:rPr>
          <w:rFonts w:eastAsia="Aptos"/>
          <w:b/>
          <w:bCs/>
          <w:lang w:val="en-ID" w:eastAsia="en-PH"/>
        </w:rPr>
        <w:t>.1</w:t>
      </w:r>
      <w:r w:rsidRPr="00E001C7">
        <w:rPr>
          <w:rFonts w:eastAsia="Aptos"/>
          <w:lang w:val="en-ID" w:eastAsia="en-PH"/>
        </w:rPr>
        <w:t>:</w:t>
      </w:r>
    </w:p>
    <w:p w14:paraId="75615807" w14:textId="77F3943C" w:rsidR="00787763" w:rsidRPr="00787763" w:rsidRDefault="00787763" w:rsidP="00787763">
      <w:pPr>
        <w:spacing w:line="276" w:lineRule="auto"/>
        <w:ind w:firstLine="0"/>
        <w:rPr>
          <w:rFonts w:eastAsia="Aptos"/>
          <w:sz w:val="18"/>
          <w:szCs w:val="18"/>
          <w:lang w:val="en-ID" w:eastAsia="en-PH"/>
        </w:rPr>
      </w:pPr>
      <w:r w:rsidRPr="00787763">
        <w:rPr>
          <w:rFonts w:eastAsia="Aptos"/>
          <w:b/>
          <w:bCs/>
          <w:sz w:val="18"/>
          <w:szCs w:val="18"/>
          <w:lang w:val="en-ID" w:eastAsia="en-PH"/>
        </w:rPr>
        <w:t>Table 6.</w:t>
      </w:r>
      <w:r w:rsidR="00B32F2C">
        <w:rPr>
          <w:rFonts w:eastAsia="Aptos"/>
          <w:b/>
          <w:bCs/>
          <w:sz w:val="18"/>
          <w:szCs w:val="18"/>
          <w:lang w:val="en-ID" w:eastAsia="en-PH"/>
        </w:rPr>
        <w:t>3</w:t>
      </w:r>
      <w:r w:rsidRPr="00787763">
        <w:rPr>
          <w:rFonts w:eastAsia="Aptos"/>
          <w:b/>
          <w:bCs/>
          <w:sz w:val="18"/>
          <w:szCs w:val="18"/>
          <w:lang w:val="en-ID" w:eastAsia="en-PH"/>
        </w:rPr>
        <w:t>.</w:t>
      </w:r>
      <w:r w:rsidRPr="00787763">
        <w:rPr>
          <w:rFonts w:eastAsia="Aptos"/>
          <w:sz w:val="18"/>
          <w:szCs w:val="18"/>
          <w:lang w:val="en-ID" w:eastAsia="en-PH"/>
        </w:rPr>
        <w:t xml:space="preserve"> Governance Architecture Risk Ranking Guide (Fanning et al., 2017)</w:t>
      </w:r>
    </w:p>
    <w:p w14:paraId="55B34D41" w14:textId="77777777" w:rsidR="00787763" w:rsidRDefault="00787763" w:rsidP="00787763">
      <w:pPr>
        <w:spacing w:after="240" w:line="276" w:lineRule="auto"/>
        <w:ind w:firstLine="0"/>
        <w:jc w:val="center"/>
        <w:rPr>
          <w:rFonts w:eastAsia="Aptos"/>
          <w:b/>
          <w:bCs/>
          <w:lang w:val="en-ID" w:eastAsia="en-PH"/>
        </w:rPr>
      </w:pPr>
      <w:r w:rsidRPr="00D55B7A">
        <w:rPr>
          <w:rFonts w:eastAsia="Aptos"/>
          <w:i/>
          <w:iCs/>
          <w:noProof/>
          <w:color w:val="EE0000"/>
          <w:lang w:val="en-ID" w:eastAsia="en-PH"/>
        </w:rPr>
        <w:drawing>
          <wp:inline distT="0" distB="0" distL="0" distR="0" wp14:anchorId="2AB3A522" wp14:editId="268CE9C6">
            <wp:extent cx="4289580" cy="1612651"/>
            <wp:effectExtent l="0" t="0" r="0" b="6985"/>
            <wp:docPr id="1689543595" name="Picture 1" descr="A screenshot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543595" name="Picture 1" descr="A screenshot of a chart&#10;&#10;AI-generated content may be incorrect."/>
                    <pic:cNvPicPr>
                      <a:picLocks noChangeAspect="1" noChangeArrowheads="1"/>
                    </pic:cNvPicPr>
                  </pic:nvPicPr>
                  <pic:blipFill rotWithShape="1">
                    <a:blip r:embed="rId15">
                      <a:extLst>
                        <a:ext uri="{28A0092B-C50C-407E-A947-70E740481C1C}">
                          <a14:useLocalDpi xmlns:a14="http://schemas.microsoft.com/office/drawing/2010/main" val="0"/>
                        </a:ext>
                      </a:extLst>
                    </a:blip>
                    <a:srcRect t="8152"/>
                    <a:stretch>
                      <a:fillRect/>
                    </a:stretch>
                  </pic:blipFill>
                  <pic:spPr bwMode="auto">
                    <a:xfrm>
                      <a:off x="0" y="0"/>
                      <a:ext cx="4308793" cy="1619874"/>
                    </a:xfrm>
                    <a:prstGeom prst="rect">
                      <a:avLst/>
                    </a:prstGeom>
                    <a:noFill/>
                    <a:ln>
                      <a:noFill/>
                    </a:ln>
                    <a:extLst>
                      <a:ext uri="{53640926-AAD7-44D8-BBD7-CCE9431645EC}">
                        <a14:shadowObscured xmlns:a14="http://schemas.microsoft.com/office/drawing/2010/main"/>
                      </a:ext>
                    </a:extLst>
                  </pic:spPr>
                </pic:pic>
              </a:graphicData>
            </a:graphic>
          </wp:inline>
        </w:drawing>
      </w:r>
    </w:p>
    <w:p w14:paraId="1B9D038C" w14:textId="34AFC207" w:rsidR="0096202D" w:rsidRDefault="0096202D" w:rsidP="00787763">
      <w:pPr>
        <w:pStyle w:val="Heading3"/>
        <w:rPr>
          <w:rFonts w:eastAsia="Aptos"/>
          <w:lang w:val="en-ID" w:eastAsia="en-PH"/>
        </w:rPr>
      </w:pPr>
      <w:bookmarkStart w:id="11" w:name="_Toc215447061"/>
      <w:r w:rsidRPr="0096202D">
        <w:rPr>
          <w:rFonts w:eastAsia="Aptos"/>
          <w:lang w:val="en-ID" w:eastAsia="en-PH"/>
        </w:rPr>
        <w:t>6.3.2 Current Governance Capacity to Respond to Climate and Major Environmental Changes, as well as Population Growth and Demand</w:t>
      </w:r>
      <w:bookmarkEnd w:id="11"/>
    </w:p>
    <w:p w14:paraId="7F9DBA4D" w14:textId="001C450E" w:rsidR="00787763" w:rsidRPr="00D55B7A" w:rsidRDefault="00787763" w:rsidP="00787763">
      <w:pPr>
        <w:spacing w:after="240" w:line="276" w:lineRule="auto"/>
        <w:rPr>
          <w:rFonts w:eastAsia="Aptos"/>
          <w:iCs/>
          <w:lang w:val="en-ID" w:eastAsia="en-PH"/>
        </w:rPr>
      </w:pPr>
      <w:r w:rsidRPr="00D55B7A">
        <w:rPr>
          <w:rFonts w:eastAsia="Aptos"/>
          <w:iCs/>
          <w:lang w:val="en-ID" w:eastAsia="en-PH"/>
        </w:rPr>
        <w:t xml:space="preserve">There currently exists the </w:t>
      </w:r>
      <w:r w:rsidRPr="00D55B7A">
        <w:rPr>
          <w:rFonts w:eastAsia="Aptos"/>
          <w:b/>
          <w:bCs/>
          <w:iCs/>
          <w:lang w:val="en-ID" w:eastAsia="en-PH"/>
        </w:rPr>
        <w:t>Climate Change Commission,</w:t>
      </w:r>
      <w:r w:rsidRPr="00D55B7A">
        <w:rPr>
          <w:rFonts w:eastAsia="Aptos"/>
          <w:iCs/>
          <w:lang w:val="en-ID" w:eastAsia="en-PH"/>
        </w:rPr>
        <w:t xml:space="preserve"> established by the </w:t>
      </w:r>
      <w:r w:rsidRPr="00D55B7A">
        <w:rPr>
          <w:rFonts w:eastAsia="Aptos"/>
          <w:b/>
          <w:bCs/>
          <w:iCs/>
          <w:lang w:val="en-ID" w:eastAsia="en-PH"/>
        </w:rPr>
        <w:t>Climate Change Act</w:t>
      </w:r>
      <w:r>
        <w:rPr>
          <w:rFonts w:eastAsia="Aptos"/>
          <w:b/>
          <w:bCs/>
          <w:iCs/>
          <w:lang w:val="en-ID" w:eastAsia="en-PH"/>
        </w:rPr>
        <w:t xml:space="preserve"> </w:t>
      </w:r>
      <w:r>
        <w:rPr>
          <w:rFonts w:eastAsia="Aptos"/>
          <w:iCs/>
          <w:lang w:val="en-ID" w:eastAsia="en-PH"/>
        </w:rPr>
        <w:t>(Climate Change Commission, n.d.)</w:t>
      </w:r>
      <w:r w:rsidRPr="00D55B7A">
        <w:rPr>
          <w:rFonts w:eastAsia="Aptos"/>
          <w:iCs/>
          <w:lang w:val="en-ID" w:eastAsia="en-PH"/>
        </w:rPr>
        <w:t>, which provides some capacity governance-wise, in addressing climate change and other environmental issues. The challenge lies in getting these initiatives mainstreamed in government-wide efforts considering that the Philippine President, the supposed Chair of the Climate Change Commission, has largely delegated the running of the Commission to his designated Cabinet Secretary.</w:t>
      </w:r>
    </w:p>
    <w:p w14:paraId="41146148" w14:textId="41D6BA41" w:rsidR="00787763" w:rsidRPr="00787763" w:rsidRDefault="00787763" w:rsidP="00787763">
      <w:pPr>
        <w:spacing w:after="240" w:line="276" w:lineRule="auto"/>
        <w:rPr>
          <w:rFonts w:eastAsia="Aptos"/>
          <w:iCs/>
          <w:lang w:eastAsia="en-PH"/>
        </w:rPr>
      </w:pPr>
      <w:r w:rsidRPr="00D55B7A">
        <w:rPr>
          <w:rFonts w:eastAsia="Aptos"/>
          <w:iCs/>
          <w:lang w:eastAsia="en-PH"/>
        </w:rPr>
        <w:t xml:space="preserve">The recent </w:t>
      </w:r>
      <w:r w:rsidRPr="00D55B7A">
        <w:rPr>
          <w:rFonts w:eastAsia="Aptos"/>
          <w:b/>
          <w:bCs/>
          <w:iCs/>
          <w:lang w:eastAsia="en-PH"/>
        </w:rPr>
        <w:t xml:space="preserve">State of the Climate in the South-West Pacific 2024 Report </w:t>
      </w:r>
      <w:r w:rsidRPr="00D55B7A">
        <w:rPr>
          <w:rFonts w:eastAsia="Aptos"/>
          <w:iCs/>
          <w:lang w:eastAsia="en-PH"/>
        </w:rPr>
        <w:t>showed some good news citing a case study pointing to strengthened early warning systems and Anticipatory Action in the Philippines that enabled communities to prepare and respond to the back-to-back typhoons in 2024. This helped to protect lives and livelihoods and ensure dignified, timely support for vulnerable communities</w:t>
      </w:r>
      <w:r>
        <w:rPr>
          <w:rFonts w:eastAsia="Aptos"/>
          <w:iCs/>
          <w:lang w:eastAsia="en-PH"/>
        </w:rPr>
        <w:t xml:space="preserve"> </w:t>
      </w:r>
      <w:r w:rsidRPr="00D55B7A">
        <w:rPr>
          <w:rFonts w:eastAsia="Aptos"/>
          <w:iCs/>
          <w:lang w:eastAsia="en-PH"/>
        </w:rPr>
        <w:t>(WMO, 2025)</w:t>
      </w:r>
      <w:r>
        <w:rPr>
          <w:rFonts w:eastAsia="Aptos"/>
          <w:iCs/>
          <w:lang w:eastAsia="en-PH"/>
        </w:rPr>
        <w:t>.</w:t>
      </w:r>
    </w:p>
    <w:p w14:paraId="7249D04F" w14:textId="14C949C2" w:rsidR="0096202D" w:rsidRDefault="0096202D" w:rsidP="0096202D">
      <w:pPr>
        <w:pStyle w:val="Heading3"/>
        <w:rPr>
          <w:rFonts w:eastAsia="Aptos"/>
          <w:lang w:val="en-ID" w:eastAsia="en-PH"/>
        </w:rPr>
      </w:pPr>
      <w:bookmarkStart w:id="12" w:name="_Toc215447062"/>
      <w:r w:rsidRPr="0096202D">
        <w:rPr>
          <w:rFonts w:eastAsia="Aptos"/>
          <w:lang w:val="en-ID" w:eastAsia="en-PH"/>
        </w:rPr>
        <w:t>6.3.3 Strategies to Enhance Government Responses to Climate Change and Achieve Sustainability of the Coastal and Marine Environments</w:t>
      </w:r>
      <w:bookmarkEnd w:id="12"/>
    </w:p>
    <w:p w14:paraId="26703DE6" w14:textId="19E636E9" w:rsidR="00A97805" w:rsidRPr="00D55B7A" w:rsidRDefault="00A97805" w:rsidP="00A97805">
      <w:pPr>
        <w:spacing w:after="240" w:line="276" w:lineRule="auto"/>
        <w:rPr>
          <w:rFonts w:eastAsia="Aptos"/>
          <w:iCs/>
          <w:lang w:val="en-ID" w:eastAsia="en-PH"/>
        </w:rPr>
      </w:pPr>
      <w:r w:rsidRPr="00D55B7A">
        <w:rPr>
          <w:rFonts w:eastAsia="Aptos"/>
          <w:iCs/>
          <w:lang w:val="en-ID" w:eastAsia="en-PH"/>
        </w:rPr>
        <w:t xml:space="preserve">The </w:t>
      </w:r>
      <w:r w:rsidRPr="00D55B7A">
        <w:rPr>
          <w:rFonts w:eastAsia="Aptos"/>
          <w:b/>
          <w:bCs/>
          <w:iCs/>
          <w:lang w:val="en-ID" w:eastAsia="en-PH"/>
        </w:rPr>
        <w:t>Philippine Development Plan 2023-2028</w:t>
      </w:r>
      <w:r>
        <w:rPr>
          <w:rFonts w:eastAsia="Aptos"/>
          <w:b/>
          <w:bCs/>
          <w:iCs/>
          <w:lang w:val="en-ID" w:eastAsia="en-PH"/>
        </w:rPr>
        <w:t xml:space="preserve"> </w:t>
      </w:r>
      <w:r>
        <w:rPr>
          <w:rFonts w:eastAsia="Aptos"/>
          <w:iCs/>
          <w:lang w:val="en-ID" w:eastAsia="en-PH"/>
        </w:rPr>
        <w:t>(NEDA, 2023)</w:t>
      </w:r>
      <w:r w:rsidRPr="00D55B7A">
        <w:rPr>
          <w:rFonts w:eastAsia="Aptos"/>
          <w:b/>
          <w:bCs/>
          <w:iCs/>
          <w:lang w:val="en-ID" w:eastAsia="en-PH"/>
        </w:rPr>
        <w:t>,</w:t>
      </w:r>
      <w:r w:rsidRPr="00D55B7A">
        <w:rPr>
          <w:rFonts w:eastAsia="Aptos"/>
          <w:iCs/>
          <w:lang w:val="en-ID" w:eastAsia="en-PH"/>
        </w:rPr>
        <w:t xml:space="preserve"> </w:t>
      </w:r>
      <w:r>
        <w:rPr>
          <w:rFonts w:eastAsia="Aptos"/>
          <w:iCs/>
          <w:lang w:val="en-ID" w:eastAsia="en-PH"/>
        </w:rPr>
        <w:t>which is</w:t>
      </w:r>
      <w:r w:rsidRPr="00D55B7A">
        <w:rPr>
          <w:rFonts w:eastAsia="Aptos"/>
          <w:iCs/>
          <w:lang w:val="en-ID" w:eastAsia="en-PH"/>
        </w:rPr>
        <w:t xml:space="preserve"> currently being updated to accord</w:t>
      </w:r>
      <w:r>
        <w:rPr>
          <w:rFonts w:eastAsia="Aptos"/>
          <w:iCs/>
          <w:lang w:val="en-ID" w:eastAsia="en-PH"/>
        </w:rPr>
        <w:t xml:space="preserve"> by</w:t>
      </w:r>
      <w:r w:rsidRPr="00D55B7A">
        <w:rPr>
          <w:rFonts w:eastAsia="Aptos"/>
          <w:iCs/>
          <w:lang w:val="en-ID" w:eastAsia="en-PH"/>
        </w:rPr>
        <w:t xml:space="preserve"> the current administration, lays out the government’s broad-based strategy to enhance government responses to climate change and the sustainability of the coastal and marine environments. Climate change is addressed in Chapter 15</w:t>
      </w:r>
      <w:r>
        <w:rPr>
          <w:rFonts w:eastAsia="Aptos"/>
          <w:iCs/>
          <w:lang w:val="en-ID" w:eastAsia="en-PH"/>
        </w:rPr>
        <w:t xml:space="preserve"> of the said Plan</w:t>
      </w:r>
      <w:r w:rsidRPr="00D55B7A">
        <w:rPr>
          <w:rFonts w:eastAsia="Aptos"/>
          <w:iCs/>
          <w:lang w:val="en-ID" w:eastAsia="en-PH"/>
        </w:rPr>
        <w:t xml:space="preserve"> which seeks to accelerate climate action and strengthen the country’s disaster resilience. The promotion of the country’s coastal and marine environment is couched in terms of securing the country’s food security in Chapter </w:t>
      </w:r>
      <w:r>
        <w:rPr>
          <w:rFonts w:eastAsia="Aptos"/>
          <w:iCs/>
          <w:lang w:val="en-ID" w:eastAsia="en-PH"/>
        </w:rPr>
        <w:t xml:space="preserve">5 of the same Plan </w:t>
      </w:r>
      <w:r w:rsidRPr="00D55B7A">
        <w:rPr>
          <w:rFonts w:eastAsia="Aptos"/>
          <w:iCs/>
          <w:lang w:val="en-ID" w:eastAsia="en-PH"/>
        </w:rPr>
        <w:t>which seeks to modernize the country’s agriculture sector</w:t>
      </w:r>
      <w:r>
        <w:rPr>
          <w:rFonts w:eastAsia="Aptos"/>
          <w:iCs/>
          <w:lang w:val="en-ID" w:eastAsia="en-PH"/>
        </w:rPr>
        <w:t xml:space="preserve"> while e</w:t>
      </w:r>
      <w:r w:rsidRPr="00313154">
        <w:rPr>
          <w:rFonts w:eastAsia="Aptos"/>
          <w:iCs/>
          <w:lang w:val="en-ID" w:eastAsia="en-PH"/>
        </w:rPr>
        <w:t>mphasiz</w:t>
      </w:r>
      <w:r>
        <w:rPr>
          <w:rFonts w:eastAsia="Aptos"/>
          <w:iCs/>
          <w:lang w:val="en-ID" w:eastAsia="en-PH"/>
        </w:rPr>
        <w:t xml:space="preserve">ing </w:t>
      </w:r>
      <w:r w:rsidRPr="00313154">
        <w:rPr>
          <w:rFonts w:eastAsia="Aptos"/>
          <w:iCs/>
          <w:lang w:val="en-ID" w:eastAsia="en-PH"/>
        </w:rPr>
        <w:t>and alloca</w:t>
      </w:r>
      <w:r>
        <w:rPr>
          <w:rFonts w:eastAsia="Aptos"/>
          <w:iCs/>
          <w:lang w:val="en-ID" w:eastAsia="en-PH"/>
        </w:rPr>
        <w:t xml:space="preserve">ting </w:t>
      </w:r>
      <w:r w:rsidRPr="00313154">
        <w:rPr>
          <w:rFonts w:eastAsia="Aptos"/>
          <w:iCs/>
          <w:lang w:val="en-ID" w:eastAsia="en-PH"/>
        </w:rPr>
        <w:t>the needed resources to harness</w:t>
      </w:r>
      <w:r>
        <w:rPr>
          <w:rFonts w:eastAsia="Aptos"/>
          <w:iCs/>
          <w:lang w:val="en-ID" w:eastAsia="en-PH"/>
        </w:rPr>
        <w:t xml:space="preserve"> </w:t>
      </w:r>
      <w:r w:rsidRPr="00313154">
        <w:rPr>
          <w:rFonts w:eastAsia="Aptos"/>
          <w:iCs/>
          <w:lang w:val="en-ID" w:eastAsia="en-PH"/>
        </w:rPr>
        <w:t>the full potential of the blue economy</w:t>
      </w:r>
      <w:r>
        <w:rPr>
          <w:rFonts w:eastAsia="Aptos"/>
          <w:iCs/>
          <w:lang w:val="en-ID" w:eastAsia="en-PH"/>
        </w:rPr>
        <w:t>.</w:t>
      </w:r>
    </w:p>
    <w:p w14:paraId="184025E2" w14:textId="0D7B2B55" w:rsidR="0096202D" w:rsidRDefault="0096202D" w:rsidP="00787763">
      <w:pPr>
        <w:pStyle w:val="Heading3"/>
        <w:spacing w:before="0"/>
        <w:rPr>
          <w:rFonts w:eastAsia="Aptos"/>
          <w:lang w:val="en-ID" w:eastAsia="en-PH"/>
        </w:rPr>
      </w:pPr>
      <w:bookmarkStart w:id="13" w:name="_Toc215447063"/>
      <w:r>
        <w:rPr>
          <w:rFonts w:eastAsia="Aptos"/>
          <w:lang w:val="en-ID" w:eastAsia="en-PH"/>
        </w:rPr>
        <w:t>6.3.4 Recommended Priority Actions Including Regional Cooperation</w:t>
      </w:r>
      <w:bookmarkEnd w:id="13"/>
    </w:p>
    <w:p w14:paraId="0D9E9F18" w14:textId="77777777" w:rsidR="00A44E7F" w:rsidRDefault="00A44E7F" w:rsidP="00A44E7F">
      <w:pPr>
        <w:spacing w:line="276" w:lineRule="auto"/>
        <w:rPr>
          <w:rFonts w:eastAsia="Aptos"/>
          <w:iCs/>
          <w:lang w:val="en-ID" w:eastAsia="en-PH"/>
        </w:rPr>
      </w:pPr>
      <w:r w:rsidRPr="00D55B7A">
        <w:rPr>
          <w:rFonts w:eastAsia="Aptos"/>
          <w:iCs/>
          <w:lang w:val="en-ID" w:eastAsia="en-PH"/>
        </w:rPr>
        <w:t>Given the existence of institutional frameworks and mechanisms that address the issues identified back in the</w:t>
      </w:r>
      <w:r>
        <w:rPr>
          <w:rFonts w:eastAsia="Aptos"/>
          <w:iCs/>
          <w:lang w:val="en-ID" w:eastAsia="en-PH"/>
        </w:rPr>
        <w:t xml:space="preserve"> NTDA 1.0, </w:t>
      </w:r>
      <w:r w:rsidRPr="00D55B7A">
        <w:rPr>
          <w:rFonts w:eastAsia="Aptos"/>
          <w:iCs/>
          <w:lang w:val="en-ID" w:eastAsia="en-PH"/>
        </w:rPr>
        <w:t xml:space="preserve"> a major effort needs to be</w:t>
      </w:r>
      <w:r>
        <w:rPr>
          <w:rFonts w:eastAsia="Aptos"/>
          <w:iCs/>
          <w:lang w:val="en-ID" w:eastAsia="en-PH"/>
        </w:rPr>
        <w:t xml:space="preserve"> made</w:t>
      </w:r>
      <w:r w:rsidRPr="00D55B7A">
        <w:rPr>
          <w:rFonts w:eastAsia="Aptos"/>
          <w:iCs/>
          <w:lang w:val="en-ID" w:eastAsia="en-PH"/>
        </w:rPr>
        <w:t xml:space="preserve"> to make sure that the</w:t>
      </w:r>
      <w:r>
        <w:rPr>
          <w:rFonts w:eastAsia="Aptos"/>
          <w:iCs/>
          <w:lang w:val="en-ID" w:eastAsia="en-PH"/>
        </w:rPr>
        <w:t xml:space="preserve"> current  policy and governance infrastructure and </w:t>
      </w:r>
      <w:r w:rsidRPr="00D55B7A">
        <w:rPr>
          <w:rFonts w:eastAsia="Aptos"/>
          <w:iCs/>
          <w:lang w:val="en-ID" w:eastAsia="en-PH"/>
        </w:rPr>
        <w:t>mechanisms work</w:t>
      </w:r>
      <w:r>
        <w:rPr>
          <w:rFonts w:eastAsia="Aptos"/>
          <w:iCs/>
          <w:lang w:val="en-ID" w:eastAsia="en-PH"/>
        </w:rPr>
        <w:t xml:space="preserve"> and deliver effective and good outcomes</w:t>
      </w:r>
      <w:r w:rsidRPr="00D55B7A">
        <w:rPr>
          <w:rFonts w:eastAsia="Aptos"/>
          <w:iCs/>
          <w:lang w:val="en-ID" w:eastAsia="en-PH"/>
        </w:rPr>
        <w:t xml:space="preserve">, starting from making sure they are funded </w:t>
      </w:r>
      <w:r>
        <w:rPr>
          <w:rFonts w:eastAsia="Aptos"/>
          <w:iCs/>
          <w:lang w:val="en-ID" w:eastAsia="en-PH"/>
        </w:rPr>
        <w:t xml:space="preserve">more than </w:t>
      </w:r>
      <w:r>
        <w:rPr>
          <w:rFonts w:eastAsia="Aptos"/>
          <w:iCs/>
          <w:lang w:val="en-ID" w:eastAsia="en-PH"/>
        </w:rPr>
        <w:lastRenderedPageBreak/>
        <w:t xml:space="preserve">sufficiently </w:t>
      </w:r>
      <w:r w:rsidRPr="00D55B7A">
        <w:rPr>
          <w:rFonts w:eastAsia="Aptos"/>
          <w:iCs/>
          <w:lang w:val="en-ID" w:eastAsia="en-PH"/>
        </w:rPr>
        <w:t xml:space="preserve">and the institutional entities that are </w:t>
      </w:r>
      <w:r>
        <w:rPr>
          <w:rFonts w:eastAsia="Aptos"/>
          <w:iCs/>
          <w:lang w:val="en-ID" w:eastAsia="en-PH"/>
        </w:rPr>
        <w:t xml:space="preserve">tasked with implementation </w:t>
      </w:r>
      <w:r w:rsidRPr="00D55B7A">
        <w:rPr>
          <w:rFonts w:eastAsia="Aptos"/>
          <w:iCs/>
          <w:lang w:val="en-ID" w:eastAsia="en-PH"/>
        </w:rPr>
        <w:t xml:space="preserve">possess the </w:t>
      </w:r>
      <w:r>
        <w:rPr>
          <w:rFonts w:eastAsia="Aptos"/>
          <w:iCs/>
          <w:lang w:val="en-ID" w:eastAsia="en-PH"/>
        </w:rPr>
        <w:t xml:space="preserve">appropriate </w:t>
      </w:r>
      <w:r w:rsidRPr="00D55B7A">
        <w:rPr>
          <w:rFonts w:eastAsia="Aptos"/>
          <w:iCs/>
          <w:lang w:val="en-ID" w:eastAsia="en-PH"/>
        </w:rPr>
        <w:t>capacity</w:t>
      </w:r>
      <w:r>
        <w:rPr>
          <w:rFonts w:eastAsia="Aptos"/>
          <w:iCs/>
          <w:lang w:val="en-ID" w:eastAsia="en-PH"/>
        </w:rPr>
        <w:t xml:space="preserve"> with the appropriate political will </w:t>
      </w:r>
      <w:r w:rsidRPr="00D55B7A">
        <w:rPr>
          <w:rFonts w:eastAsia="Aptos"/>
          <w:iCs/>
          <w:lang w:val="en-ID" w:eastAsia="en-PH"/>
        </w:rPr>
        <w:t xml:space="preserve">to </w:t>
      </w:r>
      <w:r>
        <w:rPr>
          <w:rFonts w:eastAsia="Aptos"/>
          <w:iCs/>
          <w:lang w:val="en-ID" w:eastAsia="en-PH"/>
        </w:rPr>
        <w:t xml:space="preserve">carry them out given existing and forthcoming challenges. </w:t>
      </w:r>
    </w:p>
    <w:p w14:paraId="194A0D40" w14:textId="77777777" w:rsidR="00A44E7F" w:rsidRDefault="00A44E7F" w:rsidP="00A44E7F">
      <w:pPr>
        <w:spacing w:line="276" w:lineRule="auto"/>
        <w:rPr>
          <w:rFonts w:eastAsia="Aptos"/>
          <w:iCs/>
          <w:lang w:val="en-ID" w:eastAsia="en-PH"/>
        </w:rPr>
      </w:pPr>
    </w:p>
    <w:p w14:paraId="48EB11B3" w14:textId="6608F015" w:rsidR="00A44E7F" w:rsidRPr="00D55B7A" w:rsidRDefault="00A44E7F" w:rsidP="00A44E7F">
      <w:pPr>
        <w:spacing w:line="276" w:lineRule="auto"/>
        <w:rPr>
          <w:rFonts w:eastAsia="Aptos"/>
          <w:iCs/>
          <w:lang w:val="en-ID" w:eastAsia="en-PH"/>
        </w:rPr>
      </w:pPr>
      <w:r>
        <w:rPr>
          <w:rFonts w:eastAsia="Aptos"/>
          <w:iCs/>
          <w:lang w:val="en-ID" w:eastAsia="en-PH"/>
        </w:rPr>
        <w:t xml:space="preserve">Equally as important is a steady and consistent effort at implementing these existing policy frameworks to ensure they achieve their identified policy targets and outcomes. The government agencies and stakeholders </w:t>
      </w:r>
      <w:r w:rsidRPr="00B013C0">
        <w:rPr>
          <w:rFonts w:eastAsia="Aptos"/>
          <w:iCs/>
          <w:lang w:val="en-ID" w:eastAsia="en-PH"/>
        </w:rPr>
        <w:t xml:space="preserve">have faced challenges to the extent that the </w:t>
      </w:r>
      <w:r>
        <w:rPr>
          <w:rFonts w:eastAsia="Aptos"/>
          <w:iCs/>
          <w:lang w:val="en-ID" w:eastAsia="en-PH"/>
        </w:rPr>
        <w:t>Supreme Court, which is not generally tasked with implementing laws and policies has played a supervisor role over the government agencies to make sure they carry out their mandate, roles and responsibilities under existing laws. This is what has happened in the case of Manila Bay, which, in essence is an atypical effort at implementing specific government policies on a particular spatial area and should not in any way be touted as a best practice at government agencies coordinating their efforts over a particular subject matter.</w:t>
      </w:r>
    </w:p>
    <w:p w14:paraId="7D12E01F" w14:textId="77777777" w:rsidR="00A44E7F" w:rsidRPr="00D55B7A" w:rsidRDefault="00A44E7F" w:rsidP="00A44E7F">
      <w:pPr>
        <w:spacing w:line="276" w:lineRule="auto"/>
        <w:rPr>
          <w:rFonts w:eastAsia="Aptos"/>
          <w:i/>
          <w:lang w:val="en-ID" w:eastAsia="en-PH"/>
        </w:rPr>
      </w:pPr>
    </w:p>
    <w:p w14:paraId="38EEF8B9" w14:textId="715A2B46" w:rsidR="00787763" w:rsidRPr="00D55B7A" w:rsidRDefault="00A44E7F" w:rsidP="00A44E7F">
      <w:pPr>
        <w:spacing w:after="240" w:line="276" w:lineRule="auto"/>
        <w:rPr>
          <w:rFonts w:eastAsia="Aptos"/>
          <w:iCs/>
          <w:lang w:val="en-ID" w:eastAsia="en-PH"/>
        </w:rPr>
      </w:pPr>
      <w:r w:rsidRPr="00D55B7A">
        <w:rPr>
          <w:rFonts w:eastAsia="Aptos"/>
          <w:iCs/>
          <w:lang w:val="en-ID" w:eastAsia="en-PH"/>
        </w:rPr>
        <w:t xml:space="preserve">While priority actions and recommendations for regional action </w:t>
      </w:r>
      <w:r>
        <w:rPr>
          <w:rFonts w:eastAsia="Aptos"/>
          <w:iCs/>
          <w:lang w:val="en-ID" w:eastAsia="en-PH"/>
        </w:rPr>
        <w:t xml:space="preserve">are also detailed </w:t>
      </w:r>
      <w:r w:rsidRPr="00D55B7A">
        <w:rPr>
          <w:rFonts w:eastAsia="Aptos"/>
          <w:iCs/>
          <w:lang w:val="en-ID" w:eastAsia="en-PH"/>
        </w:rPr>
        <w:t xml:space="preserve">in each of the thematic </w:t>
      </w:r>
      <w:r>
        <w:rPr>
          <w:rFonts w:eastAsia="Aptos"/>
          <w:iCs/>
          <w:lang w:val="en-ID" w:eastAsia="en-PH"/>
        </w:rPr>
        <w:t>chapters this review and th</w:t>
      </w:r>
      <w:r w:rsidRPr="00D55B7A">
        <w:rPr>
          <w:rFonts w:eastAsia="Aptos"/>
          <w:iCs/>
          <w:lang w:val="en-ID" w:eastAsia="en-PH"/>
        </w:rPr>
        <w:t>e academic literature has identified the following challenges on which to build these priority actions and areas for regional cooperation:</w:t>
      </w:r>
    </w:p>
    <w:p w14:paraId="42C8A01B" w14:textId="769F35CD" w:rsidR="00787763" w:rsidRPr="00D55B7A" w:rsidRDefault="00787763">
      <w:pPr>
        <w:numPr>
          <w:ilvl w:val="0"/>
          <w:numId w:val="68"/>
        </w:numPr>
        <w:spacing w:line="276" w:lineRule="auto"/>
        <w:rPr>
          <w:lang w:val="en-ID"/>
        </w:rPr>
      </w:pPr>
      <w:r w:rsidRPr="00D55B7A">
        <w:rPr>
          <w:b/>
          <w:bCs/>
          <w:lang w:val="en-ID"/>
        </w:rPr>
        <w:t>Decentralized Governance and Local Implementation</w:t>
      </w:r>
      <w:r w:rsidRPr="00D55B7A">
        <w:rPr>
          <w:lang w:val="en-ID"/>
        </w:rPr>
        <w:t>: The Philippines has adopted a decentralized approach where Local Government Units are crucial in implementing marine environmental policies, particularly for Marine Protected Areas. This involves establishing legal frameworks that integrate national and local contexts (</w:t>
      </w:r>
      <w:proofErr w:type="spellStart"/>
      <w:r w:rsidRPr="00D55B7A">
        <w:rPr>
          <w:lang w:val="en-ID"/>
        </w:rPr>
        <w:t>Espenilla</w:t>
      </w:r>
      <w:proofErr w:type="spellEnd"/>
      <w:r w:rsidRPr="00D55B7A">
        <w:rPr>
          <w:lang w:val="en-ID"/>
        </w:rPr>
        <w:t>, 2020) and fostering co-management initiatives with fishing communities (Sunderlin &amp; Gorospe, 1997).</w:t>
      </w:r>
    </w:p>
    <w:p w14:paraId="25B30FEA" w14:textId="77777777" w:rsidR="00787763" w:rsidRPr="00313154" w:rsidRDefault="00787763" w:rsidP="00787763">
      <w:pPr>
        <w:spacing w:line="276" w:lineRule="auto"/>
        <w:ind w:left="720"/>
        <w:rPr>
          <w:lang w:val="en-ID"/>
        </w:rPr>
      </w:pPr>
    </w:p>
    <w:p w14:paraId="61765142" w14:textId="77777777" w:rsidR="00787763" w:rsidRPr="00D55B7A" w:rsidRDefault="00787763">
      <w:pPr>
        <w:numPr>
          <w:ilvl w:val="0"/>
          <w:numId w:val="68"/>
        </w:numPr>
        <w:spacing w:line="276" w:lineRule="auto"/>
        <w:rPr>
          <w:lang w:val="en-ID"/>
        </w:rPr>
      </w:pPr>
      <w:r w:rsidRPr="00D55B7A">
        <w:rPr>
          <w:b/>
          <w:bCs/>
          <w:lang w:val="en-ID"/>
        </w:rPr>
        <w:t>Challenges in Data, Funding, and Enforcement</w:t>
      </w:r>
      <w:r w:rsidRPr="00D55B7A">
        <w:rPr>
          <w:lang w:val="en-ID"/>
        </w:rPr>
        <w:t>: A consistent finding is the significant challenge of </w:t>
      </w:r>
      <w:r w:rsidRPr="00D55B7A">
        <w:rPr>
          <w:b/>
          <w:bCs/>
          <w:lang w:val="en-ID"/>
        </w:rPr>
        <w:t>poor data collection and reporting</w:t>
      </w:r>
      <w:r w:rsidRPr="00D55B7A">
        <w:rPr>
          <w:lang w:val="en-ID"/>
        </w:rPr>
        <w:t> at all levels, from municipal to national, which directly impacts the effectiveness of policy and enforcement at the provincial level (Grantham et al., 2022). Many MPAs, often managed by local governments, face </w:t>
      </w:r>
      <w:r w:rsidRPr="00D55B7A">
        <w:rPr>
          <w:b/>
          <w:bCs/>
          <w:lang w:val="en-ID"/>
        </w:rPr>
        <w:t>budgetary constraints and lack sustainable financing</w:t>
      </w:r>
      <w:r w:rsidRPr="00D55B7A">
        <w:rPr>
          <w:lang w:val="en-ID"/>
        </w:rPr>
        <w:t> (Maypa et al., 2012). There are also persistent issues with </w:t>
      </w:r>
      <w:r w:rsidRPr="00D55B7A">
        <w:rPr>
          <w:b/>
          <w:bCs/>
          <w:lang w:val="en-ID"/>
        </w:rPr>
        <w:t>insufficient monitoring and documentation</w:t>
      </w:r>
      <w:r w:rsidRPr="00D55B7A">
        <w:rPr>
          <w:lang w:val="en-ID"/>
        </w:rPr>
        <w:t>, which hinder proper management (Viability of UNCLOS amid Emerging Global Maritime Challenges, 2024).</w:t>
      </w:r>
    </w:p>
    <w:p w14:paraId="1318353C" w14:textId="77777777" w:rsidR="00787763" w:rsidRPr="00313154" w:rsidRDefault="00787763" w:rsidP="00787763">
      <w:pPr>
        <w:spacing w:line="276" w:lineRule="auto"/>
        <w:ind w:left="720"/>
        <w:rPr>
          <w:lang w:val="en-ID"/>
        </w:rPr>
      </w:pPr>
    </w:p>
    <w:p w14:paraId="22BEF3A0" w14:textId="77777777" w:rsidR="00787763" w:rsidRPr="00D55B7A" w:rsidRDefault="00787763">
      <w:pPr>
        <w:numPr>
          <w:ilvl w:val="0"/>
          <w:numId w:val="68"/>
        </w:numPr>
        <w:spacing w:line="276" w:lineRule="auto"/>
        <w:rPr>
          <w:lang w:val="en-ID"/>
        </w:rPr>
      </w:pPr>
      <w:r w:rsidRPr="00D55B7A">
        <w:rPr>
          <w:b/>
          <w:bCs/>
          <w:lang w:val="en-ID"/>
        </w:rPr>
        <w:t>Institutional Capacity Gaps</w:t>
      </w:r>
      <w:r w:rsidRPr="00D55B7A">
        <w:rPr>
          <w:lang w:val="en-ID"/>
        </w:rPr>
        <w:t xml:space="preserve">: While decentralization aims to enhance local autonomy, its effectiveness can be impeded by "institutional capacity gaps, political interference, and limited financial autonomy at the local government level" (Moreno &amp; </w:t>
      </w:r>
      <w:proofErr w:type="spellStart"/>
      <w:r w:rsidRPr="00D55B7A">
        <w:rPr>
          <w:lang w:val="en-ID"/>
        </w:rPr>
        <w:t>Sulasula</w:t>
      </w:r>
      <w:proofErr w:type="spellEnd"/>
      <w:r w:rsidRPr="00D55B7A">
        <w:rPr>
          <w:lang w:val="en-ID"/>
        </w:rPr>
        <w:t>, 2024). Overall, a critical challenge is the "persistent lack of institutional coordination and insufficient human resource capacity, particularly at provincial levels," which undermines effective policy implementation [current document].</w:t>
      </w:r>
    </w:p>
    <w:p w14:paraId="1294F6C7" w14:textId="77777777" w:rsidR="00787763" w:rsidRPr="00313154" w:rsidRDefault="00787763" w:rsidP="00787763">
      <w:pPr>
        <w:spacing w:line="276" w:lineRule="auto"/>
        <w:ind w:left="720"/>
        <w:rPr>
          <w:lang w:val="en-ID"/>
        </w:rPr>
      </w:pPr>
    </w:p>
    <w:p w14:paraId="77CBE5DD" w14:textId="77777777" w:rsidR="00787763" w:rsidRPr="00D55B7A" w:rsidRDefault="00787763">
      <w:pPr>
        <w:numPr>
          <w:ilvl w:val="0"/>
          <w:numId w:val="68"/>
        </w:numPr>
        <w:spacing w:line="276" w:lineRule="auto"/>
        <w:rPr>
          <w:lang w:val="en-ID"/>
        </w:rPr>
      </w:pPr>
      <w:r w:rsidRPr="00D55B7A">
        <w:rPr>
          <w:b/>
          <w:bCs/>
          <w:lang w:val="en-ID"/>
        </w:rPr>
        <w:t>Localized Assessments and Progress</w:t>
      </w:r>
      <w:r w:rsidRPr="00D55B7A">
        <w:rPr>
          <w:lang w:val="en-ID"/>
        </w:rPr>
        <w:t>: Despite these systemic challenges, there are instances of successful localized governance. For example, some studies assess the effectiveness of local government initiatives in specific areas, such as MPA implementation in Sarangani Province (Jama &amp; Flores, 2024) and the Visayan Region, where higher-rated MPAs correlate with better coral reef health (Maypa et al., 2012). The importance of harmonizing policies across different governance levels and engaging local communities has been highlighted as crucial for environmental improvement in case studies like Batangas Bay (Ishii, n.d.).</w:t>
      </w:r>
    </w:p>
    <w:p w14:paraId="643E4A9E" w14:textId="77777777" w:rsidR="00787763" w:rsidRPr="00D55B7A" w:rsidRDefault="00787763" w:rsidP="00787763">
      <w:pPr>
        <w:spacing w:line="276" w:lineRule="auto"/>
        <w:ind w:left="720"/>
        <w:rPr>
          <w:lang w:val="en-ID"/>
        </w:rPr>
      </w:pPr>
    </w:p>
    <w:p w14:paraId="310C31D5" w14:textId="5F4E5457" w:rsidR="00787763" w:rsidRPr="00787763" w:rsidRDefault="00D919F8" w:rsidP="00787763">
      <w:pPr>
        <w:spacing w:after="240" w:line="276" w:lineRule="auto"/>
        <w:rPr>
          <w:lang w:val="en-ID"/>
        </w:rPr>
      </w:pPr>
      <w:r>
        <w:rPr>
          <w:rFonts w:eastAsia="Aptos"/>
          <w:iCs/>
          <w:lang w:val="en-ID" w:eastAsia="en-PH"/>
        </w:rPr>
        <w:t xml:space="preserve">The National Validation Workshop held last 12-14 November 2025 also generated governance-related recommendations as can be seen in </w:t>
      </w:r>
      <w:r w:rsidRPr="005B5D03">
        <w:rPr>
          <w:rFonts w:eastAsia="Aptos"/>
          <w:b/>
          <w:bCs/>
          <w:iCs/>
          <w:lang w:val="en-ID" w:eastAsia="en-PH"/>
        </w:rPr>
        <w:t>Annex 6.G</w:t>
      </w:r>
      <w:r w:rsidR="00787763" w:rsidRPr="00D55B7A">
        <w:rPr>
          <w:lang w:val="en-ID"/>
        </w:rPr>
        <w:t>.</w:t>
      </w:r>
    </w:p>
    <w:p w14:paraId="786F1A0C" w14:textId="09314162" w:rsidR="0096202D" w:rsidRDefault="0096202D" w:rsidP="0096202D">
      <w:pPr>
        <w:pStyle w:val="Heading2"/>
        <w:rPr>
          <w:rFonts w:eastAsia="Aptos"/>
          <w:lang w:val="en-ID" w:eastAsia="en-PH"/>
        </w:rPr>
      </w:pPr>
      <w:bookmarkStart w:id="14" w:name="_Toc215447064"/>
      <w:r>
        <w:rPr>
          <w:rFonts w:eastAsia="Aptos"/>
          <w:lang w:val="en-ID" w:eastAsia="en-PH"/>
        </w:rPr>
        <w:t>6.4 Methodology and Analysis</w:t>
      </w:r>
      <w:bookmarkEnd w:id="14"/>
    </w:p>
    <w:p w14:paraId="42AA1EC2" w14:textId="77777777" w:rsidR="001C057D" w:rsidRDefault="00D919F8" w:rsidP="00D919F8">
      <w:pPr>
        <w:spacing w:line="240" w:lineRule="auto"/>
        <w:rPr>
          <w:rFonts w:eastAsia="Aptos"/>
          <w:iCs/>
          <w:lang w:val="en-ID" w:eastAsia="en-PH"/>
        </w:rPr>
      </w:pPr>
      <w:r w:rsidRPr="00D55B7A">
        <w:rPr>
          <w:rFonts w:eastAsia="Aptos"/>
          <w:iCs/>
          <w:lang w:val="en-ID" w:eastAsia="en-PH"/>
        </w:rPr>
        <w:t xml:space="preserve">This chapter </w:t>
      </w:r>
      <w:r>
        <w:rPr>
          <w:rFonts w:eastAsia="Aptos"/>
          <w:iCs/>
          <w:lang w:val="en-ID" w:eastAsia="en-PH"/>
        </w:rPr>
        <w:t xml:space="preserve">did a </w:t>
      </w:r>
      <w:r w:rsidRPr="00D55B7A">
        <w:rPr>
          <w:rFonts w:eastAsia="Aptos"/>
          <w:iCs/>
          <w:lang w:val="en-ID" w:eastAsia="en-PH"/>
        </w:rPr>
        <w:t xml:space="preserve">textual analysis of legal and policy documents and </w:t>
      </w:r>
      <w:r>
        <w:rPr>
          <w:rFonts w:eastAsia="Aptos"/>
          <w:iCs/>
          <w:lang w:val="en-ID" w:eastAsia="en-PH"/>
        </w:rPr>
        <w:t xml:space="preserve">compared them </w:t>
      </w:r>
      <w:r w:rsidRPr="00D55B7A">
        <w:rPr>
          <w:rFonts w:eastAsia="Aptos"/>
          <w:iCs/>
          <w:lang w:val="en-ID" w:eastAsia="en-PH"/>
        </w:rPr>
        <w:t xml:space="preserve">with available </w:t>
      </w:r>
      <w:r>
        <w:rPr>
          <w:rFonts w:eastAsia="Aptos"/>
          <w:iCs/>
          <w:lang w:val="en-ID" w:eastAsia="en-PH"/>
        </w:rPr>
        <w:t xml:space="preserve">accomplishment </w:t>
      </w:r>
      <w:r w:rsidRPr="00D55B7A">
        <w:rPr>
          <w:rFonts w:eastAsia="Aptos"/>
          <w:iCs/>
          <w:lang w:val="en-ID" w:eastAsia="en-PH"/>
        </w:rPr>
        <w:t xml:space="preserve">reports </w:t>
      </w:r>
      <w:r>
        <w:rPr>
          <w:rFonts w:eastAsia="Aptos"/>
          <w:iCs/>
          <w:lang w:val="en-ID" w:eastAsia="en-PH"/>
        </w:rPr>
        <w:t>of key agencies online.</w:t>
      </w:r>
      <w:r w:rsidRPr="00D55B7A">
        <w:rPr>
          <w:rFonts w:eastAsia="Aptos"/>
          <w:iCs/>
          <w:lang w:val="en-ID" w:eastAsia="en-PH"/>
        </w:rPr>
        <w:t xml:space="preserve"> National and sub-national data was collected</w:t>
      </w:r>
      <w:r>
        <w:rPr>
          <w:rFonts w:eastAsia="Aptos"/>
          <w:iCs/>
          <w:lang w:val="en-ID" w:eastAsia="en-PH"/>
        </w:rPr>
        <w:t xml:space="preserve"> online</w:t>
      </w:r>
      <w:r w:rsidRPr="00D55B7A">
        <w:rPr>
          <w:rFonts w:eastAsia="Aptos"/>
          <w:iCs/>
          <w:lang w:val="en-ID" w:eastAsia="en-PH"/>
        </w:rPr>
        <w:t xml:space="preserve"> for analysis within the </w:t>
      </w:r>
      <w:r>
        <w:rPr>
          <w:rFonts w:eastAsia="Aptos"/>
          <w:iCs/>
          <w:lang w:val="en-ID" w:eastAsia="en-PH"/>
        </w:rPr>
        <w:t>Palawan and Batangas provinces (</w:t>
      </w:r>
      <w:r w:rsidRPr="00D919F8">
        <w:rPr>
          <w:rFonts w:eastAsia="Aptos"/>
          <w:b/>
          <w:bCs/>
          <w:iCs/>
          <w:lang w:val="en-ID" w:eastAsia="en-PH"/>
        </w:rPr>
        <w:t>Annex 6.B</w:t>
      </w:r>
      <w:r>
        <w:rPr>
          <w:rFonts w:eastAsia="Aptos"/>
          <w:iCs/>
          <w:lang w:val="en-ID" w:eastAsia="en-PH"/>
        </w:rPr>
        <w:t xml:space="preserve">). </w:t>
      </w:r>
    </w:p>
    <w:p w14:paraId="25749D22" w14:textId="77777777" w:rsidR="001C057D" w:rsidRDefault="001C057D" w:rsidP="001C057D">
      <w:pPr>
        <w:spacing w:after="240" w:line="276" w:lineRule="auto"/>
        <w:ind w:firstLine="0"/>
        <w:rPr>
          <w:rFonts w:eastAsia="Aptos"/>
          <w:b/>
          <w:bCs/>
          <w:iCs/>
          <w:lang w:val="en-ID" w:eastAsia="en-PH"/>
        </w:rPr>
      </w:pPr>
      <w:r w:rsidRPr="001C057D">
        <w:rPr>
          <w:rFonts w:eastAsia="Aptos"/>
          <w:b/>
          <w:bCs/>
          <w:iCs/>
          <w:lang w:val="en-ID" w:eastAsia="en-PH"/>
        </w:rPr>
        <w:lastRenderedPageBreak/>
        <w:t>Glossary</w:t>
      </w:r>
    </w:p>
    <w:p w14:paraId="6A52A417" w14:textId="6B5FEA62"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 xml:space="preserve">Certificate of Ancestral Domain Claim (CADC), </w:t>
      </w:r>
      <w:r w:rsidRPr="006865AD">
        <w:rPr>
          <w:rFonts w:eastAsia="Aptos"/>
          <w:lang w:val="en-ID" w:eastAsia="en-PH"/>
        </w:rPr>
        <w:t xml:space="preserve">also </w:t>
      </w:r>
      <w:r w:rsidRPr="006865AD">
        <w:rPr>
          <w:rFonts w:eastAsia="Aptos"/>
          <w:b/>
          <w:bCs/>
          <w:lang w:val="en-ID" w:eastAsia="en-PH"/>
        </w:rPr>
        <w:t xml:space="preserve">Certificate of Ancestral Land Claim (CALC) - </w:t>
      </w:r>
      <w:r w:rsidRPr="006865AD">
        <w:rPr>
          <w:rFonts w:eastAsia="Aptos"/>
          <w:lang w:val="en-ID" w:eastAsia="en-PH"/>
        </w:rPr>
        <w:t>refers to the land tenure instrument issued by the DENR recognizing the claim of indigenous cultural communities on land, resources and rights thereon within a defined territory.</w:t>
      </w:r>
    </w:p>
    <w:p w14:paraId="35F0E7D2" w14:textId="40933B8A"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Certificate of Ancestral Domain Title (CADT)</w:t>
      </w:r>
      <w:r w:rsidRPr="006865AD">
        <w:rPr>
          <w:rFonts w:eastAsia="Aptos"/>
          <w:lang w:val="en-ID" w:eastAsia="en-PH"/>
        </w:rPr>
        <w:t xml:space="preserve"> refers to a title formally recognizing the rights of possession and ownership of ICCs/IPs over their ancestral domains identified and delineated in accordance with R.A. No. 8371.</w:t>
      </w:r>
    </w:p>
    <w:p w14:paraId="182B1927" w14:textId="6708F858"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Coordination</w:t>
      </w:r>
      <w:r w:rsidRPr="006865AD">
        <w:rPr>
          <w:rFonts w:eastAsia="Aptos"/>
          <w:lang w:val="en-ID" w:eastAsia="en-PH"/>
        </w:rPr>
        <w:t xml:space="preserve"> involves communication and some mutual adjustment of activities among multiple existing decision-making </w:t>
      </w:r>
      <w:proofErr w:type="spellStart"/>
      <w:r w:rsidRPr="006865AD">
        <w:rPr>
          <w:rFonts w:eastAsia="Aptos"/>
          <w:lang w:val="en-ID" w:eastAsia="en-PH"/>
        </w:rPr>
        <w:t>centers</w:t>
      </w:r>
      <w:proofErr w:type="spellEnd"/>
      <w:r w:rsidRPr="006865AD">
        <w:rPr>
          <w:rFonts w:eastAsia="Aptos"/>
          <w:lang w:val="en-ID" w:eastAsia="en-PH"/>
        </w:rPr>
        <w:t xml:space="preserve">. It often happens within sectors (e.g., within fisheries ministries) or at sub-regional levels. It is a necessary but often insufficient step for addressing complex, transboundary, ecosystem-based challenges </w:t>
      </w:r>
    </w:p>
    <w:p w14:paraId="237F2F3D" w14:textId="7C33B739"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 xml:space="preserve">Fisheries and Aquatic Resources Management Councils (FARMCs) </w:t>
      </w:r>
      <w:r w:rsidRPr="006865AD">
        <w:rPr>
          <w:rFonts w:eastAsia="Aptos"/>
          <w:lang w:val="en-ID" w:eastAsia="en-PH"/>
        </w:rPr>
        <w:t xml:space="preserve">– is an institutional mechanism established by the Fisheries Code formed by fisherfolk organizations/cooperatives and NGOs in the locality and assisted by the LGUs and other government entities. Before organizing FARMCs, the LGUs, NGOs, fisherfolk, and other concerned POs shall undergo consultation and orientation on the formation of FARMCs. </w:t>
      </w:r>
    </w:p>
    <w:p w14:paraId="05878126" w14:textId="50879388"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Fishery Management Areas or FMAs</w:t>
      </w:r>
      <w:r w:rsidRPr="006865AD">
        <w:rPr>
          <w:rFonts w:eastAsia="Aptos"/>
          <w:lang w:val="en-ID" w:eastAsia="en-PH"/>
        </w:rPr>
        <w:t xml:space="preserve"> are areas (bay, gulf, lake or others) identified by the Department of Agriculture’s Bureau of Fisheries and Aquatic Resources (DA-BFAR) as major fishing grounds based on stocks boundary/range/distribution, structure of fisheries and administrative subdivisions which integrate science-based, participatory and transparent governance framework and mechanism to sustainably manage fisheries in such areas to stop overfishing, fight illegal, unregulated and unreported fishing and promote food security and poverty alleviation in the Philippines. </w:t>
      </w:r>
    </w:p>
    <w:p w14:paraId="4D908861" w14:textId="270D9E88"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Integrated Coastal Management or ICM</w:t>
      </w:r>
      <w:r w:rsidRPr="006865AD">
        <w:rPr>
          <w:rFonts w:eastAsia="Aptos"/>
          <w:lang w:val="en-ID" w:eastAsia="en-PH"/>
        </w:rPr>
        <w:t xml:space="preserve"> is a dynamic process of planning and management involving stakeholders, and requiring the analysis of the environmental and socioeconomic implications of development, the ecosystem processes, and the interrelationships among land-based and marine-related activities across jurisdictions </w:t>
      </w:r>
    </w:p>
    <w:p w14:paraId="16895C19" w14:textId="386CBF79"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Integrated Coastal Zone Management or ICZM</w:t>
      </w:r>
      <w:r w:rsidRPr="006865AD">
        <w:rPr>
          <w:rFonts w:eastAsia="Aptos"/>
          <w:lang w:val="en-ID" w:eastAsia="en-PH"/>
        </w:rPr>
        <w:t xml:space="preserve"> is a resource management system which employs an integrative, holistic approach and an interactive planning process in addressing the complex management issues in the coastal area. It could serve as the blueprint for attaining the goals and objectives of sustainable development by maintaining the functional integrity of the coastal </w:t>
      </w:r>
      <w:proofErr w:type="spellStart"/>
      <w:r w:rsidRPr="006865AD">
        <w:rPr>
          <w:rFonts w:eastAsia="Aptos"/>
          <w:lang w:val="en-ID" w:eastAsia="en-PH"/>
        </w:rPr>
        <w:t>ystems</w:t>
      </w:r>
      <w:proofErr w:type="spellEnd"/>
      <w:r w:rsidRPr="006865AD">
        <w:rPr>
          <w:rFonts w:eastAsia="Aptos"/>
          <w:lang w:val="en-ID" w:eastAsia="en-PH"/>
        </w:rPr>
        <w:t xml:space="preserve">, reducing resource-use conflicts, maintaining the health of the environment and facilitating the progress of multisectoral development. </w:t>
      </w:r>
    </w:p>
    <w:p w14:paraId="204B5FEF" w14:textId="2B821502" w:rsidR="001C057D" w:rsidRPr="006865AD" w:rsidRDefault="001C057D" w:rsidP="006865AD">
      <w:pPr>
        <w:pStyle w:val="ListParagraph"/>
        <w:numPr>
          <w:ilvl w:val="0"/>
          <w:numId w:val="117"/>
        </w:numPr>
        <w:spacing w:after="80" w:line="276" w:lineRule="auto"/>
        <w:ind w:left="714" w:hanging="357"/>
        <w:contextualSpacing w:val="0"/>
        <w:rPr>
          <w:rFonts w:eastAsia="Aptos"/>
          <w:lang w:val="en-ID" w:eastAsia="en-PH"/>
        </w:rPr>
      </w:pPr>
      <w:r w:rsidRPr="006865AD">
        <w:rPr>
          <w:rFonts w:eastAsia="Aptos"/>
          <w:b/>
          <w:bCs/>
          <w:lang w:val="en-ID" w:eastAsia="en-PH"/>
        </w:rPr>
        <w:t>Integration</w:t>
      </w:r>
      <w:r w:rsidRPr="006865AD">
        <w:rPr>
          <w:rFonts w:eastAsia="Aptos"/>
          <w:lang w:val="en-ID" w:eastAsia="en-PH"/>
        </w:rPr>
        <w:t xml:space="preserve"> is a deliberate process to combine or link diverse, often fragmented, sectoral plans and policies into a single, cohesive, holistic framework for comprehensive management (such as Integrated Ocean Management or Ecosystem-Based Management). It requires creating specific institutional mechanisms to ensure consistency across policy goals, shared vision, and effective decision-making. </w:t>
      </w:r>
    </w:p>
    <w:p w14:paraId="72321EA9" w14:textId="0F280C8F" w:rsidR="0088061C" w:rsidRPr="006865AD" w:rsidRDefault="001C057D" w:rsidP="006865AD">
      <w:pPr>
        <w:pStyle w:val="ListParagraph"/>
        <w:numPr>
          <w:ilvl w:val="0"/>
          <w:numId w:val="117"/>
        </w:numPr>
        <w:spacing w:after="240" w:line="276" w:lineRule="auto"/>
        <w:ind w:left="714" w:hanging="357"/>
        <w:contextualSpacing w:val="0"/>
        <w:rPr>
          <w:rFonts w:eastAsia="Aptos"/>
          <w:lang w:val="en-ID" w:eastAsia="en-PH"/>
        </w:rPr>
      </w:pPr>
      <w:r w:rsidRPr="006865AD">
        <w:rPr>
          <w:rFonts w:eastAsia="Aptos"/>
          <w:b/>
          <w:bCs/>
          <w:lang w:val="en-ID" w:eastAsia="en-PH"/>
        </w:rPr>
        <w:t>Local government units</w:t>
      </w:r>
      <w:r w:rsidRPr="006865AD">
        <w:rPr>
          <w:rFonts w:eastAsia="Aptos"/>
          <w:lang w:val="en-ID" w:eastAsia="en-PH"/>
        </w:rPr>
        <w:t xml:space="preserve"> are institutional units whose fiscal, legislative and executive authority extends over the smallest geographical areas distinguished for administrative and political purposes.</w:t>
      </w:r>
    </w:p>
    <w:p w14:paraId="63C99CC2" w14:textId="07CF2525" w:rsidR="001C057D" w:rsidRDefault="001C057D" w:rsidP="0088061C">
      <w:pPr>
        <w:spacing w:after="240" w:line="276" w:lineRule="auto"/>
        <w:ind w:firstLine="0"/>
        <w:rPr>
          <w:rFonts w:eastAsia="Aptos"/>
          <w:b/>
          <w:bCs/>
          <w:lang w:val="en-ID" w:eastAsia="en-PH"/>
        </w:rPr>
      </w:pPr>
      <w:r w:rsidRPr="00496D77">
        <w:rPr>
          <w:rFonts w:eastAsia="Aptos"/>
          <w:b/>
          <w:bCs/>
          <w:lang w:val="en-ID" w:eastAsia="en-PH"/>
        </w:rPr>
        <w:t>Acknowledgments</w:t>
      </w:r>
    </w:p>
    <w:p w14:paraId="488FA4FA" w14:textId="3E623DC1" w:rsidR="001C057D" w:rsidRPr="00496D77" w:rsidRDefault="001C057D" w:rsidP="0088061C">
      <w:pPr>
        <w:spacing w:after="240" w:line="276" w:lineRule="auto"/>
        <w:rPr>
          <w:rFonts w:eastAsia="Aptos"/>
          <w:lang w:val="en-ID" w:eastAsia="en-PH"/>
        </w:rPr>
      </w:pPr>
      <w:r>
        <w:rPr>
          <w:rFonts w:eastAsia="Aptos"/>
          <w:lang w:val="en-ID" w:eastAsia="en-PH"/>
        </w:rPr>
        <w:t xml:space="preserve">The assistance and diligent work provided by the technical support team provided by the SCPW, particularly Yuijiro, Chiara, </w:t>
      </w:r>
      <w:proofErr w:type="spellStart"/>
      <w:r>
        <w:rPr>
          <w:rFonts w:eastAsia="Aptos"/>
          <w:lang w:val="en-ID" w:eastAsia="en-PH"/>
        </w:rPr>
        <w:t>Zoisane</w:t>
      </w:r>
      <w:proofErr w:type="spellEnd"/>
      <w:r>
        <w:rPr>
          <w:rFonts w:eastAsia="Aptos"/>
          <w:lang w:val="en-ID" w:eastAsia="en-PH"/>
        </w:rPr>
        <w:t xml:space="preserve">, Daniel, </w:t>
      </w:r>
      <w:r w:rsidR="0088061C">
        <w:rPr>
          <w:rFonts w:eastAsia="Aptos"/>
          <w:lang w:val="en-ID" w:eastAsia="en-PH"/>
        </w:rPr>
        <w:t>Johanna</w:t>
      </w:r>
      <w:r>
        <w:rPr>
          <w:rFonts w:eastAsia="Aptos"/>
          <w:lang w:val="en-ID" w:eastAsia="en-PH"/>
        </w:rPr>
        <w:t>, led by the always-amiable Amy, the formidable Romy and the indefatigable Sim are deeply appreciated</w:t>
      </w:r>
    </w:p>
    <w:p w14:paraId="57F1D8FE" w14:textId="77777777" w:rsidR="001C057D" w:rsidRPr="00496D77" w:rsidRDefault="001C057D" w:rsidP="001C057D">
      <w:pPr>
        <w:spacing w:after="240" w:line="276" w:lineRule="auto"/>
        <w:ind w:firstLine="0"/>
        <w:rPr>
          <w:rFonts w:eastAsia="Aptos"/>
          <w:b/>
          <w:bCs/>
          <w:lang w:val="en-ID" w:eastAsia="en-PH"/>
        </w:rPr>
      </w:pPr>
      <w:r w:rsidRPr="00496D77">
        <w:rPr>
          <w:rFonts w:eastAsia="Aptos"/>
          <w:b/>
          <w:bCs/>
          <w:lang w:val="en-ID" w:eastAsia="en-PH"/>
        </w:rPr>
        <w:t>Author Contributions</w:t>
      </w:r>
    </w:p>
    <w:p w14:paraId="4EA66D30" w14:textId="4014CDE6" w:rsidR="001C057D" w:rsidRDefault="001C057D" w:rsidP="001C057D">
      <w:pPr>
        <w:spacing w:after="240" w:line="276" w:lineRule="auto"/>
        <w:rPr>
          <w:rFonts w:eastAsia="Aptos"/>
          <w:lang w:val="en-ID" w:eastAsia="en-PH"/>
        </w:rPr>
      </w:pPr>
      <w:r>
        <w:rPr>
          <w:rFonts w:eastAsia="Aptos"/>
          <w:lang w:val="en-ID" w:eastAsia="en-PH"/>
        </w:rPr>
        <w:lastRenderedPageBreak/>
        <w:t>The regional governance advisor, Megan Patricia Knight, is very much a co-author of this work, as she has patiently gone through the various drafts of this Chapter, from its initial iteration back in April 2025. This will not come out in this manner without her wise advice and sagacious suggestions.</w:t>
      </w:r>
    </w:p>
    <w:p w14:paraId="5C629242" w14:textId="77777777" w:rsidR="001C057D" w:rsidRPr="00496D77" w:rsidRDefault="001C057D" w:rsidP="001C057D">
      <w:pPr>
        <w:spacing w:after="240" w:line="276" w:lineRule="auto"/>
        <w:ind w:firstLine="0"/>
        <w:rPr>
          <w:rFonts w:eastAsia="Aptos"/>
          <w:b/>
          <w:bCs/>
          <w:lang w:val="en-ID" w:eastAsia="en-PH"/>
        </w:rPr>
      </w:pPr>
      <w:r w:rsidRPr="00496D77">
        <w:rPr>
          <w:rFonts w:eastAsia="Aptos"/>
          <w:b/>
          <w:bCs/>
          <w:lang w:val="en-ID" w:eastAsia="en-PH"/>
        </w:rPr>
        <w:t>Funding sources</w:t>
      </w:r>
    </w:p>
    <w:p w14:paraId="2DFB9514" w14:textId="115A9B34" w:rsidR="00787763" w:rsidRPr="001C057D" w:rsidRDefault="001C057D" w:rsidP="001C057D">
      <w:pPr>
        <w:spacing w:after="240" w:line="276" w:lineRule="auto"/>
        <w:rPr>
          <w:rFonts w:eastAsia="Aptos"/>
          <w:b/>
          <w:bCs/>
          <w:iCs/>
          <w:lang w:val="en-ID" w:eastAsia="en-PH"/>
        </w:rPr>
      </w:pPr>
      <w:r>
        <w:rPr>
          <w:rFonts w:eastAsia="Aptos"/>
          <w:lang w:val="en-ID" w:eastAsia="en-PH"/>
        </w:rPr>
        <w:t>The activities that enabled the validation of information organized under this Chapter and the technical staff that were critical in providing assistance to the consultants were funded from support generated by the SCPW from its regular funding partners.</w:t>
      </w:r>
      <w:r w:rsidR="000D52D7" w:rsidRPr="001C057D">
        <w:rPr>
          <w:rFonts w:eastAsia="Aptos"/>
          <w:b/>
          <w:bCs/>
          <w:iCs/>
          <w:lang w:val="en-ID" w:eastAsia="en-PH"/>
        </w:rPr>
        <w:br w:type="page"/>
      </w:r>
    </w:p>
    <w:p w14:paraId="1EF24472" w14:textId="23E805AF" w:rsidR="0096202D" w:rsidRDefault="0096202D" w:rsidP="0096202D">
      <w:pPr>
        <w:pStyle w:val="Heading1"/>
        <w:rPr>
          <w:rFonts w:eastAsia="Aptos"/>
          <w:lang w:val="en-ID" w:eastAsia="en-PH"/>
        </w:rPr>
      </w:pPr>
      <w:bookmarkStart w:id="15" w:name="_Toc215447065"/>
      <w:r>
        <w:rPr>
          <w:rFonts w:eastAsia="Aptos"/>
          <w:lang w:val="en-ID" w:eastAsia="en-PH"/>
        </w:rPr>
        <w:lastRenderedPageBreak/>
        <w:t xml:space="preserve">Chapter </w:t>
      </w:r>
      <w:r w:rsidR="000D52D7">
        <w:rPr>
          <w:rFonts w:eastAsia="Aptos"/>
          <w:lang w:val="en-ID" w:eastAsia="en-PH"/>
        </w:rPr>
        <w:t xml:space="preserve">6 </w:t>
      </w:r>
      <w:r>
        <w:rPr>
          <w:rFonts w:eastAsia="Aptos"/>
          <w:lang w:val="en-ID" w:eastAsia="en-PH"/>
        </w:rPr>
        <w:t>References</w:t>
      </w:r>
      <w:bookmarkEnd w:id="15"/>
    </w:p>
    <w:p w14:paraId="209DB0BC" w14:textId="285BADD4" w:rsidR="0001033B" w:rsidRPr="0001033B" w:rsidRDefault="0001033B" w:rsidP="0001033B">
      <w:pPr>
        <w:spacing w:line="276" w:lineRule="auto"/>
        <w:ind w:left="720" w:hanging="720"/>
      </w:pPr>
      <w:r w:rsidRPr="0001033B">
        <w:t xml:space="preserve">Agaton, C. and Ancheta, M.J.J. (2025). Socioeconomics and Climate-Related Threats in the Philippine Seas in the South China Sea Large Marine Ecosystem. 2025 Transboundary Diagnostic Analysis (TDA) for the Philippines, South China Sea-Strategic Action </w:t>
      </w:r>
      <w:proofErr w:type="spellStart"/>
      <w:r w:rsidRPr="0001033B">
        <w:t>Programme</w:t>
      </w:r>
      <w:proofErr w:type="spellEnd"/>
      <w:r w:rsidRPr="0001033B">
        <w:t>.</w:t>
      </w:r>
    </w:p>
    <w:p w14:paraId="61A28C5A" w14:textId="77777777" w:rsidR="0001033B" w:rsidRDefault="0001033B" w:rsidP="0001033B">
      <w:pPr>
        <w:spacing w:line="276" w:lineRule="auto"/>
        <w:ind w:firstLine="0"/>
      </w:pPr>
      <w:r w:rsidRPr="0001033B">
        <w:t xml:space="preserve">Aksyon Klima </w:t>
      </w:r>
      <w:proofErr w:type="spellStart"/>
      <w:r w:rsidRPr="0001033B">
        <w:t>Pilipinas</w:t>
      </w:r>
      <w:proofErr w:type="spellEnd"/>
      <w:r w:rsidRPr="0001033B">
        <w:t xml:space="preserve"> (2025).  Notes on the DENR CSO Consultation meeting, 13 May 2025</w:t>
      </w:r>
    </w:p>
    <w:p w14:paraId="1FE32273" w14:textId="08CFDE2D" w:rsidR="0001033B" w:rsidRDefault="0001033B" w:rsidP="0001033B">
      <w:pPr>
        <w:spacing w:line="276" w:lineRule="auto"/>
        <w:ind w:left="720" w:hanging="720"/>
      </w:pPr>
      <w:r w:rsidRPr="0001033B">
        <w:t>Aquino, A.P.&amp; Correa, A.B.D. (2014). Executive Order No. 533: Integrated Coastal Management Policy. FFTC Agricultural Policy Platform (FFTC-AP). https://ap.fftc.org.tw/article/716</w:t>
      </w:r>
    </w:p>
    <w:p w14:paraId="0EADA7AE" w14:textId="38121EC0" w:rsidR="0001033B" w:rsidRDefault="0001033B" w:rsidP="0001033B">
      <w:pPr>
        <w:spacing w:line="276" w:lineRule="auto"/>
        <w:ind w:left="720" w:hanging="720"/>
      </w:pPr>
      <w:r w:rsidRPr="0001033B">
        <w:t>Arceo, H.O., Velos, M.J.P., Nuñez, M.A.C. and Aliño, P.M. (Eds.). (2024). The West Philippine Sea: State of the Coasts. University of the Philippines Marine Science Institute, Diliman, Quezon City, Philippines. 208pp. https://pcsd.gov.ph/wp-content/uploads/2024/07/WPS-SOC-2024-Full-Report-ebook-144dpi-2.pdf</w:t>
      </w:r>
    </w:p>
    <w:p w14:paraId="506F34F0" w14:textId="04595C5B" w:rsidR="0001033B" w:rsidRDefault="0001033B" w:rsidP="0001033B">
      <w:pPr>
        <w:spacing w:line="276" w:lineRule="auto"/>
        <w:ind w:left="720" w:hanging="720"/>
      </w:pPr>
      <w:r w:rsidRPr="0001033B">
        <w:t xml:space="preserve">ASEAN Secretariat (2025). ASEAN Environmental Initiatives and Climate Actions: Teatime with </w:t>
      </w:r>
      <w:r w:rsidR="002D5CCF" w:rsidRPr="0001033B">
        <w:t>ASEAN:</w:t>
      </w:r>
      <w:r w:rsidRPr="0001033B">
        <w:t xml:space="preserve"> ASEAN-UN Briefing to Strengthen Regional Cooperation. Episode 2. February 13, 2025. </w:t>
      </w:r>
      <w:r w:rsidRPr="002D5CCF">
        <w:t>https://www.unescap.org/sites/default/d8files/event-documents/003_PPT%20on%20ASEAN%20Environmental%20Initiatives%20and%20Climate%20Actions%20%28ASEAN-UN%20Teatime%29.pdf</w:t>
      </w:r>
    </w:p>
    <w:p w14:paraId="4155C8BD" w14:textId="0F511861" w:rsidR="0001033B" w:rsidRDefault="0001033B" w:rsidP="0001033B">
      <w:pPr>
        <w:spacing w:line="276" w:lineRule="auto"/>
        <w:ind w:left="720" w:hanging="720"/>
      </w:pPr>
      <w:r w:rsidRPr="0001033B">
        <w:t xml:space="preserve">ASEAN Secretariat (2023). ASEAN Blue Economy Framework. </w:t>
      </w:r>
      <w:r w:rsidRPr="002D5CCF">
        <w:t>https://asean.org/wp-content/uploads/2023/09/ASEAN-Blue-Economy-Framework.pdf#:~:text=Implement%20integrated%20marine%20ecosystem%20management%20policies.%20To,the%20environment%20from%20harm%20and%20ecosystem%20degradation</w:t>
      </w:r>
      <w:r w:rsidRPr="0001033B">
        <w:t>.</w:t>
      </w:r>
    </w:p>
    <w:p w14:paraId="30624027" w14:textId="5FCE3EBC" w:rsidR="0001033B" w:rsidRDefault="0001033B" w:rsidP="0001033B">
      <w:pPr>
        <w:spacing w:line="276" w:lineRule="auto"/>
        <w:ind w:left="720" w:hanging="720"/>
      </w:pPr>
      <w:r w:rsidRPr="0001033B">
        <w:t xml:space="preserve">ASEAN Secretariat (2021). ASEAN Leaders’ Declaration on the Blue Economy.  </w:t>
      </w:r>
      <w:r w:rsidRPr="002D5CCF">
        <w:t>https://asean.org/wp-content/uploads/2021/10/4.-ASEAN-Leaders-Declaration-on-the-Blue-Economy-Final.pdf</w:t>
      </w:r>
      <w:r w:rsidRPr="0001033B">
        <w:t xml:space="preserve"> </w:t>
      </w:r>
    </w:p>
    <w:p w14:paraId="5F8AE532" w14:textId="4E21D16E" w:rsidR="0001033B" w:rsidRDefault="0001033B" w:rsidP="0001033B">
      <w:pPr>
        <w:spacing w:line="276" w:lineRule="auto"/>
        <w:ind w:left="720" w:hanging="720"/>
      </w:pPr>
      <w:r w:rsidRPr="0001033B">
        <w:t xml:space="preserve">ASEAN Secretariat (n.d.) About ASEAN Coastal and Marine Environment. </w:t>
      </w:r>
      <w:r w:rsidRPr="002D5CCF">
        <w:t>https://environment.asean.org/coastal-and-marine-environment/about</w:t>
      </w:r>
      <w:r w:rsidRPr="0001033B">
        <w:t xml:space="preserve"> </w:t>
      </w:r>
    </w:p>
    <w:p w14:paraId="76CB6E41" w14:textId="086FFA90" w:rsidR="0001033B" w:rsidRDefault="0001033B" w:rsidP="0001033B">
      <w:pPr>
        <w:spacing w:line="276" w:lineRule="auto"/>
        <w:ind w:left="720" w:hanging="720"/>
      </w:pPr>
      <w:r w:rsidRPr="0001033B">
        <w:t xml:space="preserve">Bacal, J., &amp; Garcia, R. (2024). Proposed Coastal Resource Management Program for An Island Municipality. </w:t>
      </w:r>
      <w:r w:rsidRPr="002D5CCF">
        <w:t>https://research.lpubatangas.edu.ph/wp- content/uploads/2024/08/12.-APJMSD-2024-15.pdf</w:t>
      </w:r>
    </w:p>
    <w:p w14:paraId="6B80C0B3" w14:textId="62FCD736" w:rsidR="0001033B" w:rsidRDefault="0001033B" w:rsidP="0001033B">
      <w:pPr>
        <w:spacing w:line="276" w:lineRule="auto"/>
        <w:ind w:left="720" w:hanging="720"/>
      </w:pPr>
      <w:proofErr w:type="spellStart"/>
      <w:r w:rsidRPr="0001033B">
        <w:t>Batongbacal</w:t>
      </w:r>
      <w:proofErr w:type="spellEnd"/>
      <w:r w:rsidRPr="0001033B">
        <w:t xml:space="preserve">, J. (2024). Policies on Coastal and Marine Resources. Chapter 1.12 in Arceo, H.O., Velos, M.J.P., Nuñez, M.A.C. and Aliño, P.M. (Eds.). (2024). The West Philippine Sea: State of the Coasts. University of the Philippines Marine Science Institute, Diliman, Quezon City, Philippines. 208pp. </w:t>
      </w:r>
      <w:r w:rsidRPr="002D5CCF">
        <w:t>https://pcsd.gov.ph/wp-content/uploads/2024/07/WPS-SOC-2024-Full-Report-ebook-144dpi-2.pdf</w:t>
      </w:r>
    </w:p>
    <w:p w14:paraId="4D02B759" w14:textId="5CF974C4" w:rsidR="0001033B" w:rsidRDefault="0001033B" w:rsidP="0001033B">
      <w:pPr>
        <w:spacing w:line="276" w:lineRule="auto"/>
        <w:ind w:left="720" w:hanging="720"/>
      </w:pPr>
      <w:r w:rsidRPr="0001033B">
        <w:t xml:space="preserve">BIOFIN (n.d.). BIOFIN. About Us. </w:t>
      </w:r>
      <w:r w:rsidRPr="002D5CCF">
        <w:t>https://www.biofin.org/about-us</w:t>
      </w:r>
      <w:r w:rsidRPr="0001033B">
        <w:t xml:space="preserve"> </w:t>
      </w:r>
    </w:p>
    <w:p w14:paraId="09433D86" w14:textId="78EA4C29" w:rsidR="0001033B" w:rsidRDefault="0001033B" w:rsidP="0001033B">
      <w:pPr>
        <w:spacing w:line="276" w:lineRule="auto"/>
        <w:ind w:left="720" w:hanging="720"/>
      </w:pPr>
      <w:r w:rsidRPr="0001033B">
        <w:t xml:space="preserve">BIOFIN [2] (n.d.). BIOFIN. Philippines. </w:t>
      </w:r>
      <w:r w:rsidRPr="002D5CCF">
        <w:t>https://www.biofin.org/philippines</w:t>
      </w:r>
    </w:p>
    <w:p w14:paraId="43C2D416" w14:textId="5946B965" w:rsidR="0001033B" w:rsidRPr="0001033B" w:rsidRDefault="0001033B" w:rsidP="0001033B">
      <w:pPr>
        <w:spacing w:line="276" w:lineRule="auto"/>
        <w:ind w:left="720" w:hanging="720"/>
      </w:pPr>
      <w:r w:rsidRPr="0001033B">
        <w:t xml:space="preserve">Brown, D., Staples, D. and </w:t>
      </w:r>
      <w:proofErr w:type="spellStart"/>
      <w:r w:rsidRPr="0001033B">
        <w:t>Funge</w:t>
      </w:r>
      <w:proofErr w:type="spellEnd"/>
      <w:r w:rsidRPr="0001033B">
        <w:t>-Smith, S. (2005), Mainstreaming fisheries co-management</w:t>
      </w:r>
    </w:p>
    <w:p w14:paraId="12A6F1A4" w14:textId="242BC38D" w:rsidR="0001033B" w:rsidRDefault="0001033B" w:rsidP="0001033B">
      <w:pPr>
        <w:spacing w:line="276" w:lineRule="auto"/>
        <w:ind w:left="720" w:hanging="720"/>
      </w:pPr>
      <w:r w:rsidRPr="0001033B">
        <w:t xml:space="preserve">in the Asia-Pacific. Paper prepared for the APFIC Regional Workshop on Mainstreaming Fisheries Co-management in Asia-Pacific Siem Reap, Cambodia 9-12 August 2005. </w:t>
      </w:r>
      <w:r w:rsidRPr="002D5CCF">
        <w:t>https://openknowledge.fao.org/server/api/core/bitstreams/55805164-ef9f-47b7-bd95-92713d6fc1d6/content</w:t>
      </w:r>
    </w:p>
    <w:p w14:paraId="552920A0" w14:textId="576B5438" w:rsidR="0001033B" w:rsidRDefault="0001033B" w:rsidP="0001033B">
      <w:pPr>
        <w:spacing w:line="276" w:lineRule="auto"/>
        <w:ind w:left="720" w:hanging="720"/>
      </w:pPr>
      <w:proofErr w:type="spellStart"/>
      <w:r w:rsidRPr="0001033B">
        <w:t>Bulao</w:t>
      </w:r>
      <w:proofErr w:type="spellEnd"/>
      <w:r w:rsidRPr="0001033B">
        <w:t xml:space="preserve">, RJG (n.d.), The Problems of Coastal Environment and Natural Resources: The Case of the Philippines, </w:t>
      </w:r>
      <w:r w:rsidRPr="002D5CCF">
        <w:t>https://www.google.com/url?sa=t&amp;source=web&amp;rct=j&amp;opi=89978449&amp;url=https://kochi.repo.nii.ac.jp/%3Faction%3Drepository_uri%26item_id%3D8627%26file_id%3D17%26file_no%3D1&amp;ved=2ahUKEwi7ntjqm96MAxVezTgGHUO9OccQFnoECCEQAQ&amp;usg=AOvVaw2XzHD5FugAJw6hPv76eGkb</w:t>
      </w:r>
    </w:p>
    <w:p w14:paraId="1410E581" w14:textId="3CC04A75" w:rsidR="0001033B" w:rsidRDefault="0001033B" w:rsidP="0001033B">
      <w:pPr>
        <w:spacing w:line="276" w:lineRule="auto"/>
        <w:ind w:left="720" w:hanging="720"/>
      </w:pPr>
      <w:r w:rsidRPr="0001033B">
        <w:t>Capistrano, R.C., (2010). Indigenous Peoples, Their Livelihoods and Fishery Rights in Canada and the</w:t>
      </w:r>
      <w:r>
        <w:t xml:space="preserve"> </w:t>
      </w:r>
      <w:r w:rsidRPr="0001033B">
        <w:t xml:space="preserve">Philippines: Paradoxes, Perspectives and Lessons Learned. he United Nations-Nippon Foundation Fellowship </w:t>
      </w:r>
      <w:proofErr w:type="spellStart"/>
      <w:r w:rsidRPr="0001033B">
        <w:t>Programme</w:t>
      </w:r>
      <w:proofErr w:type="spellEnd"/>
      <w:r w:rsidRPr="0001033B">
        <w:t xml:space="preserve"> 2009 – 2010. DIVISION FOR OCEAN AFFAIRS AND THE LAW OF THE SEA OFFICE OF LEGAL AFFAIRS, THE UNITED NATIONS NEW YORK, 2010. </w:t>
      </w:r>
      <w:r w:rsidRPr="002D5CCF">
        <w:t>https://www.un.org/depts/los/nippon/unnff_programme_home/fellows_pages/fellows_papers/capistrano_0910_philippines.pdf</w:t>
      </w:r>
    </w:p>
    <w:p w14:paraId="0FDE5C45" w14:textId="5CE1B218" w:rsidR="0001033B" w:rsidRDefault="0001033B" w:rsidP="0001033B">
      <w:pPr>
        <w:spacing w:line="276" w:lineRule="auto"/>
        <w:ind w:left="720" w:hanging="720"/>
      </w:pPr>
      <w:r w:rsidRPr="0001033B">
        <w:t xml:space="preserve">Chavez, L. (2021). With growing pressures, can the Philippines sustain its marine reserves? Mongabay, 30 June 2021. </w:t>
      </w:r>
      <w:r w:rsidRPr="002D5CCF">
        <w:t>https://news.mongabay.com/2021/06/with-growing-pressures-can-the-philippines-sustain-its-marine-</w:t>
      </w:r>
      <w:r w:rsidRPr="002D5CCF">
        <w:lastRenderedPageBreak/>
        <w:t>reserves/#:~:text=Governments%20and%20communities%20have%20recognized%20the%20importance,of%20coastal%20and%20marine%20areas%20by%202020</w:t>
      </w:r>
      <w:r w:rsidRPr="0001033B">
        <w:t xml:space="preserve">. </w:t>
      </w:r>
    </w:p>
    <w:p w14:paraId="5817255C" w14:textId="31D1BA72" w:rsidR="0001033B" w:rsidRDefault="0001033B" w:rsidP="0001033B">
      <w:pPr>
        <w:spacing w:line="276" w:lineRule="auto"/>
        <w:ind w:left="720" w:hanging="720"/>
      </w:pPr>
      <w:r w:rsidRPr="0001033B">
        <w:t xml:space="preserve">CBD Secretariat (n.d.) Kunming-Montreal Global Biodiversity Framework. CBD COP Decision 15/4. </w:t>
      </w:r>
      <w:r w:rsidRPr="002D5CCF">
        <w:t>https://www.cbd.int/doc/decisions/cop-15/cop-15-dec-04-en.pdf</w:t>
      </w:r>
      <w:r w:rsidRPr="0001033B">
        <w:t xml:space="preserve"> </w:t>
      </w:r>
    </w:p>
    <w:p w14:paraId="5577872A" w14:textId="1ED25EC8" w:rsidR="0001033B" w:rsidRDefault="0001033B" w:rsidP="0001033B">
      <w:pPr>
        <w:spacing w:line="276" w:lineRule="auto"/>
        <w:ind w:left="720" w:hanging="720"/>
      </w:pPr>
      <w:r w:rsidRPr="0001033B">
        <w:t xml:space="preserve">Climate Change Commission (n.d.) Climate Change Act. Republic Act 9729. </w:t>
      </w:r>
      <w:r w:rsidRPr="002D5CCF">
        <w:t>https://climate.gov.ph/public/ckfinder/userfiles/files/Knowledge/RA%209729.pdf</w:t>
      </w:r>
      <w:r w:rsidRPr="0001033B">
        <w:t xml:space="preserve"> </w:t>
      </w:r>
    </w:p>
    <w:p w14:paraId="79CD55CF" w14:textId="75AEBCDF" w:rsidR="0001033B" w:rsidRDefault="0001033B" w:rsidP="0001033B">
      <w:pPr>
        <w:spacing w:line="276" w:lineRule="auto"/>
        <w:ind w:left="720" w:hanging="720"/>
      </w:pPr>
      <w:r w:rsidRPr="0001033B">
        <w:t xml:space="preserve">COBSEA (n.d.) Who We Are. </w:t>
      </w:r>
      <w:r w:rsidRPr="002D5CCF">
        <w:t>https://www.unep.org/cobsea/who-we-are#:~:text=At%20the%20request%20of%20participating%20countries%2C%20the,environment%20and%20coastal%20areas%20of%20the%20region</w:t>
      </w:r>
      <w:r w:rsidRPr="0001033B">
        <w:t>.</w:t>
      </w:r>
    </w:p>
    <w:p w14:paraId="2851FB43" w14:textId="4D924B0F" w:rsidR="0001033B" w:rsidRDefault="0001033B" w:rsidP="0001033B">
      <w:pPr>
        <w:spacing w:line="276" w:lineRule="auto"/>
        <w:ind w:left="720" w:hanging="720"/>
      </w:pPr>
      <w:r w:rsidRPr="0001033B">
        <w:t xml:space="preserve">Coral Reef and Rainforest Conservation Project (n.d.). Research Design and Methodology. </w:t>
      </w:r>
      <w:r w:rsidRPr="002D5CCF">
        <w:t>https://coralreefandrainforestconservationproject.org/coralreef/monitoring/data/</w:t>
      </w:r>
      <w:r w:rsidRPr="0001033B">
        <w:t xml:space="preserve"> </w:t>
      </w:r>
    </w:p>
    <w:p w14:paraId="3964F321" w14:textId="278EB211" w:rsidR="0001033B" w:rsidRPr="0001033B" w:rsidRDefault="0001033B" w:rsidP="0001033B">
      <w:pPr>
        <w:spacing w:line="276" w:lineRule="auto"/>
        <w:ind w:left="720" w:hanging="720"/>
      </w:pPr>
      <w:r w:rsidRPr="0001033B">
        <w:t>DA-BFAR (2024). Philippine IUU Fishing Assessment and Report 2023. Department of Agriculture-</w:t>
      </w:r>
    </w:p>
    <w:p w14:paraId="0E03E384" w14:textId="29B0DECB" w:rsidR="0001033B" w:rsidRDefault="0001033B" w:rsidP="0001033B">
      <w:pPr>
        <w:spacing w:line="276" w:lineRule="auto"/>
        <w:ind w:left="720" w:hanging="720"/>
      </w:pPr>
      <w:r w:rsidRPr="0001033B">
        <w:t xml:space="preserve">          Bureau of Fisheries and Aquatic Resources (DA-BFAR). Quezon City, Philippines.  </w:t>
      </w:r>
      <w:r w:rsidRPr="002D5CCF">
        <w:t>https://www.bfar.da.gov.ph/wp-content/uploads/2024/11/Philippine-IUU-Fishing-Assessment-Report-2023-   300dpi.pdf</w:t>
      </w:r>
    </w:p>
    <w:p w14:paraId="1D79EDDB" w14:textId="5263B7E2" w:rsidR="0001033B" w:rsidRDefault="0001033B" w:rsidP="0001033B">
      <w:pPr>
        <w:spacing w:line="276" w:lineRule="auto"/>
        <w:ind w:left="720" w:hanging="720"/>
      </w:pPr>
      <w:r w:rsidRPr="0001033B">
        <w:t xml:space="preserve">DA-BFAR (2023). DA-BFAR’s </w:t>
      </w:r>
      <w:proofErr w:type="spellStart"/>
      <w:r w:rsidRPr="0001033B">
        <w:t>FishCoRe</w:t>
      </w:r>
      <w:proofErr w:type="spellEnd"/>
      <w:r w:rsidRPr="0001033B">
        <w:t xml:space="preserve"> Project Gets World Bank Approval, To Start Implementation in August, Press Release. 13 June 2023. </w:t>
      </w:r>
      <w:r w:rsidRPr="002D5CCF">
        <w:t>https://www.bfar.da.gov.ph/2023/06/13/da-bfars-fishcore-project-gets-world-bank-approval-to-start-implementation-in-august/</w:t>
      </w:r>
    </w:p>
    <w:p w14:paraId="0890F30D" w14:textId="542ED595" w:rsidR="0001033B" w:rsidRDefault="0001033B" w:rsidP="0001033B">
      <w:pPr>
        <w:spacing w:line="276" w:lineRule="auto"/>
        <w:ind w:left="720" w:hanging="720"/>
      </w:pPr>
      <w:r w:rsidRPr="0001033B">
        <w:t xml:space="preserve">DA-BFAR (2021). Fisheries Administrative Order No. 263, series of 2019. Establishment of Fisheries Management Areas (FMA) for the Conservation and Management of Fisheries in Philippine Waters. </w:t>
      </w:r>
      <w:r w:rsidRPr="002D5CCF">
        <w:t>https://www.bfar.da.gov.ph/wp-content/uploads/2021/04/FAO-No.-263-s.-2019.pdf</w:t>
      </w:r>
    </w:p>
    <w:p w14:paraId="64DFEB24" w14:textId="423EC32C" w:rsidR="0001033B" w:rsidRDefault="0001033B" w:rsidP="0001033B">
      <w:pPr>
        <w:spacing w:line="276" w:lineRule="auto"/>
        <w:ind w:left="720" w:hanging="720"/>
      </w:pPr>
      <w:r w:rsidRPr="0001033B">
        <w:t xml:space="preserve">DA-BFAR (2021). Republic Act 10654. </w:t>
      </w:r>
      <w:r w:rsidRPr="002D5CCF">
        <w:t>https://www.bfar.da.gov.ph/wp-content/uploads/2021/04/ra10654.pdf</w:t>
      </w:r>
    </w:p>
    <w:p w14:paraId="1E54A7AE" w14:textId="47F54E7C" w:rsidR="0001033B" w:rsidRDefault="0001033B" w:rsidP="0001033B">
      <w:pPr>
        <w:spacing w:line="276" w:lineRule="auto"/>
        <w:ind w:left="720" w:hanging="720"/>
      </w:pPr>
      <w:r w:rsidRPr="0001033B">
        <w:t xml:space="preserve">DA-BFAR (n.d.). The Fisheries Code of 1998.  </w:t>
      </w:r>
      <w:r w:rsidRPr="002D5CCF">
        <w:t>https://www.bfar.da.gov.ph/wp-content/uploads/2021/02/Philippine-Fisheries-Code-of-1998.pdf</w:t>
      </w:r>
      <w:r w:rsidRPr="0001033B">
        <w:t xml:space="preserve"> </w:t>
      </w:r>
    </w:p>
    <w:p w14:paraId="232D316F" w14:textId="2B8CF38A" w:rsidR="0001033B" w:rsidRDefault="0001033B" w:rsidP="0001033B">
      <w:pPr>
        <w:spacing w:line="276" w:lineRule="auto"/>
        <w:ind w:left="720" w:hanging="720"/>
      </w:pPr>
      <w:r w:rsidRPr="0001033B">
        <w:t xml:space="preserve">De Vera, D. and </w:t>
      </w:r>
      <w:proofErr w:type="spellStart"/>
      <w:r w:rsidRPr="0001033B">
        <w:t>Zingapan</w:t>
      </w:r>
      <w:proofErr w:type="spellEnd"/>
      <w:r w:rsidRPr="0001033B">
        <w:t>, K. (2017). The Ancestral Lands and Waters of the Indigenous Tagbanwa</w:t>
      </w:r>
      <w:r>
        <w:t xml:space="preserve"> </w:t>
      </w:r>
      <w:r w:rsidRPr="0001033B">
        <w:t xml:space="preserve">Communities of Northern Palawan. Prepared </w:t>
      </w:r>
      <w:r w:rsidR="002D5CCF" w:rsidRPr="0001033B">
        <w:t>for the</w:t>
      </w:r>
      <w:r w:rsidRPr="0001033B">
        <w:t xml:space="preserve"> project “Mainstreaming Voluntary Guidelines on Governance of Tenure (VGGT): Philippines”, supported by the Food and Agriculture Organization (FAO) of the United Nations. October 2017. </w:t>
      </w:r>
      <w:r w:rsidRPr="002D5CCF">
        <w:t>https://chr-observatories.uwazi.io/api/files/1589915210176lt7irghr12b.pdf</w:t>
      </w:r>
    </w:p>
    <w:p w14:paraId="5E59CABD" w14:textId="7E1FFC44" w:rsidR="0001033B" w:rsidRDefault="0001033B" w:rsidP="0001033B">
      <w:pPr>
        <w:spacing w:line="276" w:lineRule="auto"/>
        <w:ind w:left="720" w:hanging="720"/>
      </w:pPr>
      <w:r w:rsidRPr="0001033B">
        <w:t xml:space="preserve">Department of Budget and Management. (2016). General Appropriations Act 2016. Republic Act 10717. </w:t>
      </w:r>
      <w:r w:rsidRPr="002D5CCF">
        <w:t>https://www.dbm.gov.ph/wp-content/uploads/GAA/GAA2016/VOLUME%20II-A/DA/C.pdf</w:t>
      </w:r>
    </w:p>
    <w:p w14:paraId="3455EAE6" w14:textId="0897C80E" w:rsidR="0001033B" w:rsidRDefault="0001033B" w:rsidP="0001033B">
      <w:pPr>
        <w:spacing w:line="276" w:lineRule="auto"/>
        <w:ind w:left="720" w:hanging="720"/>
      </w:pPr>
      <w:r w:rsidRPr="0001033B">
        <w:t xml:space="preserve">Department of Budget and Management. (2016). General Appropriations Act 2016. Republic Act 10717. </w:t>
      </w:r>
      <w:r w:rsidRPr="002D5CCF">
        <w:t>https://www.dbm.gov.ph/wp-content/uploads/GAA/GAA2016/VOLUME%20II-A/DENR/DENR.pdf</w:t>
      </w:r>
      <w:r w:rsidRPr="0001033B">
        <w:t xml:space="preserve"> </w:t>
      </w:r>
    </w:p>
    <w:p w14:paraId="4C398FB4" w14:textId="26317A69" w:rsidR="0001033B" w:rsidRPr="0001033B" w:rsidRDefault="0001033B" w:rsidP="0001033B">
      <w:pPr>
        <w:spacing w:line="276" w:lineRule="auto"/>
        <w:ind w:left="720" w:hanging="720"/>
      </w:pPr>
      <w:r w:rsidRPr="0001033B">
        <w:t>Department of Budget and Management. (2017). General Appropriations Act 2017. Republic Act 10924.</w:t>
      </w:r>
      <w:r>
        <w:t xml:space="preserve"> </w:t>
      </w:r>
      <w:r w:rsidRPr="002D5CCF">
        <w:t>https://www.dbm.gov.ph/wp-content/uploads/GAA/GAA2017/VolumeI/DA/C.pdf</w:t>
      </w:r>
      <w:r w:rsidRPr="0001033B">
        <w:t xml:space="preserve">  </w:t>
      </w:r>
    </w:p>
    <w:p w14:paraId="6AB7B633" w14:textId="77777777" w:rsidR="0001033B" w:rsidRPr="0001033B" w:rsidRDefault="0001033B" w:rsidP="0001033B">
      <w:pPr>
        <w:spacing w:line="276" w:lineRule="auto"/>
        <w:ind w:firstLine="0"/>
      </w:pPr>
      <w:r w:rsidRPr="0001033B">
        <w:t>Department of Budget and Management. (2017). General Appropriations Act 2017. Republic Act 10924.</w:t>
      </w:r>
    </w:p>
    <w:p w14:paraId="51E314D4" w14:textId="08C06D34" w:rsidR="0001033B" w:rsidRDefault="0001033B" w:rsidP="0001033B">
      <w:pPr>
        <w:spacing w:line="276" w:lineRule="auto"/>
      </w:pPr>
      <w:r w:rsidRPr="002D5CCF">
        <w:t>https://www.dbm.gov.ph/wp-content/uploads/GAA/GAA2017/VolumeI/DENR/DENR.pdf</w:t>
      </w:r>
      <w:r w:rsidRPr="0001033B">
        <w:t xml:space="preserve">   </w:t>
      </w:r>
    </w:p>
    <w:p w14:paraId="76AA4C08" w14:textId="3A7E38A9" w:rsidR="0001033B" w:rsidRDefault="0001033B" w:rsidP="0001033B">
      <w:pPr>
        <w:spacing w:line="276" w:lineRule="auto"/>
        <w:ind w:left="720" w:hanging="720"/>
      </w:pPr>
      <w:r w:rsidRPr="0001033B">
        <w:t>Department of Budget and Management. (2018). General Appropriations Act 2018. Republic Act 10964.</w:t>
      </w:r>
      <w:r>
        <w:t xml:space="preserve"> </w:t>
      </w:r>
      <w:r w:rsidRPr="002D5CCF">
        <w:t>https://www.dbm.gov.ph/wp-content/uploads/GAA/GAA2018/VolumeI/DA/C.pdf</w:t>
      </w:r>
      <w:r w:rsidRPr="0001033B">
        <w:t xml:space="preserve">  </w:t>
      </w:r>
    </w:p>
    <w:p w14:paraId="2560801E" w14:textId="6BE11566" w:rsidR="0001033B" w:rsidRPr="0001033B" w:rsidRDefault="0001033B" w:rsidP="0001033B">
      <w:pPr>
        <w:spacing w:line="276" w:lineRule="auto"/>
        <w:ind w:left="720" w:hanging="720"/>
      </w:pPr>
      <w:r w:rsidRPr="0001033B">
        <w:t>Department of Budget and Management. (2018). General Appropriations Act 2018. Republic Act 10964.</w:t>
      </w:r>
      <w:r>
        <w:t xml:space="preserve"> </w:t>
      </w:r>
      <w:r w:rsidRPr="002D5CCF">
        <w:t>https://www.dbm.gov.ph/wp-content/uploads/GAA/GAA2018/VolumeI/DENR/DENR.pdf</w:t>
      </w:r>
      <w:r w:rsidRPr="0001033B">
        <w:t>; this is the year where the allocation for coastal and marine ecosystems management was disaggregated from conservation and protection of wildlife where in years prior, they were lumped together</w:t>
      </w:r>
    </w:p>
    <w:p w14:paraId="16E80915" w14:textId="77777777" w:rsidR="0001033B" w:rsidRPr="0001033B" w:rsidRDefault="0001033B" w:rsidP="0001033B">
      <w:pPr>
        <w:spacing w:line="276" w:lineRule="auto"/>
        <w:ind w:firstLine="0"/>
      </w:pPr>
      <w:r w:rsidRPr="0001033B">
        <w:t>Department of Budget and Management. (2019). General Appropriations Act 2019. Republic Act 11260.</w:t>
      </w:r>
    </w:p>
    <w:p w14:paraId="5EB1241A" w14:textId="030C4E9D" w:rsidR="0001033B" w:rsidRPr="0001033B" w:rsidRDefault="0001033B" w:rsidP="0001033B">
      <w:pPr>
        <w:spacing w:line="276" w:lineRule="auto"/>
      </w:pPr>
      <w:r w:rsidRPr="002D5CCF">
        <w:t>https://www.dbm.gov.ph/wp-content/uploads/GAA/GAA2019/VolumeI/DA/C.pdf</w:t>
      </w:r>
      <w:r w:rsidRPr="0001033B">
        <w:t xml:space="preserve">  </w:t>
      </w:r>
    </w:p>
    <w:p w14:paraId="68B7AE9F" w14:textId="77777777" w:rsidR="0001033B" w:rsidRPr="0001033B" w:rsidRDefault="0001033B" w:rsidP="0001033B">
      <w:pPr>
        <w:spacing w:line="276" w:lineRule="auto"/>
        <w:ind w:firstLine="0"/>
      </w:pPr>
      <w:r w:rsidRPr="0001033B">
        <w:t>Department of Budget and Management. (2019). General Appropriations Act 2019. Republic Act 11260.</w:t>
      </w:r>
    </w:p>
    <w:p w14:paraId="69B2F6C8" w14:textId="06C844E0" w:rsidR="0001033B" w:rsidRPr="0001033B" w:rsidRDefault="0001033B" w:rsidP="0001033B">
      <w:pPr>
        <w:spacing w:line="276" w:lineRule="auto"/>
      </w:pPr>
      <w:r w:rsidRPr="002D5CCF">
        <w:t>https://www.dbm.gov.ph/wp-content/uploads/GAA/GAA2019/VolumeI/DENR/DENR.pdf</w:t>
      </w:r>
      <w:r w:rsidRPr="0001033B">
        <w:t xml:space="preserve"> </w:t>
      </w:r>
    </w:p>
    <w:p w14:paraId="7DA1D6CB" w14:textId="77777777" w:rsidR="0001033B" w:rsidRPr="0001033B" w:rsidRDefault="0001033B" w:rsidP="0001033B">
      <w:pPr>
        <w:spacing w:line="276" w:lineRule="auto"/>
        <w:ind w:firstLine="0"/>
      </w:pPr>
      <w:r w:rsidRPr="0001033B">
        <w:t>Department of Budget and Management. (2020). General Appropriations Act 2020. Republic Act 11465.</w:t>
      </w:r>
    </w:p>
    <w:p w14:paraId="44BA3184" w14:textId="447F221F" w:rsidR="0001033B" w:rsidRPr="0001033B" w:rsidRDefault="0001033B" w:rsidP="0001033B">
      <w:pPr>
        <w:spacing w:line="276" w:lineRule="auto"/>
      </w:pPr>
      <w:r w:rsidRPr="002D5CCF">
        <w:t>https://www.dbm.gov.ph/wp-content/uploads/GAA/GAA2020/VolumeI/DA/C.pdf</w:t>
      </w:r>
      <w:r w:rsidRPr="0001033B">
        <w:t xml:space="preserve">  </w:t>
      </w:r>
    </w:p>
    <w:p w14:paraId="4A0CAAA0" w14:textId="77777777" w:rsidR="0001033B" w:rsidRPr="0001033B" w:rsidRDefault="0001033B" w:rsidP="0001033B">
      <w:pPr>
        <w:spacing w:line="276" w:lineRule="auto"/>
        <w:ind w:firstLine="0"/>
      </w:pPr>
      <w:r w:rsidRPr="0001033B">
        <w:t>Department of Budget and Management. (2020). General Appropriations Act 2020. Republic Act 11465.</w:t>
      </w:r>
    </w:p>
    <w:p w14:paraId="62FA89D3" w14:textId="0C765D82" w:rsidR="0001033B" w:rsidRPr="0001033B" w:rsidRDefault="006D58F0" w:rsidP="0001033B">
      <w:pPr>
        <w:spacing w:line="276" w:lineRule="auto"/>
      </w:pPr>
      <w:r w:rsidRPr="002D5CCF">
        <w:lastRenderedPageBreak/>
        <w:t>https://www.dbm.gov.ph/wp-content/uploads/GAA/GAA2020/VolumeI/DENR/DENR.pdf</w:t>
      </w:r>
      <w:r w:rsidR="0001033B" w:rsidRPr="0001033B">
        <w:t xml:space="preserve">  </w:t>
      </w:r>
    </w:p>
    <w:p w14:paraId="7B05A484" w14:textId="77777777" w:rsidR="0001033B" w:rsidRPr="0001033B" w:rsidRDefault="0001033B" w:rsidP="006D58F0">
      <w:pPr>
        <w:spacing w:line="276" w:lineRule="auto"/>
        <w:ind w:firstLine="0"/>
      </w:pPr>
      <w:r w:rsidRPr="0001033B">
        <w:t>Department of Budget and Management. (2021). General Appropriations Act 2021. Republic Act 11518.</w:t>
      </w:r>
    </w:p>
    <w:p w14:paraId="22856094" w14:textId="4A673005" w:rsidR="0001033B" w:rsidRPr="0001033B" w:rsidRDefault="0001033B" w:rsidP="006D58F0">
      <w:pPr>
        <w:spacing w:line="276" w:lineRule="auto"/>
      </w:pPr>
      <w:r w:rsidRPr="0001033B">
        <w:t xml:space="preserve">  </w:t>
      </w:r>
      <w:r w:rsidRPr="002D5CCF">
        <w:t>https://www.dbm.gov.ph/wp-content/uploads/GAA/GAA2021/VolumeI/DA/C.pdf</w:t>
      </w:r>
      <w:r w:rsidRPr="0001033B">
        <w:t xml:space="preserve">  </w:t>
      </w:r>
    </w:p>
    <w:p w14:paraId="59AB9792" w14:textId="77777777" w:rsidR="0001033B" w:rsidRPr="0001033B" w:rsidRDefault="0001033B" w:rsidP="006D58F0">
      <w:pPr>
        <w:spacing w:line="276" w:lineRule="auto"/>
        <w:ind w:firstLine="0"/>
      </w:pPr>
      <w:r w:rsidRPr="0001033B">
        <w:t>Department of Budget and Management. (2021). General Appropriations Act 2021. Republic Act 11518.</w:t>
      </w:r>
    </w:p>
    <w:p w14:paraId="26E29847" w14:textId="5EBF9280" w:rsidR="0001033B" w:rsidRPr="0001033B" w:rsidRDefault="006D58F0" w:rsidP="006D58F0">
      <w:pPr>
        <w:spacing w:line="276" w:lineRule="auto"/>
      </w:pPr>
      <w:r w:rsidRPr="002D5CCF">
        <w:t>https://www.dbm.gov.ph/wp-content/uploads/GAA/GAA2021/VolumeI/DENR/DENR.pdf</w:t>
      </w:r>
      <w:r w:rsidR="0001033B" w:rsidRPr="0001033B">
        <w:t xml:space="preserve">  </w:t>
      </w:r>
    </w:p>
    <w:p w14:paraId="270F9409" w14:textId="77777777" w:rsidR="0001033B" w:rsidRPr="0001033B" w:rsidRDefault="0001033B" w:rsidP="006D58F0">
      <w:pPr>
        <w:spacing w:line="276" w:lineRule="auto"/>
        <w:ind w:firstLine="0"/>
      </w:pPr>
      <w:r w:rsidRPr="0001033B">
        <w:t>Department of Budget and Management. (2022). General Appropriations Act 2022. Republic Act 11639.</w:t>
      </w:r>
    </w:p>
    <w:p w14:paraId="1BAEF77C" w14:textId="7C2B36B7" w:rsidR="0001033B" w:rsidRPr="0001033B" w:rsidRDefault="0001033B" w:rsidP="006D58F0">
      <w:pPr>
        <w:spacing w:line="276" w:lineRule="auto"/>
      </w:pPr>
      <w:r w:rsidRPr="0001033B">
        <w:t xml:space="preserve"> </w:t>
      </w:r>
      <w:r w:rsidRPr="002D5CCF">
        <w:t>https://www.dbm.gov.ph/wp-content/uploads/GAA/GAA2022/VolumeI/DA/C.pdf</w:t>
      </w:r>
      <w:r w:rsidRPr="0001033B">
        <w:t xml:space="preserve">  </w:t>
      </w:r>
    </w:p>
    <w:p w14:paraId="4FE84F50" w14:textId="77777777" w:rsidR="0001033B" w:rsidRPr="0001033B" w:rsidRDefault="0001033B" w:rsidP="006D58F0">
      <w:pPr>
        <w:spacing w:line="276" w:lineRule="auto"/>
        <w:ind w:firstLine="0"/>
      </w:pPr>
      <w:r w:rsidRPr="0001033B">
        <w:t>Department of Budget and Management. (2022). General Appropriations Act 2022. Republic Act 11639.</w:t>
      </w:r>
    </w:p>
    <w:p w14:paraId="1E37802A" w14:textId="2981181D" w:rsidR="0001033B" w:rsidRPr="0001033B" w:rsidRDefault="006D58F0" w:rsidP="006D58F0">
      <w:pPr>
        <w:spacing w:line="276" w:lineRule="auto"/>
      </w:pPr>
      <w:r w:rsidRPr="002D5CCF">
        <w:t>https://www.dbm.gov.ph/wp-content/uploads/GAA/GAA2022/VolumeI/DENR/DENR.pdf</w:t>
      </w:r>
      <w:r w:rsidR="0001033B" w:rsidRPr="0001033B">
        <w:t xml:space="preserve">  </w:t>
      </w:r>
    </w:p>
    <w:p w14:paraId="76D69875" w14:textId="77777777" w:rsidR="0001033B" w:rsidRPr="0001033B" w:rsidRDefault="0001033B" w:rsidP="006D58F0">
      <w:pPr>
        <w:spacing w:line="276" w:lineRule="auto"/>
        <w:ind w:firstLine="0"/>
      </w:pPr>
      <w:r w:rsidRPr="0001033B">
        <w:t>Department of Budget and Management. (2023). General Appropriations Act 2023. Republic Act 11936.</w:t>
      </w:r>
    </w:p>
    <w:p w14:paraId="21A3AAC1" w14:textId="4847F42A" w:rsidR="0001033B" w:rsidRPr="0001033B" w:rsidRDefault="006D58F0" w:rsidP="006D58F0">
      <w:pPr>
        <w:spacing w:line="276" w:lineRule="auto"/>
      </w:pPr>
      <w:r w:rsidRPr="002D5CCF">
        <w:t>https://www.dbm.gov.ph/wp-content/uploads/GAA/GAA2023/VolumeI/DA/C.pdf</w:t>
      </w:r>
      <w:r w:rsidR="0001033B" w:rsidRPr="0001033B">
        <w:t xml:space="preserve">  </w:t>
      </w:r>
    </w:p>
    <w:p w14:paraId="3E2609C4" w14:textId="77777777" w:rsidR="0001033B" w:rsidRPr="0001033B" w:rsidRDefault="0001033B" w:rsidP="006D58F0">
      <w:pPr>
        <w:spacing w:line="276" w:lineRule="auto"/>
        <w:ind w:firstLine="0"/>
      </w:pPr>
      <w:r w:rsidRPr="0001033B">
        <w:t>Department of Budget and Management. (2023). General Appropriations Act 2023. Republic Act 11936.</w:t>
      </w:r>
    </w:p>
    <w:p w14:paraId="54516F81" w14:textId="31C7110B" w:rsidR="0001033B" w:rsidRPr="0001033B" w:rsidRDefault="006D58F0" w:rsidP="006D58F0">
      <w:pPr>
        <w:spacing w:line="276" w:lineRule="auto"/>
      </w:pPr>
      <w:r w:rsidRPr="002D5CCF">
        <w:t>https://www.dbm.gov.ph/wp-content/uploads/GAA/GAA2023/VolumeI/DENR/DENR.pdf</w:t>
      </w:r>
      <w:r w:rsidR="0001033B" w:rsidRPr="0001033B">
        <w:t xml:space="preserve">  </w:t>
      </w:r>
    </w:p>
    <w:p w14:paraId="482C8411" w14:textId="5027964E" w:rsidR="006D58F0" w:rsidRDefault="0001033B" w:rsidP="006D58F0">
      <w:pPr>
        <w:spacing w:line="276" w:lineRule="auto"/>
        <w:ind w:left="720" w:hanging="720"/>
      </w:pPr>
      <w:r w:rsidRPr="0001033B">
        <w:t>Department of Budget and Management. (2024). General Appropriations Act 2024. Republic Act 11975.</w:t>
      </w:r>
      <w:r w:rsidR="006D58F0">
        <w:t xml:space="preserve"> </w:t>
      </w:r>
      <w:r w:rsidR="006D58F0" w:rsidRPr="002D5CCF">
        <w:t>https://www.dbm.gov.ph/wp-content/uploads/GAA/GAA2024/VolumeI/DA/C.pdf</w:t>
      </w:r>
      <w:r w:rsidRPr="0001033B">
        <w:t xml:space="preserve">  </w:t>
      </w:r>
    </w:p>
    <w:p w14:paraId="5E590556" w14:textId="730955C6" w:rsidR="0001033B" w:rsidRPr="0001033B" w:rsidRDefault="0001033B" w:rsidP="006D58F0">
      <w:pPr>
        <w:spacing w:line="276" w:lineRule="auto"/>
        <w:ind w:left="720" w:hanging="720"/>
      </w:pPr>
      <w:r w:rsidRPr="0001033B">
        <w:t>Department of Budget and Management. (2024). General Appropriations Act 2024. Republic Act 11975.</w:t>
      </w:r>
    </w:p>
    <w:p w14:paraId="182EA95C" w14:textId="2A4F57E4" w:rsidR="0001033B" w:rsidRPr="0001033B" w:rsidRDefault="006D58F0" w:rsidP="006D58F0">
      <w:pPr>
        <w:spacing w:line="276" w:lineRule="auto"/>
      </w:pPr>
      <w:r w:rsidRPr="002D5CCF">
        <w:t>https://www.dbm.gov.ph/wp-content/uploads/GAA/GAA2024/VolumeI/DENR/DENR.pdf</w:t>
      </w:r>
      <w:r w:rsidR="0001033B" w:rsidRPr="0001033B">
        <w:t xml:space="preserve"> </w:t>
      </w:r>
    </w:p>
    <w:p w14:paraId="68112C90" w14:textId="77777777" w:rsidR="0001033B" w:rsidRPr="0001033B" w:rsidRDefault="0001033B" w:rsidP="006D58F0">
      <w:pPr>
        <w:spacing w:line="276" w:lineRule="auto"/>
        <w:ind w:firstLine="0"/>
      </w:pPr>
      <w:r w:rsidRPr="0001033B">
        <w:t>Department of Budget and Management. (2025). General Appropriations Act 2025. Republic Act 12116.</w:t>
      </w:r>
    </w:p>
    <w:p w14:paraId="75E773D0" w14:textId="29A9DCAF" w:rsidR="0001033B" w:rsidRPr="0001033B" w:rsidRDefault="006D58F0" w:rsidP="006D58F0">
      <w:pPr>
        <w:spacing w:line="276" w:lineRule="auto"/>
      </w:pPr>
      <w:r w:rsidRPr="002D5CCF">
        <w:t>https://www.dbm.gov.ph/wp-content/uploads/GAA/GAA2025/VolumeIA/DA/C.pdf</w:t>
      </w:r>
      <w:r w:rsidR="0001033B" w:rsidRPr="0001033B">
        <w:t xml:space="preserve">  </w:t>
      </w:r>
    </w:p>
    <w:p w14:paraId="497A0C77" w14:textId="77777777" w:rsidR="0001033B" w:rsidRPr="0001033B" w:rsidRDefault="0001033B" w:rsidP="006D58F0">
      <w:pPr>
        <w:spacing w:line="276" w:lineRule="auto"/>
        <w:ind w:firstLine="0"/>
      </w:pPr>
      <w:r w:rsidRPr="0001033B">
        <w:t>Department of Budget and Management. (2025). General Appropriations Act 2025. Republic Act 12116.</w:t>
      </w:r>
    </w:p>
    <w:p w14:paraId="6A3D1063" w14:textId="0446D593" w:rsidR="0001033B" w:rsidRPr="0001033B" w:rsidRDefault="006D58F0" w:rsidP="006D58F0">
      <w:pPr>
        <w:spacing w:line="276" w:lineRule="auto"/>
      </w:pPr>
      <w:r w:rsidRPr="002D5CCF">
        <w:t>https://www.dbm.gov.ph/wp-content/uploads/GAA/GAA2025/VolumeIA/DENR/DENR.pdf</w:t>
      </w:r>
      <w:r w:rsidR="0001033B" w:rsidRPr="0001033B">
        <w:t xml:space="preserve"> </w:t>
      </w:r>
    </w:p>
    <w:p w14:paraId="02E3E63F" w14:textId="3170C31B" w:rsidR="0001033B" w:rsidRPr="0001033B" w:rsidRDefault="0001033B" w:rsidP="006D58F0">
      <w:pPr>
        <w:spacing w:line="276" w:lineRule="auto"/>
        <w:ind w:left="720" w:hanging="720"/>
      </w:pPr>
      <w:r w:rsidRPr="0001033B">
        <w:t xml:space="preserve">Department of Environment and Natural Resources (2023). Philippines pushes blue economy agenda as it joins the Blue Carbon Action Partnership. Press Release. December 7, 2023. </w:t>
      </w:r>
      <w:r w:rsidRPr="008C7E88">
        <w:t>https://denr.gov.ph/news-events/philippines-pushes-blue-economy-agenda-as-it-joins-the-blue-carbon-action-partnership/</w:t>
      </w:r>
    </w:p>
    <w:p w14:paraId="3899121B" w14:textId="3B7352AA" w:rsidR="0001033B" w:rsidRPr="0001033B" w:rsidRDefault="0001033B" w:rsidP="006D58F0">
      <w:pPr>
        <w:spacing w:line="276" w:lineRule="auto"/>
        <w:ind w:left="720" w:hanging="720"/>
      </w:pPr>
      <w:r w:rsidRPr="0001033B">
        <w:t>Department of Environment and Natural Resources - Biodiversity Management Bureau (DENR-BMB). (2025).</w:t>
      </w:r>
      <w:r w:rsidR="006D58F0">
        <w:t xml:space="preserve"> </w:t>
      </w:r>
      <w:r w:rsidRPr="0001033B">
        <w:t xml:space="preserve">PHILIPPINE BIODIVERSITY STRATEGY AND ACTION PLAN PBSAP 2024-2040 -PREPARATION OF THE 7TH NATIONAL REPORT TO THE CONVENTION ON BIOLOGICAL DIVERSITY AND REVIEW OF ENIPAS ACT, </w:t>
      </w:r>
      <w:proofErr w:type="spellStart"/>
      <w:r w:rsidRPr="0001033B">
        <w:t>powerpoint</w:t>
      </w:r>
      <w:proofErr w:type="spellEnd"/>
      <w:r w:rsidRPr="0001033B">
        <w:t xml:space="preserve"> presentation made for the Southern Luzon Cluster (Regions IV-A, IV-B &amp; 5) 19-22 August 2025 | Hotel Centro Puerto Princesa, Palawan</w:t>
      </w:r>
    </w:p>
    <w:p w14:paraId="506CFFBF" w14:textId="77777777" w:rsidR="0001033B" w:rsidRPr="0001033B" w:rsidRDefault="0001033B" w:rsidP="006D58F0">
      <w:pPr>
        <w:spacing w:line="276" w:lineRule="auto"/>
        <w:ind w:left="720" w:hanging="720"/>
      </w:pPr>
      <w:r w:rsidRPr="0001033B">
        <w:t>Department of Environment and Natural Resources - Biodiversity Management Bureau (DENR-BMB). (2024). State of Coastal and Marine Ecosystems Report. DENR, Philippines.</w:t>
      </w:r>
    </w:p>
    <w:p w14:paraId="013E3FE0" w14:textId="75920022" w:rsidR="0001033B" w:rsidRPr="0001033B" w:rsidRDefault="0001033B" w:rsidP="006D58F0">
      <w:pPr>
        <w:spacing w:line="276" w:lineRule="auto"/>
        <w:ind w:left="720" w:hanging="720"/>
      </w:pPr>
      <w:r w:rsidRPr="0001033B">
        <w:t xml:space="preserve">Department of Environment and Natural Resources – Biodiversity Management Bureau (DENR-BMB). (2023). 2022 BMB Annual Report. </w:t>
      </w:r>
      <w:r w:rsidRPr="002D5CCF">
        <w:t>https://bmb.gov.ph/wp-content/uploads/2023/10/CY-2022-BMB-Annual-Report-1.pdf</w:t>
      </w:r>
      <w:r w:rsidRPr="0001033B">
        <w:t xml:space="preserve"> </w:t>
      </w:r>
    </w:p>
    <w:p w14:paraId="465D2B8D" w14:textId="34985D14" w:rsidR="0001033B" w:rsidRPr="0001033B" w:rsidRDefault="0001033B" w:rsidP="002D5CCF">
      <w:pPr>
        <w:spacing w:line="276" w:lineRule="auto"/>
        <w:ind w:left="720" w:hanging="720"/>
      </w:pPr>
      <w:r w:rsidRPr="0001033B">
        <w:t xml:space="preserve">Department of Environment and Natural Resources. (2002). Department Administrative Order No. 2002-02. Establishment and Management of Community-based Program in Protected Areas. January 3, 2002. </w:t>
      </w:r>
      <w:r w:rsidRPr="002D5CCF">
        <w:t>https://philchm.ph/wp-content/uploads/dao_2002-02.pdf</w:t>
      </w:r>
      <w:r w:rsidRPr="0001033B">
        <w:t xml:space="preserve"> </w:t>
      </w:r>
    </w:p>
    <w:p w14:paraId="1DC032CC" w14:textId="3C9A2754" w:rsidR="0001033B" w:rsidRPr="0001033B" w:rsidRDefault="0001033B" w:rsidP="002D5CCF">
      <w:pPr>
        <w:spacing w:line="276" w:lineRule="auto"/>
        <w:ind w:left="720" w:hanging="720"/>
      </w:pPr>
      <w:r w:rsidRPr="0001033B">
        <w:t xml:space="preserve">Department of Foreign Affairs (2025). Philippines Joins Call for Ocean Action at 10th Our Oceans Conference. Press Release.  9 May 2025. </w:t>
      </w:r>
      <w:r w:rsidRPr="002D5CCF">
        <w:t>https://dfa.gov.ph/dfa-news/news-from-our-foreign-service-postsupdate/36539-philippines-joins-call-for-ocean-action-at-10th-our-oceans-conference#:~:text=SEOUL%2009%20May%202025%20%E2%80%94%20The%20Philippine,conservation%20of%20endangered%20marine%20species%2C%20among%20others</w:t>
      </w:r>
      <w:r w:rsidRPr="0001033B">
        <w:t xml:space="preserve">. </w:t>
      </w:r>
    </w:p>
    <w:p w14:paraId="7917EF0D" w14:textId="39EF7105" w:rsidR="0001033B" w:rsidRPr="0001033B" w:rsidRDefault="0001033B" w:rsidP="006D58F0">
      <w:pPr>
        <w:spacing w:line="276" w:lineRule="auto"/>
        <w:ind w:left="720" w:hanging="720"/>
      </w:pPr>
      <w:r w:rsidRPr="0001033B">
        <w:t xml:space="preserve">Department of Interior and Local Government (n.d.), The Local Government Code of the Philippines. </w:t>
      </w:r>
      <w:r w:rsidRPr="002D5CCF">
        <w:t>https://dilg.gov.ph/PDF_File/reports_resources/dilg-reports-resources-2016120_fce005a61a.pdf</w:t>
      </w:r>
      <w:r w:rsidRPr="0001033B">
        <w:t xml:space="preserve"> </w:t>
      </w:r>
    </w:p>
    <w:p w14:paraId="6F566B13" w14:textId="77777777" w:rsidR="0001033B" w:rsidRPr="0001033B" w:rsidRDefault="0001033B" w:rsidP="006D58F0">
      <w:pPr>
        <w:spacing w:line="276" w:lineRule="auto"/>
        <w:ind w:left="720" w:hanging="720"/>
      </w:pPr>
      <w:proofErr w:type="spellStart"/>
      <w:r w:rsidRPr="0001033B">
        <w:t>Espenilla</w:t>
      </w:r>
      <w:proofErr w:type="spellEnd"/>
      <w:r w:rsidRPr="0001033B">
        <w:t xml:space="preserve"> (2020) Area-Based Marine Protection in the Philippines Asia-Pacific Journal of Ocean Law and Policy</w:t>
      </w:r>
    </w:p>
    <w:p w14:paraId="69E51788" w14:textId="256A0E37" w:rsidR="0001033B" w:rsidRPr="0001033B" w:rsidRDefault="0001033B" w:rsidP="006D58F0">
      <w:pPr>
        <w:spacing w:line="276" w:lineRule="auto"/>
        <w:ind w:left="720" w:hanging="720"/>
      </w:pPr>
      <w:r w:rsidRPr="0001033B">
        <w:t>Grantham, Pandan, Roxas, Hitchcock (2022) Overcoming Catch Data Collection Challenges and Traceability Implementation Barriers in a Sustainable, Small-Scale Fishery Sustainability</w:t>
      </w:r>
      <w:r w:rsidR="006D58F0">
        <w:t xml:space="preserve"> </w:t>
      </w:r>
      <w:r w:rsidRPr="0001033B">
        <w:t>2024 Viability of UNCLOS amid Emerging Global Maritime Challenges</w:t>
      </w:r>
    </w:p>
    <w:p w14:paraId="567C8CC5" w14:textId="06674AA3" w:rsidR="0001033B" w:rsidRPr="0001033B" w:rsidRDefault="0001033B" w:rsidP="006D58F0">
      <w:pPr>
        <w:spacing w:line="276" w:lineRule="auto"/>
        <w:ind w:left="720" w:hanging="720"/>
      </w:pPr>
      <w:r w:rsidRPr="0001033B">
        <w:lastRenderedPageBreak/>
        <w:t xml:space="preserve">House of Representatives (n.d.) House Bill No. 69. An Act Establishing a Framework for Blue Economy, Promoting Stewardship and Sustainable Development of Coastal and Marine Ecosystems and Resources. </w:t>
      </w:r>
      <w:r w:rsidRPr="002D5CCF">
        <w:t>https://docs.congress.hrep.online/legisdocs/basic_19/HB00069.pdf</w:t>
      </w:r>
      <w:r w:rsidRPr="0001033B">
        <w:t xml:space="preserve"> </w:t>
      </w:r>
    </w:p>
    <w:p w14:paraId="72C70896" w14:textId="7AABC01F" w:rsidR="0001033B" w:rsidRPr="0001033B" w:rsidRDefault="0001033B" w:rsidP="006D58F0">
      <w:pPr>
        <w:spacing w:line="276" w:lineRule="auto"/>
        <w:ind w:left="720" w:hanging="720"/>
      </w:pPr>
      <w:r w:rsidRPr="0001033B">
        <w:t>House of Representatives (n.d.) House Bill No. 1158. An Act Establishing a Framework for Blue Economy, Promoting</w:t>
      </w:r>
      <w:r w:rsidR="006D58F0">
        <w:t xml:space="preserve"> </w:t>
      </w:r>
      <w:r w:rsidRPr="0001033B">
        <w:t xml:space="preserve">Stewardship and Sustainable Development of Coastal and Marine Ecosystems and Resources, Reorganizing and Renaming the National Coast Watch System as the National Maritime Monitoring System, and Providing Funds Therefor </w:t>
      </w:r>
      <w:r w:rsidRPr="002D5CCF">
        <w:t>https://docs.congress.hrep.online/legisdocs/basic_20/HB01158.pdf</w:t>
      </w:r>
      <w:r w:rsidRPr="0001033B">
        <w:t xml:space="preserve"> </w:t>
      </w:r>
    </w:p>
    <w:p w14:paraId="42AD347A" w14:textId="49F46450" w:rsidR="0001033B" w:rsidRPr="0001033B" w:rsidRDefault="0001033B" w:rsidP="006D58F0">
      <w:pPr>
        <w:spacing w:line="276" w:lineRule="auto"/>
        <w:ind w:left="720" w:hanging="720"/>
      </w:pPr>
      <w:proofErr w:type="spellStart"/>
      <w:r w:rsidRPr="0001033B">
        <w:t>Galveia</w:t>
      </w:r>
      <w:proofErr w:type="spellEnd"/>
      <w:r w:rsidRPr="0001033B">
        <w:t xml:space="preserve">, M.C. and </w:t>
      </w:r>
      <w:proofErr w:type="spellStart"/>
      <w:r w:rsidRPr="0001033B">
        <w:t>Macusi</w:t>
      </w:r>
      <w:proofErr w:type="spellEnd"/>
      <w:r w:rsidRPr="0001033B">
        <w:t>, E.D. (2025). Management effectiveness of marine protected areas (MPAs) in the Southeastern</w:t>
      </w:r>
      <w:r w:rsidR="008C7E88">
        <w:t xml:space="preserve"> </w:t>
      </w:r>
      <w:r w:rsidRPr="0001033B">
        <w:t xml:space="preserve">Mindanao, Philippines. Marine Policy 174 (1). January 2025. </w:t>
      </w:r>
      <w:proofErr w:type="gramStart"/>
      <w:r w:rsidRPr="0001033B">
        <w:t>DOI:10.1016/j.marpol</w:t>
      </w:r>
      <w:proofErr w:type="gramEnd"/>
      <w:r w:rsidRPr="0001033B">
        <w:t xml:space="preserve">.2025.106596, </w:t>
      </w:r>
      <w:r w:rsidRPr="002D5CCF">
        <w:t>https://www.researchgate.net/publication/388110069_Management_effectiveness_of_marine_protected_areas_MPAs_in_the_Southeastern_Mindanao_Philippines</w:t>
      </w:r>
      <w:r w:rsidRPr="0001033B">
        <w:t xml:space="preserve"> </w:t>
      </w:r>
    </w:p>
    <w:p w14:paraId="19EFC325" w14:textId="0DB2FADB" w:rsidR="0001033B" w:rsidRPr="0001033B" w:rsidRDefault="0001033B" w:rsidP="006D58F0">
      <w:pPr>
        <w:spacing w:line="276" w:lineRule="auto"/>
        <w:ind w:left="720" w:hanging="720"/>
      </w:pPr>
      <w:proofErr w:type="spellStart"/>
      <w:r w:rsidRPr="0001033B">
        <w:t>Inosante</w:t>
      </w:r>
      <w:proofErr w:type="spellEnd"/>
      <w:r w:rsidRPr="0001033B">
        <w:t>, A.R.A. (2025). ADB pushes for Blue Economy Act. News Release. 14 April 2025</w:t>
      </w:r>
      <w:r w:rsidR="000D52D7">
        <w:t>.</w:t>
      </w:r>
      <w:r w:rsidRPr="0001033B">
        <w:t xml:space="preserve"> </w:t>
      </w:r>
      <w:r w:rsidRPr="002D5CCF">
        <w:t>https://www.bworldonline.com/agribusiness/2025/04/14/665591/adb-pushes-for-blue-economy-act</w:t>
      </w:r>
      <w:r w:rsidRPr="0001033B">
        <w:t xml:space="preserve"> </w:t>
      </w:r>
    </w:p>
    <w:p w14:paraId="3E1133F3" w14:textId="70A8AF27" w:rsidR="0001033B" w:rsidRPr="0001033B" w:rsidRDefault="0001033B" w:rsidP="006D58F0">
      <w:pPr>
        <w:spacing w:line="276" w:lineRule="auto"/>
        <w:ind w:left="720" w:hanging="720"/>
      </w:pPr>
      <w:r w:rsidRPr="0001033B">
        <w:t>Ishii n.d. From Coast to Coast: Celebrating 20 Years of Transboundary Management of Our Shared Oceans</w:t>
      </w:r>
      <w:r w:rsidR="006D58F0">
        <w:t xml:space="preserve"> </w:t>
      </w:r>
      <w:r w:rsidRPr="0001033B">
        <w:t xml:space="preserve">Local Government Unit Initiative on Implementing Marine Protected Areas in Barangay Kamanga and Colon, </w:t>
      </w:r>
      <w:proofErr w:type="spellStart"/>
      <w:r w:rsidRPr="0001033B">
        <w:t>Maasim</w:t>
      </w:r>
      <w:proofErr w:type="spellEnd"/>
      <w:r w:rsidRPr="0001033B">
        <w:t xml:space="preserve"> Sarangani Province Jama, Flores Journal of interdisciplinary perspectives 2024</w:t>
      </w:r>
    </w:p>
    <w:p w14:paraId="46231BFC" w14:textId="7B98E776" w:rsidR="0001033B" w:rsidRPr="0001033B" w:rsidRDefault="0001033B" w:rsidP="006D58F0">
      <w:pPr>
        <w:spacing w:line="276" w:lineRule="auto"/>
        <w:ind w:left="720" w:hanging="720"/>
      </w:pPr>
      <w:r w:rsidRPr="0001033B">
        <w:t xml:space="preserve">Lowry, K., White, A., Courtney, C., (2005). National and local agency roles in integrated coastal management in the Philippines. Ocean &amp; Coastal Management. Volume 48, Issues 3–6, 2005, Pages 314-335, </w:t>
      </w:r>
      <w:r w:rsidRPr="002D5CCF">
        <w:t>https://www.sciencedirect.com/science/article/abs/pii/S0964569105000621</w:t>
      </w:r>
    </w:p>
    <w:p w14:paraId="23068FB9" w14:textId="4871659A" w:rsidR="0001033B" w:rsidRPr="0001033B" w:rsidRDefault="0001033B" w:rsidP="006D58F0">
      <w:pPr>
        <w:spacing w:line="276" w:lineRule="auto"/>
        <w:ind w:left="720" w:hanging="720"/>
      </w:pPr>
      <w:r w:rsidRPr="0001033B">
        <w:t xml:space="preserve">Marine Conservation Philippines (n.d.). About Marine Conservation Philippines. </w:t>
      </w:r>
      <w:r w:rsidRPr="002D5CCF">
        <w:t>https://marineconservationphilippines.org/about-marine-conservation-philippines/</w:t>
      </w:r>
      <w:r w:rsidRPr="0001033B">
        <w:t xml:space="preserve"> </w:t>
      </w:r>
    </w:p>
    <w:p w14:paraId="64EF2F58" w14:textId="6E231EBF" w:rsidR="0001033B" w:rsidRPr="0001033B" w:rsidRDefault="0001033B" w:rsidP="006D58F0">
      <w:pPr>
        <w:spacing w:line="276" w:lineRule="auto"/>
        <w:ind w:left="720" w:hanging="720"/>
      </w:pPr>
      <w:r w:rsidRPr="0001033B">
        <w:t xml:space="preserve">Maypa, White, </w:t>
      </w:r>
      <w:proofErr w:type="spellStart"/>
      <w:r w:rsidRPr="0001033B">
        <w:t>Caňares</w:t>
      </w:r>
      <w:proofErr w:type="spellEnd"/>
      <w:r w:rsidRPr="0001033B">
        <w:t xml:space="preserve">, Martinez, Eisma-Osorio, Aliño, </w:t>
      </w:r>
      <w:proofErr w:type="spellStart"/>
      <w:r w:rsidRPr="0001033B">
        <w:t>Apistar</w:t>
      </w:r>
      <w:proofErr w:type="spellEnd"/>
      <w:r w:rsidRPr="0001033B">
        <w:t xml:space="preserve"> (2012) Marine Protected Area Management Effectiveness: Progress and Lessons in the Philippines Coastal Management </w:t>
      </w:r>
    </w:p>
    <w:p w14:paraId="1A24B38E" w14:textId="54D9A597" w:rsidR="0001033B" w:rsidRPr="0001033B" w:rsidRDefault="0001033B" w:rsidP="006D58F0">
      <w:pPr>
        <w:spacing w:line="276" w:lineRule="auto"/>
        <w:ind w:left="720" w:hanging="720"/>
      </w:pPr>
      <w:r w:rsidRPr="0001033B">
        <w:t>Milne, N. and Christie, P. (2005). Financing integrated coastal management: experiences in Mabini and</w:t>
      </w:r>
      <w:r w:rsidR="006D58F0">
        <w:t xml:space="preserve"> </w:t>
      </w:r>
      <w:proofErr w:type="spellStart"/>
      <w:r w:rsidRPr="0001033B">
        <w:t>Tingloy</w:t>
      </w:r>
      <w:proofErr w:type="spellEnd"/>
      <w:r w:rsidRPr="0001033B">
        <w:t xml:space="preserve">, Batangas, Philippines. Ocean and Coastal Management. Vol 48, </w:t>
      </w:r>
      <w:proofErr w:type="spellStart"/>
      <w:r w:rsidRPr="0001033B">
        <w:t>Isss</w:t>
      </w:r>
      <w:proofErr w:type="spellEnd"/>
      <w:r w:rsidRPr="0001033B">
        <w:t xml:space="preserve"> 3–6, </w:t>
      </w:r>
      <w:proofErr w:type="spellStart"/>
      <w:r w:rsidRPr="0001033B">
        <w:t>Pgs</w:t>
      </w:r>
      <w:proofErr w:type="spellEnd"/>
      <w:r w:rsidRPr="0001033B">
        <w:t xml:space="preserve"> 205‐484.</w:t>
      </w:r>
      <w:r w:rsidR="006D58F0">
        <w:t xml:space="preserve"> </w:t>
      </w:r>
      <w:r w:rsidR="006D58F0" w:rsidRPr="006D58F0">
        <w:t>https://www.forest-</w:t>
      </w:r>
      <w:r w:rsidRPr="0001033B">
        <w:t>trends.org/wpcontent/uploads/imported/Milne%2BChristie_2005_Financing%20Coastal%20Mgmt%20Philippines.pdf</w:t>
      </w:r>
    </w:p>
    <w:p w14:paraId="06581186" w14:textId="261B377A" w:rsidR="0001033B" w:rsidRPr="0001033B" w:rsidRDefault="0001033B" w:rsidP="006D58F0">
      <w:pPr>
        <w:spacing w:line="276" w:lineRule="auto"/>
        <w:ind w:left="720" w:hanging="720"/>
      </w:pPr>
      <w:r w:rsidRPr="0001033B">
        <w:t xml:space="preserve">Moreno, </w:t>
      </w:r>
      <w:proofErr w:type="spellStart"/>
      <w:r w:rsidRPr="0001033B">
        <w:t>Sulasula</w:t>
      </w:r>
      <w:proofErr w:type="spellEnd"/>
      <w:r w:rsidRPr="0001033B">
        <w:t xml:space="preserve"> (2024) Decentralized governance and local government management in the Zamboanga Peninsula</w:t>
      </w:r>
      <w:r w:rsidR="006D58F0">
        <w:t xml:space="preserve"> </w:t>
      </w:r>
      <w:r w:rsidRPr="0001033B">
        <w:t>Region, Philippines: An analytical review</w:t>
      </w:r>
    </w:p>
    <w:p w14:paraId="00FF20FC" w14:textId="3EAF05D3" w:rsidR="0001033B" w:rsidRPr="0001033B" w:rsidRDefault="0001033B" w:rsidP="006D58F0">
      <w:pPr>
        <w:spacing w:line="276" w:lineRule="auto"/>
        <w:ind w:left="720" w:hanging="720"/>
      </w:pPr>
      <w:r w:rsidRPr="0001033B">
        <w:t xml:space="preserve">National Economic Development Authority (2023).  CALABARZON Regional Development Plan 2023-2028.    </w:t>
      </w:r>
      <w:r w:rsidRPr="002D5CCF">
        <w:t>https://pdp.neda.gov.ph/wp-content/uploads/2023/07/CALABARZON-RDP-2023-2028.pdf</w:t>
      </w:r>
    </w:p>
    <w:p w14:paraId="7D870CA4" w14:textId="3C9BBE01" w:rsidR="0001033B" w:rsidRPr="0001033B" w:rsidRDefault="0001033B" w:rsidP="006D58F0">
      <w:pPr>
        <w:spacing w:line="276" w:lineRule="auto"/>
        <w:ind w:left="720" w:hanging="720"/>
      </w:pPr>
      <w:r w:rsidRPr="0001033B">
        <w:t xml:space="preserve">National Economic Development </w:t>
      </w:r>
      <w:r w:rsidR="008C7E88" w:rsidRPr="0001033B">
        <w:t>Authority (</w:t>
      </w:r>
      <w:r w:rsidRPr="0001033B">
        <w:t xml:space="preserve">2023). Philippine Development Plan 2023-2028. Chapter 15 Accelerate Climate Action and Strengthen Disaster </w:t>
      </w:r>
      <w:proofErr w:type="gramStart"/>
      <w:r w:rsidRPr="0001033B">
        <w:t>Resilience,@</w:t>
      </w:r>
      <w:proofErr w:type="gramEnd"/>
      <w:r w:rsidRPr="0001033B">
        <w:t xml:space="preserve"> page 365. </w:t>
      </w:r>
      <w:r w:rsidRPr="002D5CCF">
        <w:t>https://pdp.neda.gov.ph/wp-content/uploads/2023/01/PDP-2023-2028.pdf</w:t>
      </w:r>
    </w:p>
    <w:p w14:paraId="441EEF52" w14:textId="1F42FD09" w:rsidR="0001033B" w:rsidRPr="0001033B" w:rsidRDefault="0001033B" w:rsidP="006D58F0">
      <w:pPr>
        <w:spacing w:line="276" w:lineRule="auto"/>
        <w:ind w:firstLine="0"/>
      </w:pPr>
      <w:r w:rsidRPr="0001033B">
        <w:t xml:space="preserve">NGOs for Fisheries Reform (NFR) (n.d.). NFR Member-Organizations. </w:t>
      </w:r>
      <w:r w:rsidRPr="002D5CCF">
        <w:t>https://site.nfr.ph/our-members/</w:t>
      </w:r>
      <w:r w:rsidRPr="0001033B">
        <w:t xml:space="preserve"> </w:t>
      </w:r>
    </w:p>
    <w:p w14:paraId="099202A2" w14:textId="7A07327C" w:rsidR="0001033B" w:rsidRPr="0001033B" w:rsidRDefault="0001033B" w:rsidP="006D58F0">
      <w:pPr>
        <w:spacing w:line="276" w:lineRule="auto"/>
        <w:ind w:left="720" w:hanging="720"/>
      </w:pPr>
      <w:r w:rsidRPr="0001033B">
        <w:t xml:space="preserve">Office of the Sangguniang </w:t>
      </w:r>
      <w:proofErr w:type="spellStart"/>
      <w:r w:rsidRPr="0001033B">
        <w:t>Panlalawigan</w:t>
      </w:r>
      <w:proofErr w:type="spellEnd"/>
      <w:r w:rsidRPr="0001033B">
        <w:t xml:space="preserve"> of Palawan (2025). Provincial Ordinance No. 3646. Series of 2025. Declaration of a Fifty (50) Year Extendible Moratorium on the Issuance of Endorsements for All </w:t>
      </w:r>
      <w:proofErr w:type="gramStart"/>
      <w:r w:rsidRPr="0001033B">
        <w:t>Large and Small Scale</w:t>
      </w:r>
      <w:proofErr w:type="gramEnd"/>
      <w:r w:rsidRPr="0001033B">
        <w:t xml:space="preserve"> Mining Applications, Including Applications for Exploration Permits, Mineral Agreements and Financial or Technical Agreements, in the Province of Palawan.</w:t>
      </w:r>
      <w:r w:rsidR="006D58F0" w:rsidRPr="002D5CCF">
        <w:t>https://www.elacphilippines.org/wp-content/uploads/2025/04/Provincial-Ordinance-No.3646-series-of-2025-Mining-Moratorium.pdf</w:t>
      </w:r>
    </w:p>
    <w:p w14:paraId="43F252F8" w14:textId="138888A3" w:rsidR="0001033B" w:rsidRPr="0001033B" w:rsidRDefault="0001033B" w:rsidP="006D58F0">
      <w:pPr>
        <w:spacing w:line="276" w:lineRule="auto"/>
        <w:ind w:left="720" w:hanging="720"/>
      </w:pPr>
      <w:r w:rsidRPr="0001033B">
        <w:t xml:space="preserve">Official Gazette (n.d.) Sec. 2, Article XII, National Economy and Patrimony, 1987 Constitution, </w:t>
      </w:r>
      <w:r w:rsidRPr="002D5CCF">
        <w:t>https://www.officialgazette.gov.ph/constitutions/1987-constitution/</w:t>
      </w:r>
    </w:p>
    <w:p w14:paraId="56D678C7" w14:textId="17299284" w:rsidR="0001033B" w:rsidRPr="0001033B" w:rsidRDefault="0001033B" w:rsidP="006D58F0">
      <w:pPr>
        <w:spacing w:line="276" w:lineRule="auto"/>
        <w:ind w:left="720" w:hanging="720"/>
      </w:pPr>
      <w:r w:rsidRPr="0001033B">
        <w:t xml:space="preserve">Official Gazette (n.d.) Wildlife Resources Conservation and Protection Act. Republic Act 9147. </w:t>
      </w:r>
      <w:r w:rsidRPr="002D5CCF">
        <w:t>https://www.officialgazette.gov.ph/2001/07/30/republic-act-no-9417/</w:t>
      </w:r>
      <w:r w:rsidRPr="0001033B">
        <w:t xml:space="preserve"> </w:t>
      </w:r>
    </w:p>
    <w:p w14:paraId="604C8D86" w14:textId="1A487437" w:rsidR="0001033B" w:rsidRPr="0001033B" w:rsidRDefault="0001033B" w:rsidP="006D58F0">
      <w:pPr>
        <w:spacing w:line="276" w:lineRule="auto"/>
        <w:ind w:left="720" w:hanging="720"/>
      </w:pPr>
      <w:r w:rsidRPr="0001033B">
        <w:t xml:space="preserve">Official Gazette (n.d.) Executive Order 22, series of 2023. Creating the Water Resources Management Office in the Department of Environment and Natural Resources. </w:t>
      </w:r>
      <w:r w:rsidRPr="002D5CCF">
        <w:t>https://www.officialgazette.gov.ph/2023/04/27/executive-order-no-22-s-2023/</w:t>
      </w:r>
      <w:r w:rsidRPr="0001033B">
        <w:t xml:space="preserve"> </w:t>
      </w:r>
    </w:p>
    <w:p w14:paraId="67479F10" w14:textId="3E5C8942" w:rsidR="002D5CCF" w:rsidRDefault="0001033B" w:rsidP="002D5CCF">
      <w:pPr>
        <w:spacing w:line="276" w:lineRule="auto"/>
        <w:ind w:left="720" w:hanging="720"/>
      </w:pPr>
      <w:r w:rsidRPr="0001033B">
        <w:lastRenderedPageBreak/>
        <w:t xml:space="preserve">Official Gazette (n.d.) Executive Order 533, series of 2006.   Adopting Integrated Coastal Management as a National Strategy </w:t>
      </w:r>
      <w:proofErr w:type="gramStart"/>
      <w:r w:rsidRPr="0001033B">
        <w:t>To</w:t>
      </w:r>
      <w:proofErr w:type="gramEnd"/>
      <w:r w:rsidRPr="0001033B">
        <w:t xml:space="preserve"> Ensure the Sustainable Development of the Country’s Coastal and Marine Environment and Resources and Establishing Supporting Mechanisms For Its Implementation. </w:t>
      </w:r>
      <w:r w:rsidRPr="002D5CCF">
        <w:t>https://www.officialgazette.gov.ph/2006/06/06/executive-order-no-533-s-2006/</w:t>
      </w:r>
    </w:p>
    <w:p w14:paraId="20EC529A" w14:textId="3AC00707" w:rsidR="0001033B" w:rsidRPr="0001033B" w:rsidRDefault="0001033B" w:rsidP="002D5CCF">
      <w:pPr>
        <w:spacing w:line="276" w:lineRule="auto"/>
        <w:ind w:left="720" w:hanging="720"/>
      </w:pPr>
      <w:r w:rsidRPr="0001033B">
        <w:t xml:space="preserve">Official Gazette (n.d.) Executive Order 192, series of 1987.  Providing for the Reorganization of the Department of Environment, Energy and Natural Resources, renaming it as the Department of Environment and Natural Resources, and for other Purposes. </w:t>
      </w:r>
      <w:r w:rsidRPr="002D5CCF">
        <w:t>https://www.officialgazette.gov.ph/downloads/1987/06jun/19870610-EO-0192-CCA.pdf</w:t>
      </w:r>
      <w:r w:rsidRPr="0001033B">
        <w:t xml:space="preserve"> </w:t>
      </w:r>
    </w:p>
    <w:p w14:paraId="490CD344" w14:textId="01215FF4" w:rsidR="0001033B" w:rsidRPr="0001033B" w:rsidRDefault="0001033B" w:rsidP="006D58F0">
      <w:pPr>
        <w:spacing w:line="276" w:lineRule="auto"/>
        <w:ind w:left="720" w:hanging="720"/>
      </w:pPr>
      <w:r w:rsidRPr="0001033B">
        <w:t xml:space="preserve">Palawan Council for Sustainable Development (n.d.)  Municipality of Busuanga ECAN Resource Management Plan 2017-2022 </w:t>
      </w:r>
      <w:r w:rsidRPr="002D5CCF">
        <w:t>https://pcsd.gov.ph/wp-content/uploads/2020/12/07.-Busuanga-ECAN-Resource-Management-Plan.pdf</w:t>
      </w:r>
      <w:r w:rsidRPr="0001033B">
        <w:t xml:space="preserve"> </w:t>
      </w:r>
    </w:p>
    <w:p w14:paraId="1D05FC7B" w14:textId="325D2778" w:rsidR="0001033B" w:rsidRPr="0001033B" w:rsidRDefault="0001033B" w:rsidP="006D58F0">
      <w:pPr>
        <w:spacing w:line="276" w:lineRule="auto"/>
        <w:ind w:left="720" w:hanging="720"/>
      </w:pPr>
      <w:r w:rsidRPr="0001033B">
        <w:t xml:space="preserve">Palawan Council for Sustainable Development (n.d.) Strategic Environmental Plan (SEP) for Palawan Act. Republic Act 7611. </w:t>
      </w:r>
      <w:r w:rsidRPr="002D5CCF">
        <w:t>https://pcsd.gov.ph/republic-act-7611/</w:t>
      </w:r>
      <w:r w:rsidRPr="0001033B">
        <w:t xml:space="preserve"> </w:t>
      </w:r>
    </w:p>
    <w:p w14:paraId="09B3C9E3" w14:textId="77777777" w:rsidR="0001033B" w:rsidRPr="0001033B" w:rsidRDefault="0001033B" w:rsidP="0001033B">
      <w:pPr>
        <w:spacing w:line="276" w:lineRule="auto"/>
        <w:ind w:left="720" w:hanging="720"/>
      </w:pPr>
    </w:p>
    <w:p w14:paraId="3AD89B9C" w14:textId="1CEC3D68" w:rsidR="0001033B" w:rsidRPr="0001033B" w:rsidRDefault="0001033B" w:rsidP="006D58F0">
      <w:pPr>
        <w:spacing w:line="276" w:lineRule="auto"/>
        <w:ind w:left="720" w:hanging="720"/>
      </w:pPr>
      <w:r w:rsidRPr="0001033B">
        <w:t>Palawan Provincial Government. (2025). Invitation to Bid to Submit Comparative Proposals for the Coron Lagoons Waterfront Development Project.</w:t>
      </w:r>
      <w:r w:rsidR="006D58F0">
        <w:t xml:space="preserve"> </w:t>
      </w:r>
      <w:r w:rsidR="006D58F0" w:rsidRPr="002D5CCF">
        <w:t>https://palawan.gov.ph/2025/03/31/invitation-to-submit-comparative-proposals-for-the-coron-lagoons-waterfront-development-project/</w:t>
      </w:r>
      <w:r w:rsidRPr="0001033B">
        <w:t xml:space="preserve"> </w:t>
      </w:r>
    </w:p>
    <w:p w14:paraId="1D2F43B4" w14:textId="4BEE3AA9" w:rsidR="0001033B" w:rsidRPr="0001033B" w:rsidRDefault="0001033B" w:rsidP="006D58F0">
      <w:pPr>
        <w:spacing w:line="276" w:lineRule="auto"/>
        <w:ind w:left="720" w:hanging="720"/>
      </w:pPr>
      <w:r w:rsidRPr="0001033B">
        <w:t xml:space="preserve">PAMALAKAYA (n.d.). PAMALAKAYA-PILIPINAS. National Federation of Small Fisherfolk Organizations in the Philippines. Brochure. </w:t>
      </w:r>
      <w:r w:rsidRPr="002D5CCF">
        <w:t>https://peche-dev.org/IMG/pdf/pamalakaya_brochure.pdf</w:t>
      </w:r>
      <w:r w:rsidRPr="0001033B">
        <w:t xml:space="preserve"> </w:t>
      </w:r>
    </w:p>
    <w:p w14:paraId="3A940B51" w14:textId="6906A0E1" w:rsidR="0001033B" w:rsidRPr="0001033B" w:rsidRDefault="0001033B" w:rsidP="006D58F0">
      <w:pPr>
        <w:spacing w:line="276" w:lineRule="auto"/>
        <w:ind w:left="720" w:hanging="720"/>
      </w:pPr>
      <w:r w:rsidRPr="0001033B">
        <w:t>PEMSEA (2023). ICM Solutions for Sustainable Seas Leveraging Public-Private Sector Partnerships in ICM through Corporate</w:t>
      </w:r>
      <w:r w:rsidR="006D58F0">
        <w:t xml:space="preserve"> </w:t>
      </w:r>
      <w:r w:rsidRPr="0001033B">
        <w:t xml:space="preserve">Social Responsibility (CSR). </w:t>
      </w:r>
      <w:r w:rsidRPr="002D5CCF">
        <w:t>https://pemsea.org/sites/default/files/2023-11/Leveraging%20Public-Private%20Sector%20Partnerships%20in%20ICM%20through%20Corporate%20Social%20Responsibility%20%28CSR%29.pdf</w:t>
      </w:r>
    </w:p>
    <w:p w14:paraId="29733E99" w14:textId="2114F35A" w:rsidR="0001033B" w:rsidRPr="0001033B" w:rsidRDefault="0001033B" w:rsidP="006D58F0">
      <w:pPr>
        <w:spacing w:line="276" w:lineRule="auto"/>
        <w:ind w:left="720" w:hanging="720"/>
      </w:pPr>
      <w:r w:rsidRPr="0001033B">
        <w:t xml:space="preserve">PEMSEA (2023). History of Philippine Engagement in PEMSEA. </w:t>
      </w:r>
      <w:r w:rsidRPr="002D5CCF">
        <w:t>https://www.pemsea.org/sites/default/files/2023-11/History%20of%20the%20Philippines%E2%80%99%20Engagement%20in%20PEMSEA.pdf</w:t>
      </w:r>
      <w:r w:rsidRPr="0001033B">
        <w:t xml:space="preserve"> </w:t>
      </w:r>
    </w:p>
    <w:p w14:paraId="283B81AB" w14:textId="621DBEDE" w:rsidR="0001033B" w:rsidRPr="0001033B" w:rsidRDefault="0001033B" w:rsidP="006D58F0">
      <w:pPr>
        <w:spacing w:line="276" w:lineRule="auto"/>
        <w:ind w:left="720" w:hanging="720"/>
      </w:pPr>
      <w:r w:rsidRPr="0001033B">
        <w:t xml:space="preserve">PEMSEA (n.d.). Our Story. </w:t>
      </w:r>
      <w:r w:rsidRPr="002D5CCF">
        <w:t>https://www.pemsea.org/index.php/our-story</w:t>
      </w:r>
    </w:p>
    <w:p w14:paraId="6ED5528A" w14:textId="156B1AD5" w:rsidR="0001033B" w:rsidRPr="0001033B" w:rsidRDefault="0001033B" w:rsidP="006D58F0">
      <w:pPr>
        <w:spacing w:line="276" w:lineRule="auto"/>
        <w:ind w:left="720" w:hanging="720"/>
      </w:pPr>
      <w:r w:rsidRPr="0001033B">
        <w:t xml:space="preserve">Philippine Statistics Authority (2025). The Philippine Sustainable Development Goals 2024 Pace of Progress Results. </w:t>
      </w:r>
      <w:r w:rsidRPr="002D5CCF">
        <w:t>https://psa.gov.ph/system/files/phdsd/2024%20SDG%20POP%20Infographics.pdf</w:t>
      </w:r>
      <w:r w:rsidRPr="0001033B">
        <w:t xml:space="preserve"> </w:t>
      </w:r>
    </w:p>
    <w:p w14:paraId="280043AE" w14:textId="22BA3814" w:rsidR="0001033B" w:rsidRPr="0001033B" w:rsidRDefault="0001033B" w:rsidP="006D58F0">
      <w:pPr>
        <w:spacing w:line="276" w:lineRule="auto"/>
        <w:ind w:left="720" w:hanging="720"/>
      </w:pPr>
      <w:r w:rsidRPr="0001033B">
        <w:t xml:space="preserve">Philippine Statistics Authority (2025).  Philippine Statistics Authority (2025). 2024 Consolidated SDG Watch. </w:t>
      </w:r>
      <w:r w:rsidRPr="002D5CCF">
        <w:t>https://psa.gov.ph/system/files/phdsd/2024%20Consolidated%20Watch_24Mar2025_0.pdf</w:t>
      </w:r>
    </w:p>
    <w:p w14:paraId="52CDBDC5" w14:textId="5B46697D" w:rsidR="0001033B" w:rsidRPr="0001033B" w:rsidRDefault="0001033B" w:rsidP="006D58F0">
      <w:pPr>
        <w:spacing w:line="276" w:lineRule="auto"/>
        <w:ind w:left="720" w:hanging="720"/>
      </w:pPr>
      <w:r w:rsidRPr="0001033B">
        <w:t xml:space="preserve">Philippine Statistics Authority (2023). Provincial Product Accounts. 2023 Economic Performance. Province of Palawan. </w:t>
      </w:r>
      <w:r w:rsidRPr="002D5CCF">
        <w:t>https://rssomimaropa.psa.gov.ph/system/files/infographics/2024IG-023-2023%20Economic%20Performance%20of%20the%20Province%20of%20Palawan.pdf</w:t>
      </w:r>
    </w:p>
    <w:p w14:paraId="1C7AF6AD" w14:textId="59F8D0F4" w:rsidR="0001033B" w:rsidRPr="0001033B" w:rsidRDefault="0001033B" w:rsidP="006D58F0">
      <w:pPr>
        <w:spacing w:line="276" w:lineRule="auto"/>
        <w:ind w:left="720" w:hanging="720"/>
      </w:pPr>
      <w:r w:rsidRPr="0001033B">
        <w:t xml:space="preserve">Philippine Statistics Authority (2020). Population Density of Batangas. </w:t>
      </w:r>
      <w:r w:rsidRPr="002D5CCF">
        <w:t>https://rsso04a.psa.gov.ph/content/highlights-population-density-batangas-2020-census-population-and-housing-2020-cph#:~:text=As%20of%2001%20May%202020%2C%20the%20population,posted%20at%20934%20persons%20per%20square%20kilometer</w:t>
      </w:r>
    </w:p>
    <w:p w14:paraId="614150E0" w14:textId="34F43E63" w:rsidR="0001033B" w:rsidRPr="0001033B" w:rsidRDefault="0001033B" w:rsidP="006D58F0">
      <w:pPr>
        <w:spacing w:line="276" w:lineRule="auto"/>
        <w:ind w:left="720" w:hanging="720"/>
      </w:pPr>
      <w:r w:rsidRPr="0001033B">
        <w:t xml:space="preserve">Philippine Statistics Authority (2020). Population of Mabini. </w:t>
      </w:r>
      <w:r w:rsidRPr="002D5CCF">
        <w:t>https://rsso04a.psa.gov.ph/content/highlights-municipality-mabini-population-2020-census-population-and-housing-cph#:~:text=The%20population%20of%20the%20Municipality%20of%20Mabini,than%20the%20population%20of%2044%2C391%20in%202010</w:t>
      </w:r>
      <w:r w:rsidRPr="0001033B">
        <w:t>.</w:t>
      </w:r>
    </w:p>
    <w:p w14:paraId="26171D08" w14:textId="3917E1FD" w:rsidR="0001033B" w:rsidRPr="0001033B" w:rsidRDefault="0001033B" w:rsidP="006D58F0">
      <w:pPr>
        <w:spacing w:line="276" w:lineRule="auto"/>
        <w:ind w:left="720" w:hanging="720"/>
      </w:pPr>
      <w:r w:rsidRPr="0001033B">
        <w:t xml:space="preserve">Philippine Statistics Authority (2020). Population of Palawan, Puerto Princesa and Municipalities.  </w:t>
      </w:r>
      <w:r w:rsidRPr="002D5CCF">
        <w:t>https://rssomimaropa.psa.gov.ph/content/highlights-population-density-palawan-and-city-puerto-princesa-2020-census-population-and</w:t>
      </w:r>
      <w:r w:rsidRPr="0001033B">
        <w:t xml:space="preserve"> </w:t>
      </w:r>
      <w:r w:rsidRPr="002D5CCF">
        <w:t>https://psa.gov.ph/classification/psgc/citimuni/1705300000</w:t>
      </w:r>
    </w:p>
    <w:p w14:paraId="444EC38A" w14:textId="000D792F" w:rsidR="0001033B" w:rsidRPr="0001033B" w:rsidRDefault="0001033B" w:rsidP="006D58F0">
      <w:pPr>
        <w:spacing w:line="276" w:lineRule="auto"/>
        <w:ind w:left="720" w:hanging="720"/>
      </w:pPr>
      <w:proofErr w:type="spellStart"/>
      <w:r w:rsidRPr="0001033B">
        <w:t>Promentilla</w:t>
      </w:r>
      <w:proofErr w:type="spellEnd"/>
      <w:r w:rsidRPr="0001033B">
        <w:t xml:space="preserve">. M.A. and </w:t>
      </w:r>
      <w:proofErr w:type="gramStart"/>
      <w:r w:rsidRPr="0001033B">
        <w:t>Aguila  (</w:t>
      </w:r>
      <w:proofErr w:type="gramEnd"/>
      <w:r w:rsidRPr="0001033B">
        <w:t xml:space="preserve">2025). Philippines Land-based Pollution Report for TDA SCS-LME. 2025 Transboundary Diagnostic Analysis (TDA) for the Philippines, South China Sea-Strategic Action </w:t>
      </w:r>
      <w:proofErr w:type="spellStart"/>
      <w:r w:rsidRPr="0001033B">
        <w:t>Programme</w:t>
      </w:r>
      <w:proofErr w:type="spellEnd"/>
      <w:r w:rsidRPr="0001033B">
        <w:t>.</w:t>
      </w:r>
    </w:p>
    <w:p w14:paraId="3529E8C7" w14:textId="47D5EC50" w:rsidR="0001033B" w:rsidRPr="0001033B" w:rsidRDefault="0001033B" w:rsidP="006D58F0">
      <w:pPr>
        <w:spacing w:line="276" w:lineRule="auto"/>
        <w:ind w:left="720" w:hanging="720"/>
      </w:pPr>
      <w:r w:rsidRPr="0001033B">
        <w:lastRenderedPageBreak/>
        <w:t xml:space="preserve">Provincial Government of Batangas (2022). Provincial Development and Physical Framework Plan 2022-2030, </w:t>
      </w:r>
      <w:r w:rsidRPr="002D5CCF">
        <w:t>https://drive.google.com/file/d/1sL7hUebaRbjkWSPpHjP7vji65zkIjLeT/view</w:t>
      </w:r>
    </w:p>
    <w:p w14:paraId="128F0D74" w14:textId="562BDB43" w:rsidR="0001033B" w:rsidRPr="0001033B" w:rsidRDefault="0001033B" w:rsidP="006D58F0">
      <w:pPr>
        <w:spacing w:line="276" w:lineRule="auto"/>
        <w:ind w:left="720" w:hanging="720"/>
      </w:pPr>
      <w:r w:rsidRPr="0001033B">
        <w:t xml:space="preserve">Public-Private Partnership Center (2025). Summary of PPP Projects in the Pipeline.  Repurposing of the existing PNOC Port at Mabini Batangas to be an Offshore Wind Integration Port (OSWIP) for the OSW Development in Batangas or Mindoro Area. Project No. 28., </w:t>
      </w:r>
      <w:r w:rsidRPr="002D5CCF">
        <w:t>https://ppp.gov.ph/wp-content/uploads/2025/02/03-List-of-PPP-projects-in-the-pipeline-20250224.pdf</w:t>
      </w:r>
      <w:r w:rsidRPr="0001033B">
        <w:t xml:space="preserve"> </w:t>
      </w:r>
    </w:p>
    <w:p w14:paraId="4EA16EFE" w14:textId="77777777" w:rsidR="0001033B" w:rsidRPr="0001033B" w:rsidRDefault="0001033B" w:rsidP="006D58F0">
      <w:pPr>
        <w:spacing w:line="276" w:lineRule="auto"/>
        <w:ind w:firstLine="0"/>
      </w:pPr>
      <w:r w:rsidRPr="0001033B">
        <w:t xml:space="preserve">Quieta, J.P.S. (2025). Addressing Key Challenges in Coastal and Marine Resource Management: Establishing a Blue </w:t>
      </w:r>
    </w:p>
    <w:p w14:paraId="222BDDCB" w14:textId="77777777" w:rsidR="0001033B" w:rsidRPr="0001033B" w:rsidRDefault="0001033B" w:rsidP="0001033B">
      <w:pPr>
        <w:spacing w:line="276" w:lineRule="auto"/>
        <w:ind w:left="720" w:hanging="720"/>
      </w:pPr>
      <w:r w:rsidRPr="0001033B">
        <w:t xml:space="preserve">            Economy Framework. CPBRD Policy Brief 2025-01.  Congressional Policy and Budget Research Department, </w:t>
      </w:r>
    </w:p>
    <w:p w14:paraId="07E86E38" w14:textId="3769CD6C" w:rsidR="0001033B" w:rsidRPr="0001033B" w:rsidRDefault="0001033B" w:rsidP="0001033B">
      <w:pPr>
        <w:spacing w:line="276" w:lineRule="auto"/>
        <w:ind w:left="720" w:hanging="720"/>
      </w:pPr>
      <w:r w:rsidRPr="0001033B">
        <w:t xml:space="preserve">            House of Representatives. </w:t>
      </w:r>
      <w:r w:rsidRPr="002D5CCF">
        <w:t>https://cpbrd.congress.gov.ph/wp-content/uploads/2025/02/PB2025-01-Coastal-               and-                        Marine-Resource-Management.pdf</w:t>
      </w:r>
      <w:r w:rsidRPr="0001033B">
        <w:t xml:space="preserve"> </w:t>
      </w:r>
    </w:p>
    <w:p w14:paraId="75C88DE1" w14:textId="77777777" w:rsidR="0001033B" w:rsidRPr="0001033B" w:rsidRDefault="0001033B" w:rsidP="006D58F0">
      <w:pPr>
        <w:spacing w:line="276" w:lineRule="auto"/>
        <w:ind w:firstLine="0"/>
      </w:pPr>
      <w:r w:rsidRPr="0001033B">
        <w:t xml:space="preserve">Quieta, J.P.S. (2016). A Framework for an ICM Legislation. CPBRD Policy Brief 2016-03. Congressional Policy and </w:t>
      </w:r>
    </w:p>
    <w:p w14:paraId="29F7DD03" w14:textId="398B0204" w:rsidR="0001033B" w:rsidRPr="0001033B" w:rsidRDefault="0001033B" w:rsidP="0001033B">
      <w:pPr>
        <w:spacing w:line="276" w:lineRule="auto"/>
        <w:ind w:left="720" w:hanging="720"/>
      </w:pPr>
      <w:r w:rsidRPr="0001033B">
        <w:t xml:space="preserve">             Budget Research Department, House of Representatives. </w:t>
      </w:r>
      <w:r w:rsidRPr="002D5CCF">
        <w:t>https://cpbrd.congress.gov.ph/wp-content/uploads/2023/09/PB2016-03_ICM.pdf</w:t>
      </w:r>
      <w:r w:rsidRPr="0001033B">
        <w:t xml:space="preserve"> </w:t>
      </w:r>
    </w:p>
    <w:p w14:paraId="24E681B3" w14:textId="77777777" w:rsidR="0001033B" w:rsidRPr="0001033B" w:rsidRDefault="0001033B" w:rsidP="0001033B">
      <w:pPr>
        <w:spacing w:line="276" w:lineRule="auto"/>
        <w:ind w:left="720" w:hanging="720"/>
      </w:pPr>
    </w:p>
    <w:p w14:paraId="3A0A800D" w14:textId="7CC852C2" w:rsidR="0001033B" w:rsidRPr="0001033B" w:rsidRDefault="0001033B" w:rsidP="0001033B">
      <w:pPr>
        <w:spacing w:line="276" w:lineRule="auto"/>
        <w:ind w:left="720" w:hanging="720"/>
      </w:pPr>
      <w:proofErr w:type="spellStart"/>
      <w:r w:rsidRPr="0001033B">
        <w:t>Rettet</w:t>
      </w:r>
      <w:proofErr w:type="spellEnd"/>
      <w:r w:rsidRPr="0001033B">
        <w:t xml:space="preserve"> den </w:t>
      </w:r>
      <w:proofErr w:type="spellStart"/>
      <w:proofErr w:type="gramStart"/>
      <w:r w:rsidRPr="0001033B">
        <w:t>Regenwald,e.V</w:t>
      </w:r>
      <w:proofErr w:type="spellEnd"/>
      <w:r w:rsidRPr="0001033B">
        <w:t>.</w:t>
      </w:r>
      <w:proofErr w:type="gramEnd"/>
      <w:r w:rsidRPr="0001033B">
        <w:t xml:space="preserve"> (2025). In solidarity with the Palawan indigenous peoples and local communities, in the Philippines, facing massive environmental degradation, in spite of the newly signed 50 years mining moratorium. Petition-letter for co-signing before August 15, 2025.  </w:t>
      </w:r>
      <w:r w:rsidRPr="002D5CCF">
        <w:t>https://www.regenwald.org/csl/76692b78-f383-4df4-814f-be085bec09eb/en</w:t>
      </w:r>
      <w:r w:rsidRPr="0001033B">
        <w:t xml:space="preserve"> </w:t>
      </w:r>
    </w:p>
    <w:p w14:paraId="0E045261" w14:textId="3DD511BE" w:rsidR="0001033B" w:rsidRPr="0001033B" w:rsidRDefault="0001033B" w:rsidP="006D58F0">
      <w:pPr>
        <w:spacing w:line="276" w:lineRule="auto"/>
        <w:ind w:left="720" w:hanging="720"/>
      </w:pPr>
      <w:r w:rsidRPr="0001033B">
        <w:t xml:space="preserve">Reyes Jr, E. M. (2018): Island-mainland nexus: the case of the coastal livelihood of </w:t>
      </w:r>
      <w:proofErr w:type="spellStart"/>
      <w:r w:rsidRPr="0001033B">
        <w:t>Tingloy</w:t>
      </w:r>
      <w:proofErr w:type="spellEnd"/>
      <w:r w:rsidRPr="0001033B">
        <w:t xml:space="preserve"> Island and the southwestern portion of Batangas, Philippines. European Journal of Environmental Sciences, Vol. 8, No. 1, pp. 61–68</w:t>
      </w:r>
      <w:r w:rsidR="006D58F0">
        <w:t xml:space="preserve"> </w:t>
      </w:r>
      <w:r w:rsidR="006D58F0" w:rsidRPr="002D5CCF">
        <w:t>https://doi.org/10.14712/23361964.2018.9</w:t>
      </w:r>
      <w:r w:rsidRPr="0001033B">
        <w:t xml:space="preserve">. </w:t>
      </w:r>
      <w:r w:rsidRPr="002D5CCF">
        <w:t>https://karolinum.cz/data/clanek/5868/EJES_8_1_0061.pdf</w:t>
      </w:r>
    </w:p>
    <w:p w14:paraId="5CEF42A7" w14:textId="17F72AA2" w:rsidR="0001033B" w:rsidRPr="0001033B" w:rsidRDefault="0001033B" w:rsidP="006D58F0">
      <w:pPr>
        <w:spacing w:line="276" w:lineRule="auto"/>
        <w:ind w:left="720" w:hanging="720"/>
      </w:pPr>
      <w:r w:rsidRPr="0001033B">
        <w:t xml:space="preserve">Senate Economic Planning Office (2023). Senate Economic Planning Office (2023). The State of Water </w:t>
      </w:r>
      <w:proofErr w:type="gramStart"/>
      <w:r w:rsidRPr="0001033B">
        <w:t>At</w:t>
      </w:r>
      <w:proofErr w:type="gramEnd"/>
      <w:r w:rsidRPr="0001033B">
        <w:t xml:space="preserve"> a Glance. August 2023 AAG 23-03, </w:t>
      </w:r>
      <w:r w:rsidRPr="002D5CCF">
        <w:t>https://web.senate.gov.ph/publications/SEPO/State%20of%20Water%20AAG_August%202023.pdf</w:t>
      </w:r>
    </w:p>
    <w:p w14:paraId="749FD1E4" w14:textId="2C29B2D8" w:rsidR="0001033B" w:rsidRPr="0001033B" w:rsidRDefault="0001033B" w:rsidP="006D58F0">
      <w:pPr>
        <w:spacing w:line="276" w:lineRule="auto"/>
        <w:ind w:left="720" w:hanging="720"/>
      </w:pPr>
      <w:r w:rsidRPr="0001033B">
        <w:t xml:space="preserve">Senate of the Philippines (n.d.) Committee Report No. 138. In substitution of S. Nos. 1993 and 2377, taking into consideration S. R. No. 81 AN ACT ESTABLISHING A FRAMEWORK FOR BLUE ECONOMY, PROMOTING STEWARDSHIP AND SUSTAINABLE DEVELOPMENT OF COASTAL AND MARINE ECOSYSTEMS AND RESOURCES. </w:t>
      </w:r>
      <w:r w:rsidRPr="002D5CCF">
        <w:t>https://web.senate.gov.ph/lisdata/4277438930!.pdf</w:t>
      </w:r>
    </w:p>
    <w:p w14:paraId="771616C6" w14:textId="73BAA558" w:rsidR="0001033B" w:rsidRPr="0001033B" w:rsidRDefault="0001033B" w:rsidP="006D58F0">
      <w:pPr>
        <w:spacing w:line="276" w:lineRule="auto"/>
        <w:ind w:left="720" w:hanging="720"/>
      </w:pPr>
      <w:r w:rsidRPr="0001033B">
        <w:t xml:space="preserve">Senate of the Philippines (n.d.) Senate Bill No. 168. AN ACT ESTABLISHING A FRAMEWORK FOR BLUE ECONOMY, PROMOTING STEWARDSHIP AND SUSTAINABLE DEVELOPMENT OF COASTAL AND MARINE ECOSYSTEMS AND RESOURCES. </w:t>
      </w:r>
      <w:r w:rsidRPr="002D5CCF">
        <w:t>https://web.senate.gov.ph/lisdata/4664542650!.pdf</w:t>
      </w:r>
      <w:r w:rsidRPr="0001033B">
        <w:t xml:space="preserve"> </w:t>
      </w:r>
    </w:p>
    <w:p w14:paraId="06EF14B1" w14:textId="7CF50AE6" w:rsidR="0001033B" w:rsidRPr="0001033B" w:rsidRDefault="0001033B" w:rsidP="006D58F0">
      <w:pPr>
        <w:spacing w:line="276" w:lineRule="auto"/>
        <w:ind w:left="720" w:hanging="720"/>
      </w:pPr>
      <w:r w:rsidRPr="0001033B">
        <w:t xml:space="preserve">Senate of the Philippines (n.d.) Philippine Coast Guard Law of 2009. Republic Act 9993. </w:t>
      </w:r>
      <w:r w:rsidRPr="002D5CCF">
        <w:t>https://legacy.senate.gov.ph/republic_acts/ra%209993.pdf</w:t>
      </w:r>
      <w:r w:rsidRPr="0001033B">
        <w:t xml:space="preserve"> </w:t>
      </w:r>
    </w:p>
    <w:p w14:paraId="2B6C20AE" w14:textId="03C48330" w:rsidR="0001033B" w:rsidRPr="0001033B" w:rsidRDefault="0001033B" w:rsidP="006D58F0">
      <w:pPr>
        <w:spacing w:line="276" w:lineRule="auto"/>
        <w:ind w:left="720" w:hanging="720"/>
      </w:pPr>
      <w:r w:rsidRPr="0001033B">
        <w:t xml:space="preserve">Senate of the Philippines (n.d.) Extended Producer Responsibility Act of 2022. Republic Act 11898. </w:t>
      </w:r>
      <w:r w:rsidRPr="002D5CCF">
        <w:t>https://legacy.senate.gov.ph/republic_acts/ra%2011898.pdf</w:t>
      </w:r>
      <w:r w:rsidRPr="0001033B">
        <w:t xml:space="preserve"> </w:t>
      </w:r>
    </w:p>
    <w:p w14:paraId="09A6EBC1" w14:textId="78B24801" w:rsidR="0001033B" w:rsidRPr="0001033B" w:rsidRDefault="0001033B" w:rsidP="006D58F0">
      <w:pPr>
        <w:spacing w:line="276" w:lineRule="auto"/>
        <w:ind w:left="720" w:hanging="720"/>
      </w:pPr>
      <w:r w:rsidRPr="0001033B">
        <w:t xml:space="preserve">Senate of the Philippines (n.d.). Expanded National Integrated Protected Areas System Act of 2018 (E-NIPAS Act). Republic Act 11038. </w:t>
      </w:r>
      <w:r w:rsidRPr="002D5CCF">
        <w:t>https://legacy.senate.gov.ph/republic_acts/ra%2011038.pdf</w:t>
      </w:r>
      <w:r w:rsidRPr="0001033B">
        <w:t xml:space="preserve">  </w:t>
      </w:r>
    </w:p>
    <w:p w14:paraId="4AEB3E38" w14:textId="09DC5C10" w:rsidR="0001033B" w:rsidRPr="0001033B" w:rsidRDefault="0001033B" w:rsidP="006D58F0">
      <w:pPr>
        <w:spacing w:line="276" w:lineRule="auto"/>
        <w:ind w:left="720" w:hanging="720"/>
      </w:pPr>
      <w:r w:rsidRPr="0001033B">
        <w:t xml:space="preserve">Siry, H. Y. (2007). Making Decentralized Coastal Zone Management Work for The Southeast Asian Region: Comparative Perspectives. Division For Ocean Affairs and the Law of the Sea Office of Legal Affairs, The United Nations New York, 2007. </w:t>
      </w:r>
      <w:r w:rsidRPr="002D5CCF">
        <w:t>https://www.un.org/depts/los/nippon/unnff_programme_home/fellows_pages/fellows_papers/siry_0607_indonesia.pdf</w:t>
      </w:r>
    </w:p>
    <w:p w14:paraId="58D563A0" w14:textId="65C486A3" w:rsidR="0001033B" w:rsidRPr="0001033B" w:rsidRDefault="0001033B" w:rsidP="006D58F0">
      <w:pPr>
        <w:spacing w:line="276" w:lineRule="auto"/>
        <w:ind w:left="720" w:hanging="720"/>
      </w:pPr>
      <w:r w:rsidRPr="0001033B">
        <w:t>Sunderlin, Gorospe 1997 Fishers' Organizations and Modes of Co-Management: The Case of San Miguel Bay, Philippines Human Organization</w:t>
      </w:r>
    </w:p>
    <w:p w14:paraId="19630AEB" w14:textId="01F6A7DE" w:rsidR="0001033B" w:rsidRPr="0001033B" w:rsidRDefault="0001033B" w:rsidP="006D58F0">
      <w:pPr>
        <w:spacing w:line="276" w:lineRule="auto"/>
        <w:ind w:left="720" w:hanging="720"/>
      </w:pPr>
      <w:r w:rsidRPr="0001033B">
        <w:t xml:space="preserve">Supreme Court of the Philippines (2004). Rural Bank of Makati, Inc., et.al. vs. Municipality of Makati, et.al., G.R. No. 150763, July 02, 2004. 2nd Division. </w:t>
      </w:r>
      <w:r w:rsidRPr="002D5CCF">
        <w:t>https://elibrary.judiciary.gov.ph/thebookshelf/showdocs/1/45590#:~:text=The%20appellate%20court%20al</w:t>
      </w:r>
      <w:r w:rsidRPr="002D5CCF">
        <w:lastRenderedPageBreak/>
        <w:t>so%20brushed%20aside%20petitioners%27,the%20regulation%20of%20useful%20occupations%20and%20enterprises</w:t>
      </w:r>
      <w:r w:rsidRPr="0001033B">
        <w:t xml:space="preserve">. </w:t>
      </w:r>
    </w:p>
    <w:p w14:paraId="1BA9F02E" w14:textId="0340D7AC" w:rsidR="0001033B" w:rsidRPr="0001033B" w:rsidRDefault="0001033B" w:rsidP="006D58F0">
      <w:pPr>
        <w:spacing w:line="276" w:lineRule="auto"/>
        <w:ind w:left="720" w:hanging="720"/>
      </w:pPr>
      <w:r w:rsidRPr="0001033B">
        <w:t xml:space="preserve">Supreme Court E-Library (n.d.) Clean Water Act. Republic Act 9275. </w:t>
      </w:r>
      <w:r w:rsidRPr="002D5CCF">
        <w:t>https://elibrary.judiciary.gov.ph/thebookshelf/showdocs/2/11437</w:t>
      </w:r>
      <w:r w:rsidRPr="0001033B">
        <w:t xml:space="preserve"> </w:t>
      </w:r>
    </w:p>
    <w:p w14:paraId="18B0277E" w14:textId="7D413C3E" w:rsidR="0001033B" w:rsidRPr="0001033B" w:rsidRDefault="0001033B" w:rsidP="006D58F0">
      <w:pPr>
        <w:spacing w:line="276" w:lineRule="auto"/>
        <w:ind w:left="720" w:hanging="720"/>
      </w:pPr>
      <w:r w:rsidRPr="0001033B">
        <w:t xml:space="preserve">Supreme Court E-Library (n.d.) National Integrated Protected Areas (NIPAS) Act. Republic Act 7586. </w:t>
      </w:r>
      <w:r w:rsidRPr="002D5CCF">
        <w:t>https://elibrary.judiciary.gov.ph/thebookshelf/showdocs/2/3508</w:t>
      </w:r>
      <w:r w:rsidRPr="0001033B">
        <w:t xml:space="preserve"> </w:t>
      </w:r>
    </w:p>
    <w:p w14:paraId="2DAA6A37" w14:textId="07A2B665" w:rsidR="0001033B" w:rsidRPr="0001033B" w:rsidRDefault="0001033B" w:rsidP="006D58F0">
      <w:pPr>
        <w:spacing w:line="276" w:lineRule="auto"/>
        <w:ind w:left="720" w:hanging="720"/>
      </w:pPr>
      <w:r w:rsidRPr="0001033B">
        <w:t xml:space="preserve">UN Department of Economic and Social Affairs (n.d.) The Coral Triangle Initiative on Coral Reefs, Fisheries and Food Security (CTI-CFF). Description.  </w:t>
      </w:r>
      <w:r w:rsidRPr="002D5CCF">
        <w:t>https://sdgs.un.org/partnerships/coral-triangle-initiative-coral-reefs-fisheries-and-food-security-cti-cff#:~:text=In%202009%2C%20the%20six%20Coral%20Triangle%20governments,through%20a%20people%20centered%20approach%20to%20conservation</w:t>
      </w:r>
    </w:p>
    <w:p w14:paraId="54AADAD2" w14:textId="77777777" w:rsidR="0001033B" w:rsidRPr="0001033B" w:rsidRDefault="0001033B" w:rsidP="006D58F0">
      <w:pPr>
        <w:spacing w:line="276" w:lineRule="auto"/>
        <w:ind w:left="720" w:hanging="720"/>
      </w:pPr>
      <w:r w:rsidRPr="0001033B">
        <w:t>UN-Water, SDG 6.5.1 IWRM Implementation Database (Geneva: United Nations, 2023). Data from the 2021-2022 reporting cycle remains the most recent comprehensive dataset.</w:t>
      </w:r>
    </w:p>
    <w:p w14:paraId="60D6E3CC" w14:textId="2902E3B2" w:rsidR="006D58F0" w:rsidRDefault="0001033B" w:rsidP="006D58F0">
      <w:pPr>
        <w:spacing w:line="276" w:lineRule="auto"/>
        <w:ind w:left="720" w:hanging="720"/>
      </w:pPr>
      <w:r w:rsidRPr="0001033B">
        <w:t xml:space="preserve">White, A.T. (2024), President’s Note, 2024 Annual Report, CCEF, </w:t>
      </w:r>
      <w:r w:rsidRPr="002D5CCF">
        <w:t>https://www.coast.ph/wp-content/uploads/2025/03/CCEF_Annual_Report_2024_web_250404.pdf</w:t>
      </w:r>
    </w:p>
    <w:p w14:paraId="71E1616E" w14:textId="04FD22BE" w:rsidR="0001033B" w:rsidRPr="0001033B" w:rsidRDefault="0001033B" w:rsidP="006D58F0">
      <w:pPr>
        <w:spacing w:line="276" w:lineRule="auto"/>
        <w:ind w:left="720" w:hanging="720"/>
      </w:pPr>
      <w:r w:rsidRPr="0001033B">
        <w:t xml:space="preserve">White, A.T., </w:t>
      </w:r>
      <w:proofErr w:type="spellStart"/>
      <w:r w:rsidRPr="0001033B">
        <w:t>Deguit</w:t>
      </w:r>
      <w:proofErr w:type="spellEnd"/>
      <w:r w:rsidRPr="0001033B">
        <w:t xml:space="preserve">, E., </w:t>
      </w:r>
      <w:proofErr w:type="spellStart"/>
      <w:r w:rsidRPr="0001033B">
        <w:t>Jatulan</w:t>
      </w:r>
      <w:proofErr w:type="spellEnd"/>
      <w:r w:rsidRPr="0001033B">
        <w:t>, W., Eisma-Osorio L., (2006). Integrated Coastal Management in Philippine Local Governance: Evolution and Benefits.  Coastal Management 34(3):287-302</w:t>
      </w:r>
      <w:r w:rsidR="002D5CCF">
        <w:t xml:space="preserve"> </w:t>
      </w:r>
      <w:r w:rsidRPr="0001033B">
        <w:t>September 2006. DOI:10.1080/08920750600686687, https://www.researchgate.net/publication/254966478_Integrated_Coastal_Management_in_Philippine_Local_Governance_Evolution_and_Benefits</w:t>
      </w:r>
    </w:p>
    <w:p w14:paraId="3CA26C38" w14:textId="38B01BE2" w:rsidR="0001033B" w:rsidRPr="0001033B" w:rsidRDefault="0001033B" w:rsidP="006D58F0">
      <w:pPr>
        <w:spacing w:line="276" w:lineRule="auto"/>
        <w:ind w:left="720" w:hanging="720"/>
      </w:pPr>
      <w:r w:rsidRPr="0001033B">
        <w:t xml:space="preserve">World Meteorological Organization (2025). Ocean heat and sea-level rise threaten communities in the South-West Pacific. Press Release, 5 June 2025. </w:t>
      </w:r>
      <w:r w:rsidR="006D58F0" w:rsidRPr="002D5CCF">
        <w:t>https://wmo.int/news/media-centre/ocean-heat-and-sea-level-rise-threaten-communities-south-west-pacific#:~:text=The%20report%20contains%20some%20good,of%20WMO's%20top%20strategic%20priorities</w:t>
      </w:r>
      <w:r w:rsidR="006D58F0">
        <w:t xml:space="preserve"> </w:t>
      </w:r>
      <w:r w:rsidRPr="0001033B">
        <w:t xml:space="preserve">United Nations Environment </w:t>
      </w:r>
      <w:proofErr w:type="spellStart"/>
      <w:r w:rsidRPr="0001033B">
        <w:t>Programme</w:t>
      </w:r>
      <w:proofErr w:type="spellEnd"/>
      <w:r w:rsidRPr="0001033B">
        <w:t xml:space="preserve"> UNEP (2000). National Report of the Philippines on the Formulation of a Transboundary Diagnostic Analysis and Preliminary Framework of a Strategic Action </w:t>
      </w:r>
      <w:proofErr w:type="spellStart"/>
      <w:r w:rsidRPr="0001033B">
        <w:t>Programme</w:t>
      </w:r>
      <w:proofErr w:type="spellEnd"/>
      <w:r w:rsidRPr="0001033B">
        <w:t xml:space="preserve"> for the South China Sea. United Nations Environment </w:t>
      </w:r>
      <w:proofErr w:type="spellStart"/>
      <w:r w:rsidRPr="0001033B">
        <w:t>Programme</w:t>
      </w:r>
      <w:proofErr w:type="spellEnd"/>
      <w:r w:rsidRPr="0001033B">
        <w:t xml:space="preserve"> East Asian Seas Regional Coordinating Unit. Bangkok, Thailand</w:t>
      </w:r>
    </w:p>
    <w:p w14:paraId="328A0B84" w14:textId="676C905D" w:rsidR="0001033B" w:rsidRPr="0001033B" w:rsidRDefault="0001033B" w:rsidP="006D58F0">
      <w:pPr>
        <w:spacing w:line="276" w:lineRule="auto"/>
        <w:ind w:firstLine="0"/>
      </w:pPr>
      <w:r w:rsidRPr="0001033B">
        <w:t xml:space="preserve">World Bank (n.d.) World Bank Group. Data 360. </w:t>
      </w:r>
      <w:r w:rsidRPr="002D5CCF">
        <w:t>https://data360.worldbank.org/en/search?search=p</w:t>
      </w:r>
      <w:r w:rsidRPr="0001033B">
        <w:t xml:space="preserve"> </w:t>
      </w:r>
    </w:p>
    <w:p w14:paraId="74E8860A" w14:textId="77777777" w:rsidR="0001033B" w:rsidRPr="0024208B" w:rsidRDefault="0001033B" w:rsidP="0001033B"/>
    <w:p w14:paraId="0BA880F9" w14:textId="5A688D73" w:rsidR="0001033B" w:rsidRPr="0001033B" w:rsidRDefault="000D52D7" w:rsidP="0001033B">
      <w:pPr>
        <w:ind w:firstLine="0"/>
        <w:rPr>
          <w:rFonts w:eastAsia="Aptos"/>
          <w:lang w:val="en-ID" w:eastAsia="en-PH"/>
        </w:rPr>
      </w:pPr>
      <w:r>
        <w:rPr>
          <w:rFonts w:eastAsia="Aptos"/>
          <w:lang w:val="en-ID" w:eastAsia="en-PH"/>
        </w:rPr>
        <w:br w:type="page"/>
      </w:r>
    </w:p>
    <w:p w14:paraId="2FD49851" w14:textId="4A8B1EA4" w:rsidR="0096202D" w:rsidRDefault="0096202D" w:rsidP="004B15EB">
      <w:pPr>
        <w:pStyle w:val="Heading1"/>
        <w:tabs>
          <w:tab w:val="left" w:pos="2130"/>
        </w:tabs>
        <w:rPr>
          <w:rFonts w:eastAsia="Aptos"/>
          <w:lang w:val="en-ID" w:eastAsia="en-PH"/>
        </w:rPr>
      </w:pPr>
      <w:bookmarkStart w:id="16" w:name="_Toc215447066"/>
      <w:r>
        <w:rPr>
          <w:rFonts w:eastAsia="Aptos"/>
          <w:lang w:val="en-ID" w:eastAsia="en-PH"/>
        </w:rPr>
        <w:lastRenderedPageBreak/>
        <w:t xml:space="preserve">Chapter </w:t>
      </w:r>
      <w:r w:rsidR="000D52D7">
        <w:rPr>
          <w:rFonts w:eastAsia="Aptos"/>
          <w:lang w:val="en-ID" w:eastAsia="en-PH"/>
        </w:rPr>
        <w:t xml:space="preserve">6 </w:t>
      </w:r>
      <w:r>
        <w:rPr>
          <w:rFonts w:eastAsia="Aptos"/>
          <w:lang w:val="en-ID" w:eastAsia="en-PH"/>
        </w:rPr>
        <w:t>Annexes</w:t>
      </w:r>
      <w:bookmarkEnd w:id="16"/>
      <w:r w:rsidR="004B15EB">
        <w:rPr>
          <w:rFonts w:eastAsia="Aptos"/>
          <w:lang w:val="en-ID" w:eastAsia="en-PH"/>
        </w:rPr>
        <w:tab/>
      </w:r>
    </w:p>
    <w:p w14:paraId="6A27C0F6" w14:textId="6A92D54F" w:rsidR="004B15EB" w:rsidRPr="004B15EB" w:rsidRDefault="00F467CC" w:rsidP="00F44D3E">
      <w:pPr>
        <w:pStyle w:val="Heading2"/>
        <w:jc w:val="center"/>
        <w:rPr>
          <w:rFonts w:eastAsia="Aptos"/>
          <w:lang w:val="en-ID" w:eastAsia="en-PH"/>
        </w:rPr>
      </w:pPr>
      <w:bookmarkStart w:id="17" w:name="_Toc215447067"/>
      <w:r>
        <w:rPr>
          <w:rFonts w:eastAsia="Aptos"/>
          <w:lang w:val="en-ID" w:eastAsia="en-PH"/>
        </w:rPr>
        <w:t>Annex 6</w:t>
      </w:r>
      <w:r w:rsidR="004B15EB">
        <w:rPr>
          <w:rFonts w:eastAsia="Aptos"/>
          <w:lang w:val="en-ID" w:eastAsia="en-PH"/>
        </w:rPr>
        <w:t>.A Results from Interview Questions</w:t>
      </w:r>
      <w:bookmarkEnd w:id="17"/>
    </w:p>
    <w:p w14:paraId="508BAF2F" w14:textId="781FECF4" w:rsidR="004B15EB" w:rsidRPr="004B15EB" w:rsidRDefault="004B15EB" w:rsidP="004B15EB">
      <w:pPr>
        <w:spacing w:after="240" w:line="276" w:lineRule="auto"/>
        <w:ind w:firstLine="0"/>
        <w:jc w:val="center"/>
        <w:rPr>
          <w:rFonts w:eastAsia="Aptos"/>
          <w:b/>
          <w:bCs/>
          <w:lang w:val="en-ID" w:eastAsia="en-PH"/>
        </w:rPr>
      </w:pPr>
      <w:r w:rsidRPr="004B15EB">
        <w:rPr>
          <w:rFonts w:eastAsia="Aptos"/>
          <w:b/>
          <w:bCs/>
          <w:lang w:val="en-ID" w:eastAsia="en-PH"/>
        </w:rPr>
        <w:t>Results from Interview Questions Provided to Inception Workshop Participants</w:t>
      </w:r>
    </w:p>
    <w:p w14:paraId="19CC6E06" w14:textId="77777777" w:rsidR="004B15EB" w:rsidRPr="004B15EB" w:rsidRDefault="004B15EB">
      <w:pPr>
        <w:pStyle w:val="ListParagraph"/>
        <w:numPr>
          <w:ilvl w:val="0"/>
          <w:numId w:val="69"/>
        </w:numPr>
        <w:spacing w:after="240" w:line="276" w:lineRule="auto"/>
        <w:contextualSpacing w:val="0"/>
        <w:rPr>
          <w:rFonts w:eastAsia="Aptos"/>
          <w:lang w:val="en-ID" w:eastAsia="en-PH"/>
        </w:rPr>
      </w:pPr>
      <w:r w:rsidRPr="004B15EB">
        <w:rPr>
          <w:rFonts w:eastAsia="Aptos"/>
          <w:lang w:val="en-ID" w:eastAsia="en-PH"/>
        </w:rPr>
        <w:t>Are you aware of current policies and measures that deal with coastal and marine resources management in your area of work/operation/activity and if you are aware, can you enumerate what are they?</w:t>
      </w:r>
    </w:p>
    <w:p w14:paraId="52A5AEC0" w14:textId="77777777" w:rsidR="004B15EB" w:rsidRPr="004B15EB" w:rsidRDefault="004B15EB">
      <w:pPr>
        <w:pStyle w:val="ListParagraph"/>
        <w:numPr>
          <w:ilvl w:val="0"/>
          <w:numId w:val="69"/>
        </w:numPr>
        <w:spacing w:after="240" w:line="276" w:lineRule="auto"/>
        <w:contextualSpacing w:val="0"/>
        <w:rPr>
          <w:rFonts w:eastAsia="Aptos"/>
          <w:lang w:val="en-ID" w:eastAsia="en-PH"/>
        </w:rPr>
      </w:pPr>
      <w:r w:rsidRPr="004B15EB">
        <w:rPr>
          <w:rFonts w:eastAsia="Aptos"/>
          <w:lang w:val="en-ID" w:eastAsia="en-PH"/>
        </w:rPr>
        <w:t>Are these policies and measures complete which means they address all the issues and concerns that need to be addressed and if your answer is no, please explain.</w:t>
      </w:r>
    </w:p>
    <w:p w14:paraId="4C29ED04" w14:textId="40446D4D" w:rsidR="004B15EB" w:rsidRDefault="004B15EB">
      <w:pPr>
        <w:pStyle w:val="ListParagraph"/>
        <w:numPr>
          <w:ilvl w:val="0"/>
          <w:numId w:val="69"/>
        </w:numPr>
        <w:spacing w:after="240" w:line="276" w:lineRule="auto"/>
        <w:contextualSpacing w:val="0"/>
        <w:rPr>
          <w:rFonts w:eastAsia="Aptos"/>
          <w:lang w:val="en-ID" w:eastAsia="en-PH"/>
        </w:rPr>
      </w:pPr>
      <w:r w:rsidRPr="004B15EB">
        <w:rPr>
          <w:rFonts w:eastAsia="Aptos"/>
          <w:lang w:val="en-ID" w:eastAsia="en-PH"/>
        </w:rPr>
        <w:t>What are the gaps in the implementation of these policies and how do you think they need to be addressed?</w:t>
      </w:r>
    </w:p>
    <w:p w14:paraId="6CD97F2E" w14:textId="325FD79D" w:rsidR="004B15EB" w:rsidRPr="004B15EB" w:rsidRDefault="004B15EB" w:rsidP="004B15EB">
      <w:pPr>
        <w:spacing w:line="276" w:lineRule="auto"/>
        <w:ind w:firstLine="0"/>
        <w:rPr>
          <w:rFonts w:eastAsia="Aptos"/>
          <w:sz w:val="18"/>
          <w:szCs w:val="18"/>
          <w:lang w:val="en-ID" w:eastAsia="en-PH"/>
        </w:rPr>
      </w:pPr>
      <w:r w:rsidRPr="004B15EB">
        <w:rPr>
          <w:rFonts w:eastAsia="Aptos"/>
          <w:b/>
          <w:bCs/>
          <w:sz w:val="18"/>
          <w:szCs w:val="18"/>
          <w:lang w:val="en-ID" w:eastAsia="en-PH"/>
        </w:rPr>
        <w:t>Table 6.A.1</w:t>
      </w:r>
      <w:r>
        <w:rPr>
          <w:rFonts w:eastAsia="Aptos"/>
          <w:b/>
          <w:bCs/>
          <w:sz w:val="18"/>
          <w:szCs w:val="18"/>
          <w:lang w:val="en-ID" w:eastAsia="en-PH"/>
        </w:rPr>
        <w:t>.</w:t>
      </w:r>
      <w:r w:rsidRPr="004B15EB">
        <w:rPr>
          <w:rFonts w:eastAsia="Aptos"/>
          <w:sz w:val="18"/>
          <w:szCs w:val="18"/>
          <w:lang w:val="en-ID" w:eastAsia="en-PH"/>
        </w:rPr>
        <w:t xml:space="preserve"> Assessment results</w:t>
      </w:r>
      <w:r>
        <w:rPr>
          <w:rFonts w:eastAsia="Aptos"/>
          <w:sz w:val="18"/>
          <w:szCs w:val="18"/>
          <w:lang w:val="en-ID" w:eastAsia="en-PH"/>
        </w:rPr>
        <w:t xml:space="preserve"> (Current Policies and Measures and Completeness/Adequacy)</w:t>
      </w:r>
    </w:p>
    <w:tbl>
      <w:tblPr>
        <w:tblStyle w:val="PlainTable2"/>
        <w:tblW w:w="5000" w:type="pct"/>
        <w:jc w:val="center"/>
        <w:tblLook w:val="04A0" w:firstRow="1" w:lastRow="0" w:firstColumn="1" w:lastColumn="0" w:noHBand="0" w:noVBand="1"/>
      </w:tblPr>
      <w:tblGrid>
        <w:gridCol w:w="835"/>
        <w:gridCol w:w="2441"/>
        <w:gridCol w:w="2443"/>
        <w:gridCol w:w="3641"/>
      </w:tblGrid>
      <w:tr w:rsidR="004B15EB" w14:paraId="18FF1607" w14:textId="77777777" w:rsidTr="003C3A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12" w:space="0" w:color="auto"/>
              <w:bottom w:val="single" w:sz="12" w:space="0" w:color="auto"/>
            </w:tcBorders>
          </w:tcPr>
          <w:p w14:paraId="2C3E8EDE" w14:textId="77777777" w:rsidR="004B15EB" w:rsidRPr="00AA68B6" w:rsidRDefault="004B15EB" w:rsidP="00F44D3E">
            <w:pPr>
              <w:spacing w:line="276" w:lineRule="auto"/>
              <w:ind w:firstLine="0"/>
              <w:rPr>
                <w:rFonts w:eastAsia="Aptos"/>
                <w:sz w:val="18"/>
                <w:szCs w:val="18"/>
                <w:lang w:val="en-ID" w:eastAsia="en-PH"/>
              </w:rPr>
            </w:pPr>
          </w:p>
        </w:tc>
        <w:tc>
          <w:tcPr>
            <w:tcW w:w="1304" w:type="pct"/>
            <w:tcBorders>
              <w:top w:val="single" w:sz="12" w:space="0" w:color="auto"/>
              <w:bottom w:val="single" w:sz="12" w:space="0" w:color="auto"/>
            </w:tcBorders>
            <w:vAlign w:val="center"/>
          </w:tcPr>
          <w:p w14:paraId="2228AC13" w14:textId="4A3C1806" w:rsidR="004B15EB" w:rsidRPr="00AA68B6" w:rsidRDefault="004B15EB" w:rsidP="00AA68B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Respondent Type</w:t>
            </w:r>
          </w:p>
        </w:tc>
        <w:tc>
          <w:tcPr>
            <w:tcW w:w="1305" w:type="pct"/>
            <w:tcBorders>
              <w:top w:val="single" w:sz="12" w:space="0" w:color="auto"/>
              <w:bottom w:val="single" w:sz="12" w:space="0" w:color="auto"/>
            </w:tcBorders>
            <w:vAlign w:val="center"/>
          </w:tcPr>
          <w:p w14:paraId="7CDD530F" w14:textId="6697E8B6" w:rsidR="004B15EB" w:rsidRPr="00AA68B6" w:rsidRDefault="004B15EB" w:rsidP="00AA68B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Current Policies and Measures</w:t>
            </w:r>
          </w:p>
        </w:tc>
        <w:tc>
          <w:tcPr>
            <w:tcW w:w="1946" w:type="pct"/>
            <w:tcBorders>
              <w:top w:val="single" w:sz="12" w:space="0" w:color="auto"/>
              <w:bottom w:val="single" w:sz="12" w:space="0" w:color="auto"/>
            </w:tcBorders>
            <w:vAlign w:val="center"/>
          </w:tcPr>
          <w:p w14:paraId="51C856B1" w14:textId="7E299027" w:rsidR="004B15EB" w:rsidRPr="00AA68B6" w:rsidRDefault="004B15EB" w:rsidP="00AA68B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C</w:t>
            </w:r>
            <w:r w:rsidR="00AA68B6" w:rsidRPr="00AA68B6">
              <w:rPr>
                <w:rFonts w:eastAsia="Aptos"/>
                <w:sz w:val="18"/>
                <w:szCs w:val="18"/>
                <w:lang w:val="en-ID" w:eastAsia="en-PH"/>
              </w:rPr>
              <w:t>ompleteness/</w:t>
            </w:r>
            <w:r w:rsidR="00AA68B6">
              <w:rPr>
                <w:rFonts w:eastAsia="Aptos"/>
                <w:sz w:val="18"/>
                <w:szCs w:val="18"/>
                <w:lang w:val="en-ID" w:eastAsia="en-PH"/>
              </w:rPr>
              <w:t>A</w:t>
            </w:r>
            <w:r w:rsidR="00AA68B6" w:rsidRPr="00AA68B6">
              <w:rPr>
                <w:rFonts w:eastAsia="Aptos"/>
                <w:sz w:val="18"/>
                <w:szCs w:val="18"/>
                <w:lang w:val="en-ID" w:eastAsia="en-PH"/>
              </w:rPr>
              <w:t>dequacy (6/11)</w:t>
            </w:r>
          </w:p>
        </w:tc>
      </w:tr>
      <w:tr w:rsidR="004B15EB" w14:paraId="0D186379"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12" w:space="0" w:color="auto"/>
              <w:bottom w:val="single" w:sz="4" w:space="0" w:color="auto"/>
            </w:tcBorders>
            <w:vAlign w:val="center"/>
          </w:tcPr>
          <w:p w14:paraId="2CCFE48E" w14:textId="7953E14E"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w:t>
            </w:r>
          </w:p>
        </w:tc>
        <w:tc>
          <w:tcPr>
            <w:tcW w:w="1304" w:type="pct"/>
            <w:tcBorders>
              <w:top w:val="single" w:sz="12" w:space="0" w:color="auto"/>
              <w:bottom w:val="single" w:sz="4" w:space="0" w:color="auto"/>
            </w:tcBorders>
            <w:vAlign w:val="center"/>
          </w:tcPr>
          <w:p w14:paraId="6C09BC2F" w14:textId="43E026A5"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NGO1</w:t>
            </w:r>
          </w:p>
        </w:tc>
        <w:tc>
          <w:tcPr>
            <w:tcW w:w="1305" w:type="pct"/>
            <w:tcBorders>
              <w:top w:val="single" w:sz="12" w:space="0" w:color="auto"/>
              <w:bottom w:val="single" w:sz="4" w:space="0" w:color="auto"/>
            </w:tcBorders>
            <w:vAlign w:val="center"/>
          </w:tcPr>
          <w:p w14:paraId="0CFCCD75" w14:textId="6C161AD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Not aware</w:t>
            </w:r>
          </w:p>
        </w:tc>
        <w:tc>
          <w:tcPr>
            <w:tcW w:w="1946" w:type="pct"/>
            <w:tcBorders>
              <w:top w:val="single" w:sz="12" w:space="0" w:color="auto"/>
              <w:bottom w:val="single" w:sz="4" w:space="0" w:color="auto"/>
            </w:tcBorders>
            <w:vAlign w:val="center"/>
          </w:tcPr>
          <w:p w14:paraId="5962BCD9" w14:textId="4F48356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w:t>
            </w:r>
          </w:p>
        </w:tc>
      </w:tr>
      <w:tr w:rsidR="004B15EB" w14:paraId="1F6C74FA"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4C7BB957" w14:textId="21F76FDD"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2</w:t>
            </w:r>
          </w:p>
        </w:tc>
        <w:tc>
          <w:tcPr>
            <w:tcW w:w="1304" w:type="pct"/>
            <w:tcBorders>
              <w:top w:val="single" w:sz="4" w:space="0" w:color="auto"/>
              <w:bottom w:val="single" w:sz="4" w:space="0" w:color="auto"/>
            </w:tcBorders>
            <w:vAlign w:val="center"/>
          </w:tcPr>
          <w:p w14:paraId="2F02781D" w14:textId="0F4A2C32"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NGO2</w:t>
            </w:r>
          </w:p>
        </w:tc>
        <w:tc>
          <w:tcPr>
            <w:tcW w:w="1305" w:type="pct"/>
            <w:tcBorders>
              <w:top w:val="single" w:sz="4" w:space="0" w:color="auto"/>
              <w:bottom w:val="single" w:sz="4" w:space="0" w:color="auto"/>
            </w:tcBorders>
            <w:vAlign w:val="center"/>
          </w:tcPr>
          <w:p w14:paraId="7BACC1CA" w14:textId="739F946A"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ICM code, solid waste management ordinance, anti-plastic ordinance, sewage management ordinance</w:t>
            </w:r>
          </w:p>
        </w:tc>
        <w:tc>
          <w:tcPr>
            <w:tcW w:w="1946" w:type="pct"/>
            <w:tcBorders>
              <w:top w:val="single" w:sz="4" w:space="0" w:color="auto"/>
              <w:bottom w:val="single" w:sz="4" w:space="0" w:color="auto"/>
            </w:tcBorders>
            <w:vAlign w:val="center"/>
          </w:tcPr>
          <w:p w14:paraId="2D93625D" w14:textId="76D8BB8A"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At one point, it is complete. However, some issues arise that will merit a review of the policy.</w:t>
            </w:r>
          </w:p>
        </w:tc>
      </w:tr>
      <w:tr w:rsidR="004B15EB" w14:paraId="0E87521B"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05CF51EE" w14:textId="48B95553"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3</w:t>
            </w:r>
          </w:p>
        </w:tc>
        <w:tc>
          <w:tcPr>
            <w:tcW w:w="1304" w:type="pct"/>
            <w:tcBorders>
              <w:top w:val="single" w:sz="4" w:space="0" w:color="auto"/>
              <w:bottom w:val="single" w:sz="4" w:space="0" w:color="auto"/>
            </w:tcBorders>
            <w:vAlign w:val="center"/>
          </w:tcPr>
          <w:p w14:paraId="7D86B92D" w14:textId="0879BE41"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NGO3</w:t>
            </w:r>
          </w:p>
        </w:tc>
        <w:tc>
          <w:tcPr>
            <w:tcW w:w="1305" w:type="pct"/>
            <w:tcBorders>
              <w:top w:val="single" w:sz="4" w:space="0" w:color="auto"/>
              <w:bottom w:val="single" w:sz="4" w:space="0" w:color="auto"/>
            </w:tcBorders>
            <w:vAlign w:val="center"/>
          </w:tcPr>
          <w:p w14:paraId="347AE983" w14:textId="5E453466"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Mabini has an existing IRR and ICM</w:t>
            </w:r>
          </w:p>
        </w:tc>
        <w:tc>
          <w:tcPr>
            <w:tcW w:w="1946" w:type="pct"/>
            <w:tcBorders>
              <w:top w:val="single" w:sz="4" w:space="0" w:color="auto"/>
              <w:bottom w:val="single" w:sz="4" w:space="0" w:color="auto"/>
            </w:tcBorders>
            <w:vAlign w:val="center"/>
          </w:tcPr>
          <w:p w14:paraId="6A5D0B4C" w14:textId="6A953615"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ADEQUATE</w:t>
            </w:r>
          </w:p>
        </w:tc>
      </w:tr>
      <w:tr w:rsidR="004B15EB" w14:paraId="5FFBB202"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021E9B16" w14:textId="090B3FD4"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4</w:t>
            </w:r>
          </w:p>
        </w:tc>
        <w:tc>
          <w:tcPr>
            <w:tcW w:w="1304" w:type="pct"/>
            <w:tcBorders>
              <w:top w:val="single" w:sz="4" w:space="0" w:color="auto"/>
              <w:bottom w:val="single" w:sz="4" w:space="0" w:color="auto"/>
            </w:tcBorders>
            <w:vAlign w:val="center"/>
          </w:tcPr>
          <w:p w14:paraId="6B30568F" w14:textId="11C83FCE"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NGO4</w:t>
            </w:r>
          </w:p>
        </w:tc>
        <w:tc>
          <w:tcPr>
            <w:tcW w:w="1305" w:type="pct"/>
            <w:tcBorders>
              <w:top w:val="single" w:sz="4" w:space="0" w:color="auto"/>
              <w:bottom w:val="single" w:sz="4" w:space="0" w:color="auto"/>
            </w:tcBorders>
            <w:vAlign w:val="center"/>
          </w:tcPr>
          <w:p w14:paraId="3875954D" w14:textId="4B5E9B5B"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ICM Code</w:t>
            </w:r>
          </w:p>
        </w:tc>
        <w:tc>
          <w:tcPr>
            <w:tcW w:w="1946" w:type="pct"/>
            <w:tcBorders>
              <w:top w:val="single" w:sz="4" w:space="0" w:color="auto"/>
              <w:bottom w:val="single" w:sz="4" w:space="0" w:color="auto"/>
            </w:tcBorders>
            <w:vAlign w:val="center"/>
          </w:tcPr>
          <w:p w14:paraId="11ED845E" w14:textId="17BC9A00"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w:t>
            </w:r>
          </w:p>
        </w:tc>
      </w:tr>
      <w:tr w:rsidR="004B15EB" w14:paraId="4C6C1E1D"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45817FA2" w14:textId="1149E434"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5</w:t>
            </w:r>
          </w:p>
        </w:tc>
        <w:tc>
          <w:tcPr>
            <w:tcW w:w="1304" w:type="pct"/>
            <w:tcBorders>
              <w:top w:val="single" w:sz="4" w:space="0" w:color="auto"/>
              <w:bottom w:val="single" w:sz="4" w:space="0" w:color="auto"/>
            </w:tcBorders>
            <w:vAlign w:val="center"/>
          </w:tcPr>
          <w:p w14:paraId="140A34EF" w14:textId="37E95A88"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Coron</w:t>
            </w:r>
          </w:p>
        </w:tc>
        <w:tc>
          <w:tcPr>
            <w:tcW w:w="1305" w:type="pct"/>
            <w:tcBorders>
              <w:top w:val="single" w:sz="4" w:space="0" w:color="auto"/>
              <w:bottom w:val="single" w:sz="4" w:space="0" w:color="auto"/>
            </w:tcBorders>
            <w:vAlign w:val="center"/>
          </w:tcPr>
          <w:p w14:paraId="669D6873" w14:textId="0D3D1F71"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MPA ordinances, CLUP, Zoning Ordinance, ECAN Zones Map</w:t>
            </w:r>
          </w:p>
        </w:tc>
        <w:tc>
          <w:tcPr>
            <w:tcW w:w="1946" w:type="pct"/>
            <w:tcBorders>
              <w:top w:val="single" w:sz="4" w:space="0" w:color="auto"/>
              <w:bottom w:val="single" w:sz="4" w:space="0" w:color="auto"/>
            </w:tcBorders>
            <w:vAlign w:val="center"/>
          </w:tcPr>
          <w:p w14:paraId="3FBCE363" w14:textId="7DF8840B"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Lack of MENRO as a focal person or responsible for environmental management in the LGU</w:t>
            </w:r>
          </w:p>
        </w:tc>
      </w:tr>
      <w:tr w:rsidR="004B15EB" w14:paraId="14CDB046"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57EF4275" w14:textId="5AC469BE"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6</w:t>
            </w:r>
          </w:p>
        </w:tc>
        <w:tc>
          <w:tcPr>
            <w:tcW w:w="1304" w:type="pct"/>
            <w:tcBorders>
              <w:top w:val="single" w:sz="4" w:space="0" w:color="auto"/>
              <w:bottom w:val="single" w:sz="4" w:space="0" w:color="auto"/>
            </w:tcBorders>
            <w:vAlign w:val="center"/>
          </w:tcPr>
          <w:p w14:paraId="10D570A7" w14:textId="367D19C3"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PNP Maritime Unit</w:t>
            </w:r>
          </w:p>
        </w:tc>
        <w:tc>
          <w:tcPr>
            <w:tcW w:w="1305" w:type="pct"/>
            <w:tcBorders>
              <w:top w:val="single" w:sz="4" w:space="0" w:color="auto"/>
              <w:bottom w:val="single" w:sz="4" w:space="0" w:color="auto"/>
            </w:tcBorders>
            <w:vAlign w:val="center"/>
          </w:tcPr>
          <w:p w14:paraId="674F6A97" w14:textId="750D312A"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 dumping of garbage in waterways</w:t>
            </w:r>
          </w:p>
        </w:tc>
        <w:tc>
          <w:tcPr>
            <w:tcW w:w="1946" w:type="pct"/>
            <w:tcBorders>
              <w:top w:val="single" w:sz="4" w:space="0" w:color="auto"/>
              <w:bottom w:val="single" w:sz="4" w:space="0" w:color="auto"/>
            </w:tcBorders>
            <w:vAlign w:val="center"/>
          </w:tcPr>
          <w:p w14:paraId="6CB91E56" w14:textId="2173503D"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While policies and measures exist for managing coastal habitats and land-based pollution, they are not necessarily complete or adequate due to challenges in enforcement funding, and the transboundary nature of pollution.</w:t>
            </w:r>
          </w:p>
        </w:tc>
      </w:tr>
      <w:tr w:rsidR="004B15EB" w14:paraId="5B85EE1A"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nil"/>
            </w:tcBorders>
            <w:vAlign w:val="center"/>
          </w:tcPr>
          <w:p w14:paraId="03FFC5EC" w14:textId="24261C4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7</w:t>
            </w:r>
          </w:p>
        </w:tc>
        <w:tc>
          <w:tcPr>
            <w:tcW w:w="1304" w:type="pct"/>
            <w:tcBorders>
              <w:top w:val="single" w:sz="4" w:space="0" w:color="auto"/>
              <w:bottom w:val="nil"/>
            </w:tcBorders>
            <w:vAlign w:val="center"/>
          </w:tcPr>
          <w:p w14:paraId="0658933A" w14:textId="7EC28709"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PNP</w:t>
            </w:r>
          </w:p>
        </w:tc>
        <w:tc>
          <w:tcPr>
            <w:tcW w:w="1305" w:type="pct"/>
            <w:tcBorders>
              <w:top w:val="single" w:sz="4" w:space="0" w:color="auto"/>
              <w:bottom w:val="nil"/>
            </w:tcBorders>
            <w:vAlign w:val="center"/>
          </w:tcPr>
          <w:p w14:paraId="0F14DD28" w14:textId="5917A77C"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National laws (E-NIPAS) and local ordinance</w:t>
            </w:r>
          </w:p>
        </w:tc>
        <w:tc>
          <w:tcPr>
            <w:tcW w:w="1946" w:type="pct"/>
            <w:tcBorders>
              <w:top w:val="single" w:sz="4" w:space="0" w:color="auto"/>
              <w:bottom w:val="nil"/>
            </w:tcBorders>
            <w:vAlign w:val="center"/>
          </w:tcPr>
          <w:p w14:paraId="2E750D24" w14:textId="0EB154D8"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 there is a need to revise policies and measures</w:t>
            </w:r>
          </w:p>
        </w:tc>
      </w:tr>
      <w:tr w:rsidR="004B15EB" w14:paraId="2D7BE767"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nil"/>
              <w:bottom w:val="single" w:sz="4" w:space="0" w:color="auto"/>
            </w:tcBorders>
            <w:vAlign w:val="center"/>
          </w:tcPr>
          <w:p w14:paraId="1DB4325A" w14:textId="6B2B73FF"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8</w:t>
            </w:r>
          </w:p>
        </w:tc>
        <w:tc>
          <w:tcPr>
            <w:tcW w:w="1304" w:type="pct"/>
            <w:tcBorders>
              <w:top w:val="nil"/>
              <w:bottom w:val="single" w:sz="4" w:space="0" w:color="auto"/>
            </w:tcBorders>
            <w:vAlign w:val="center"/>
          </w:tcPr>
          <w:p w14:paraId="24FC6364" w14:textId="54BB071E"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Academe</w:t>
            </w:r>
          </w:p>
        </w:tc>
        <w:tc>
          <w:tcPr>
            <w:tcW w:w="1305" w:type="pct"/>
            <w:tcBorders>
              <w:top w:val="nil"/>
              <w:bottom w:val="single" w:sz="4" w:space="0" w:color="auto"/>
            </w:tcBorders>
            <w:vAlign w:val="center"/>
          </w:tcPr>
          <w:p w14:paraId="017DABC1" w14:textId="30BC198D"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ICM Code</w:t>
            </w:r>
          </w:p>
        </w:tc>
        <w:tc>
          <w:tcPr>
            <w:tcW w:w="1946" w:type="pct"/>
            <w:tcBorders>
              <w:top w:val="nil"/>
              <w:bottom w:val="single" w:sz="4" w:space="0" w:color="auto"/>
            </w:tcBorders>
            <w:vAlign w:val="center"/>
          </w:tcPr>
          <w:p w14:paraId="4D32B5F9" w14:textId="49A8EBAE"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w:t>
            </w:r>
          </w:p>
        </w:tc>
      </w:tr>
      <w:tr w:rsidR="004B15EB" w14:paraId="310BE160"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74E3BAAF" w14:textId="1B5763B9"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9</w:t>
            </w:r>
          </w:p>
        </w:tc>
        <w:tc>
          <w:tcPr>
            <w:tcW w:w="1304" w:type="pct"/>
            <w:tcBorders>
              <w:top w:val="single" w:sz="4" w:space="0" w:color="auto"/>
              <w:bottom w:val="single" w:sz="4" w:space="0" w:color="auto"/>
            </w:tcBorders>
            <w:vAlign w:val="center"/>
          </w:tcPr>
          <w:p w14:paraId="5F7DB765" w14:textId="4F421D5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DENR PENRO Palawan</w:t>
            </w:r>
          </w:p>
        </w:tc>
        <w:tc>
          <w:tcPr>
            <w:tcW w:w="1305" w:type="pct"/>
            <w:tcBorders>
              <w:top w:val="single" w:sz="4" w:space="0" w:color="auto"/>
              <w:bottom w:val="single" w:sz="4" w:space="0" w:color="auto"/>
            </w:tcBorders>
            <w:vAlign w:val="center"/>
          </w:tcPr>
          <w:p w14:paraId="74F18637" w14:textId="580744FC"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NIPAS (PAMP): local fishery code</w:t>
            </w:r>
          </w:p>
        </w:tc>
        <w:tc>
          <w:tcPr>
            <w:tcW w:w="1946" w:type="pct"/>
            <w:tcBorders>
              <w:top w:val="single" w:sz="4" w:space="0" w:color="auto"/>
              <w:bottom w:val="single" w:sz="4" w:space="0" w:color="auto"/>
            </w:tcBorders>
            <w:vAlign w:val="center"/>
          </w:tcPr>
          <w:p w14:paraId="70B6D4BA" w14:textId="7D994E25"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Complete but needs harmonization and funding</w:t>
            </w:r>
          </w:p>
        </w:tc>
      </w:tr>
      <w:tr w:rsidR="004B15EB" w14:paraId="010F72F2"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110FB5AD" w14:textId="323A40C8"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10</w:t>
            </w:r>
          </w:p>
        </w:tc>
        <w:tc>
          <w:tcPr>
            <w:tcW w:w="1304" w:type="pct"/>
            <w:tcBorders>
              <w:top w:val="single" w:sz="4" w:space="0" w:color="auto"/>
              <w:bottom w:val="single" w:sz="4" w:space="0" w:color="auto"/>
            </w:tcBorders>
            <w:vAlign w:val="center"/>
          </w:tcPr>
          <w:p w14:paraId="22B9648C" w14:textId="53F5F419"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DENR CENRO</w:t>
            </w:r>
          </w:p>
        </w:tc>
        <w:tc>
          <w:tcPr>
            <w:tcW w:w="1305" w:type="pct"/>
            <w:tcBorders>
              <w:top w:val="single" w:sz="4" w:space="0" w:color="auto"/>
              <w:bottom w:val="single" w:sz="4" w:space="0" w:color="auto"/>
            </w:tcBorders>
            <w:vAlign w:val="center"/>
          </w:tcPr>
          <w:p w14:paraId="3D531943" w14:textId="4B789E3B"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roofErr w:type="spellStart"/>
            <w:r w:rsidRPr="00AA68B6">
              <w:rPr>
                <w:rFonts w:eastAsia="Aptos"/>
                <w:sz w:val="18"/>
                <w:szCs w:val="18"/>
                <w:lang w:val="en-ID" w:eastAsia="en-PH"/>
              </w:rPr>
              <w:t>eNIPAS</w:t>
            </w:r>
            <w:proofErr w:type="spellEnd"/>
            <w:r w:rsidRPr="00AA68B6">
              <w:rPr>
                <w:rFonts w:eastAsia="Aptos"/>
                <w:sz w:val="18"/>
                <w:szCs w:val="18"/>
                <w:lang w:val="en-ID" w:eastAsia="en-PH"/>
              </w:rPr>
              <w:t xml:space="preserve"> Act, PAMP, Municipal Fishery Code, RA9003 Fishery Code of the Philippine (amended)</w:t>
            </w:r>
          </w:p>
        </w:tc>
        <w:tc>
          <w:tcPr>
            <w:tcW w:w="1946" w:type="pct"/>
            <w:tcBorders>
              <w:top w:val="single" w:sz="4" w:space="0" w:color="auto"/>
              <w:bottom w:val="single" w:sz="4" w:space="0" w:color="auto"/>
            </w:tcBorders>
            <w:vAlign w:val="center"/>
          </w:tcPr>
          <w:p w14:paraId="37FD0757" w14:textId="13271AE0"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It is completed; however, the implementation of the policies should be intensive.</w:t>
            </w:r>
          </w:p>
        </w:tc>
      </w:tr>
      <w:tr w:rsidR="004B15EB" w14:paraId="6FBE624C" w14:textId="77777777" w:rsidTr="003C3A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4" w:space="0" w:color="auto"/>
            </w:tcBorders>
            <w:vAlign w:val="center"/>
          </w:tcPr>
          <w:p w14:paraId="51BCC74F" w14:textId="03977DAE"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11</w:t>
            </w:r>
          </w:p>
        </w:tc>
        <w:tc>
          <w:tcPr>
            <w:tcW w:w="1304" w:type="pct"/>
            <w:tcBorders>
              <w:top w:val="single" w:sz="4" w:space="0" w:color="auto"/>
              <w:bottom w:val="single" w:sz="4" w:space="0" w:color="auto"/>
            </w:tcBorders>
            <w:vAlign w:val="center"/>
          </w:tcPr>
          <w:p w14:paraId="5236EFED" w14:textId="15811FCC"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Busuanga</w:t>
            </w:r>
          </w:p>
        </w:tc>
        <w:tc>
          <w:tcPr>
            <w:tcW w:w="1305" w:type="pct"/>
            <w:tcBorders>
              <w:top w:val="single" w:sz="4" w:space="0" w:color="auto"/>
              <w:bottom w:val="single" w:sz="4" w:space="0" w:color="auto"/>
            </w:tcBorders>
            <w:vAlign w:val="center"/>
          </w:tcPr>
          <w:p w14:paraId="209F39DB" w14:textId="676FA99C"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“Establishment of the MPAs (5) Establishment of ECAN Coastal and Marine ECAN Map”</w:t>
            </w:r>
          </w:p>
        </w:tc>
        <w:tc>
          <w:tcPr>
            <w:tcW w:w="1946" w:type="pct"/>
            <w:tcBorders>
              <w:top w:val="single" w:sz="4" w:space="0" w:color="auto"/>
              <w:bottom w:val="single" w:sz="4" w:space="0" w:color="auto"/>
            </w:tcBorders>
            <w:vAlign w:val="center"/>
          </w:tcPr>
          <w:p w14:paraId="177B4979" w14:textId="049644C4"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Policy Review and formulation of more comprehensive policies are still needed</w:t>
            </w:r>
          </w:p>
        </w:tc>
      </w:tr>
      <w:tr w:rsidR="004B15EB" w14:paraId="7478F2C6" w14:textId="77777777" w:rsidTr="003C3A2B">
        <w:trPr>
          <w:jc w:val="center"/>
        </w:trPr>
        <w:tc>
          <w:tcPr>
            <w:cnfStyle w:val="001000000000" w:firstRow="0" w:lastRow="0" w:firstColumn="1" w:lastColumn="0" w:oddVBand="0" w:evenVBand="0" w:oddHBand="0" w:evenHBand="0" w:firstRowFirstColumn="0" w:firstRowLastColumn="0" w:lastRowFirstColumn="0" w:lastRowLastColumn="0"/>
            <w:tcW w:w="446" w:type="pct"/>
            <w:tcBorders>
              <w:top w:val="single" w:sz="4" w:space="0" w:color="auto"/>
              <w:bottom w:val="single" w:sz="12" w:space="0" w:color="auto"/>
            </w:tcBorders>
            <w:vAlign w:val="center"/>
          </w:tcPr>
          <w:p w14:paraId="64F83CE8" w14:textId="3A4CB3B2"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12</w:t>
            </w:r>
          </w:p>
        </w:tc>
        <w:tc>
          <w:tcPr>
            <w:tcW w:w="1304" w:type="pct"/>
            <w:tcBorders>
              <w:top w:val="single" w:sz="4" w:space="0" w:color="auto"/>
              <w:bottom w:val="single" w:sz="12" w:space="0" w:color="auto"/>
            </w:tcBorders>
            <w:vAlign w:val="center"/>
          </w:tcPr>
          <w:p w14:paraId="22456EC5" w14:textId="3CF6934B"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PGENRO Palawan</w:t>
            </w:r>
          </w:p>
        </w:tc>
        <w:tc>
          <w:tcPr>
            <w:tcW w:w="1305" w:type="pct"/>
            <w:tcBorders>
              <w:top w:val="single" w:sz="4" w:space="0" w:color="auto"/>
              <w:bottom w:val="single" w:sz="12" w:space="0" w:color="auto"/>
            </w:tcBorders>
            <w:vAlign w:val="center"/>
          </w:tcPr>
          <w:p w14:paraId="5CB730EA" w14:textId="1D708E9C"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c>
          <w:tcPr>
            <w:tcW w:w="1946" w:type="pct"/>
            <w:tcBorders>
              <w:top w:val="single" w:sz="4" w:space="0" w:color="auto"/>
              <w:bottom w:val="single" w:sz="12" w:space="0" w:color="auto"/>
            </w:tcBorders>
            <w:vAlign w:val="center"/>
          </w:tcPr>
          <w:p w14:paraId="7ADC676E" w14:textId="1126B5F5"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r>
    </w:tbl>
    <w:p w14:paraId="3F0CD3D7" w14:textId="500ABC1C" w:rsidR="004B15EB" w:rsidRPr="004B15EB" w:rsidRDefault="004B15EB" w:rsidP="00214728">
      <w:pPr>
        <w:spacing w:before="240" w:line="278" w:lineRule="auto"/>
        <w:ind w:firstLine="0"/>
        <w:rPr>
          <w:rFonts w:eastAsia="Aptos"/>
          <w:sz w:val="18"/>
          <w:szCs w:val="18"/>
          <w:lang w:val="en-ID" w:eastAsia="en-PH"/>
        </w:rPr>
      </w:pPr>
      <w:r w:rsidRPr="004B15EB">
        <w:rPr>
          <w:rFonts w:eastAsia="Aptos"/>
          <w:b/>
          <w:bCs/>
          <w:sz w:val="18"/>
          <w:szCs w:val="18"/>
          <w:lang w:val="en-ID" w:eastAsia="en-PH"/>
        </w:rPr>
        <w:t>Table 6.A.2.</w:t>
      </w:r>
      <w:r w:rsidRPr="004B15EB">
        <w:rPr>
          <w:rFonts w:eastAsia="Aptos"/>
          <w:sz w:val="18"/>
          <w:szCs w:val="18"/>
          <w:lang w:val="en-ID" w:eastAsia="en-PH"/>
        </w:rPr>
        <w:t xml:space="preserve"> (Integration, Engagement, and Interventions to Address Gaps)</w:t>
      </w:r>
    </w:p>
    <w:tbl>
      <w:tblPr>
        <w:tblStyle w:val="PlainTable2"/>
        <w:tblW w:w="0" w:type="auto"/>
        <w:tblLook w:val="04A0" w:firstRow="1" w:lastRow="0" w:firstColumn="1" w:lastColumn="0" w:noHBand="0" w:noVBand="1"/>
      </w:tblPr>
      <w:tblGrid>
        <w:gridCol w:w="603"/>
        <w:gridCol w:w="1519"/>
        <w:gridCol w:w="2409"/>
        <w:gridCol w:w="2409"/>
        <w:gridCol w:w="2410"/>
      </w:tblGrid>
      <w:tr w:rsidR="004B15EB" w14:paraId="03ED2FC2" w14:textId="00CF1438" w:rsidTr="002147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12" w:space="0" w:color="auto"/>
              <w:bottom w:val="single" w:sz="12" w:space="0" w:color="auto"/>
            </w:tcBorders>
          </w:tcPr>
          <w:p w14:paraId="1C4A84B5" w14:textId="77777777" w:rsidR="004B15EB" w:rsidRPr="00AA68B6" w:rsidRDefault="004B15EB" w:rsidP="00F44D3E">
            <w:pPr>
              <w:spacing w:line="276" w:lineRule="auto"/>
              <w:ind w:firstLine="0"/>
              <w:rPr>
                <w:rFonts w:eastAsia="Aptos"/>
                <w:sz w:val="18"/>
                <w:szCs w:val="18"/>
                <w:lang w:val="en-ID" w:eastAsia="en-PH"/>
              </w:rPr>
            </w:pPr>
          </w:p>
        </w:tc>
        <w:tc>
          <w:tcPr>
            <w:tcW w:w="1519" w:type="dxa"/>
            <w:tcBorders>
              <w:top w:val="single" w:sz="12" w:space="0" w:color="auto"/>
              <w:bottom w:val="single" w:sz="12" w:space="0" w:color="auto"/>
            </w:tcBorders>
            <w:vAlign w:val="center"/>
          </w:tcPr>
          <w:p w14:paraId="71D1E7BF" w14:textId="7F13AF37" w:rsidR="004B15EB" w:rsidRPr="00AA68B6" w:rsidRDefault="00AA68B6" w:rsidP="00F44D3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Respondent type</w:t>
            </w:r>
          </w:p>
        </w:tc>
        <w:tc>
          <w:tcPr>
            <w:tcW w:w="2409" w:type="dxa"/>
            <w:tcBorders>
              <w:top w:val="single" w:sz="12" w:space="0" w:color="auto"/>
              <w:bottom w:val="single" w:sz="12" w:space="0" w:color="auto"/>
            </w:tcBorders>
            <w:vAlign w:val="center"/>
          </w:tcPr>
          <w:p w14:paraId="1CB47BFB" w14:textId="6A69E1E8" w:rsidR="004B15EB" w:rsidRPr="00AA68B6" w:rsidRDefault="00AA68B6" w:rsidP="00F44D3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Integration (</w:t>
            </w:r>
            <w:r w:rsidR="004B15EB" w:rsidRPr="00AA68B6">
              <w:rPr>
                <w:rFonts w:eastAsia="Aptos"/>
                <w:sz w:val="18"/>
                <w:szCs w:val="18"/>
                <w:lang w:val="en-ID" w:eastAsia="en-PH"/>
              </w:rPr>
              <w:t>10/11)</w:t>
            </w:r>
          </w:p>
        </w:tc>
        <w:tc>
          <w:tcPr>
            <w:tcW w:w="2409" w:type="dxa"/>
            <w:tcBorders>
              <w:top w:val="single" w:sz="12" w:space="0" w:color="auto"/>
              <w:bottom w:val="single" w:sz="12" w:space="0" w:color="auto"/>
            </w:tcBorders>
            <w:vAlign w:val="center"/>
          </w:tcPr>
          <w:p w14:paraId="53050DBF" w14:textId="08D5A405" w:rsidR="004B15EB" w:rsidRPr="00AA68B6" w:rsidRDefault="00AA68B6" w:rsidP="00F44D3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Engagement (11/11)</w:t>
            </w:r>
          </w:p>
        </w:tc>
        <w:tc>
          <w:tcPr>
            <w:tcW w:w="2410" w:type="dxa"/>
            <w:tcBorders>
              <w:top w:val="single" w:sz="12" w:space="0" w:color="auto"/>
              <w:bottom w:val="single" w:sz="12" w:space="0" w:color="auto"/>
            </w:tcBorders>
            <w:vAlign w:val="center"/>
          </w:tcPr>
          <w:p w14:paraId="234754DA" w14:textId="5C875CCD" w:rsidR="004B15EB" w:rsidRPr="00AA68B6" w:rsidRDefault="00AA68B6" w:rsidP="00F44D3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 xml:space="preserve">Interventions to </w:t>
            </w:r>
            <w:r>
              <w:rPr>
                <w:rFonts w:eastAsia="Aptos"/>
                <w:sz w:val="18"/>
                <w:szCs w:val="18"/>
                <w:lang w:val="en-ID" w:eastAsia="en-PH"/>
              </w:rPr>
              <w:t>A</w:t>
            </w:r>
            <w:r w:rsidRPr="00AA68B6">
              <w:rPr>
                <w:rFonts w:eastAsia="Aptos"/>
                <w:sz w:val="18"/>
                <w:szCs w:val="18"/>
                <w:lang w:val="en-ID" w:eastAsia="en-PH"/>
              </w:rPr>
              <w:t xml:space="preserve">ddress </w:t>
            </w:r>
            <w:r>
              <w:rPr>
                <w:rFonts w:eastAsia="Aptos"/>
                <w:sz w:val="18"/>
                <w:szCs w:val="18"/>
                <w:lang w:val="en-ID" w:eastAsia="en-PH"/>
              </w:rPr>
              <w:t>G</w:t>
            </w:r>
            <w:r w:rsidRPr="00AA68B6">
              <w:rPr>
                <w:rFonts w:eastAsia="Aptos"/>
                <w:sz w:val="18"/>
                <w:szCs w:val="18"/>
                <w:lang w:val="en-ID" w:eastAsia="en-PH"/>
              </w:rPr>
              <w:t>ap</w:t>
            </w:r>
          </w:p>
        </w:tc>
      </w:tr>
      <w:tr w:rsidR="004B15EB" w14:paraId="39164CA9" w14:textId="028F04FE"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12" w:space="0" w:color="auto"/>
              <w:bottom w:val="single" w:sz="4" w:space="0" w:color="auto"/>
            </w:tcBorders>
            <w:vAlign w:val="center"/>
          </w:tcPr>
          <w:p w14:paraId="3D4DD103"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lastRenderedPageBreak/>
              <w:t>1</w:t>
            </w:r>
          </w:p>
        </w:tc>
        <w:tc>
          <w:tcPr>
            <w:tcW w:w="1519" w:type="dxa"/>
            <w:tcBorders>
              <w:top w:val="single" w:sz="12" w:space="0" w:color="auto"/>
              <w:bottom w:val="single" w:sz="4" w:space="0" w:color="auto"/>
            </w:tcBorders>
            <w:vAlign w:val="center"/>
          </w:tcPr>
          <w:p w14:paraId="6D582805"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NGO1</w:t>
            </w:r>
          </w:p>
        </w:tc>
        <w:tc>
          <w:tcPr>
            <w:tcW w:w="2409" w:type="dxa"/>
            <w:tcBorders>
              <w:top w:val="single" w:sz="12" w:space="0" w:color="auto"/>
              <w:bottom w:val="single" w:sz="4" w:space="0" w:color="auto"/>
            </w:tcBorders>
            <w:vAlign w:val="center"/>
          </w:tcPr>
          <w:p w14:paraId="6A04300A" w14:textId="68D90DB4"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Not Aware</w:t>
            </w:r>
          </w:p>
        </w:tc>
        <w:tc>
          <w:tcPr>
            <w:tcW w:w="2409" w:type="dxa"/>
            <w:tcBorders>
              <w:top w:val="single" w:sz="12" w:space="0" w:color="auto"/>
              <w:bottom w:val="single" w:sz="4" w:space="0" w:color="auto"/>
            </w:tcBorders>
            <w:vAlign w:val="center"/>
          </w:tcPr>
          <w:p w14:paraId="3DB3E2F3" w14:textId="15AFC92D"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Maybe</w:t>
            </w:r>
          </w:p>
        </w:tc>
        <w:tc>
          <w:tcPr>
            <w:tcW w:w="2410" w:type="dxa"/>
            <w:tcBorders>
              <w:top w:val="single" w:sz="12" w:space="0" w:color="auto"/>
              <w:bottom w:val="single" w:sz="4" w:space="0" w:color="auto"/>
            </w:tcBorders>
            <w:vAlign w:val="center"/>
          </w:tcPr>
          <w:p w14:paraId="43BF426D" w14:textId="2F4700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Communication, Education and Public Awareness (CEPA)</w:t>
            </w:r>
          </w:p>
        </w:tc>
      </w:tr>
      <w:tr w:rsidR="004B15EB" w14:paraId="55803994" w14:textId="1B642FFF"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2787B4B4"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2</w:t>
            </w:r>
          </w:p>
        </w:tc>
        <w:tc>
          <w:tcPr>
            <w:tcW w:w="1519" w:type="dxa"/>
            <w:tcBorders>
              <w:top w:val="single" w:sz="4" w:space="0" w:color="auto"/>
              <w:bottom w:val="single" w:sz="4" w:space="0" w:color="auto"/>
            </w:tcBorders>
            <w:vAlign w:val="center"/>
          </w:tcPr>
          <w:p w14:paraId="1C2C37E8"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NGO2</w:t>
            </w:r>
          </w:p>
        </w:tc>
        <w:tc>
          <w:tcPr>
            <w:tcW w:w="2409" w:type="dxa"/>
            <w:tcBorders>
              <w:top w:val="single" w:sz="4" w:space="0" w:color="auto"/>
              <w:bottom w:val="single" w:sz="4" w:space="0" w:color="auto"/>
            </w:tcBorders>
            <w:vAlign w:val="center"/>
          </w:tcPr>
          <w:p w14:paraId="676982F0" w14:textId="58DA7DB6"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an inter-agency council supports this aim</w:t>
            </w:r>
          </w:p>
        </w:tc>
        <w:tc>
          <w:tcPr>
            <w:tcW w:w="2409" w:type="dxa"/>
            <w:tcBorders>
              <w:top w:val="single" w:sz="4" w:space="0" w:color="auto"/>
              <w:bottom w:val="single" w:sz="4" w:space="0" w:color="auto"/>
            </w:tcBorders>
            <w:vAlign w:val="center"/>
          </w:tcPr>
          <w:p w14:paraId="55D13237" w14:textId="21D9261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consultations prior to the creation of the policy, involvement in monitoring and evaluation, feedback mechanisms</w:t>
            </w:r>
          </w:p>
        </w:tc>
        <w:tc>
          <w:tcPr>
            <w:tcW w:w="2410" w:type="dxa"/>
            <w:tcBorders>
              <w:top w:val="single" w:sz="4" w:space="0" w:color="auto"/>
              <w:bottom w:val="single" w:sz="4" w:space="0" w:color="auto"/>
            </w:tcBorders>
            <w:vAlign w:val="center"/>
          </w:tcPr>
          <w:p w14:paraId="6D921B02" w14:textId="02D527E2"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Self-policing mechanisms, group accreditation requirements, code of conduct</w:t>
            </w:r>
          </w:p>
        </w:tc>
      </w:tr>
      <w:tr w:rsidR="004B15EB" w14:paraId="28401C74" w14:textId="1922FF9C"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332DB530"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3</w:t>
            </w:r>
          </w:p>
        </w:tc>
        <w:tc>
          <w:tcPr>
            <w:tcW w:w="1519" w:type="dxa"/>
            <w:tcBorders>
              <w:top w:val="single" w:sz="4" w:space="0" w:color="auto"/>
              <w:bottom w:val="single" w:sz="4" w:space="0" w:color="auto"/>
            </w:tcBorders>
            <w:vAlign w:val="center"/>
          </w:tcPr>
          <w:p w14:paraId="7B8CC4C8"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NGO3</w:t>
            </w:r>
          </w:p>
        </w:tc>
        <w:tc>
          <w:tcPr>
            <w:tcW w:w="2409" w:type="dxa"/>
            <w:tcBorders>
              <w:top w:val="single" w:sz="4" w:space="0" w:color="auto"/>
              <w:bottom w:val="single" w:sz="4" w:space="0" w:color="auto"/>
            </w:tcBorders>
            <w:vAlign w:val="center"/>
          </w:tcPr>
          <w:p w14:paraId="62661E65" w14:textId="0E0BF375"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through stakeholder consultations</w:t>
            </w:r>
          </w:p>
        </w:tc>
        <w:tc>
          <w:tcPr>
            <w:tcW w:w="2409" w:type="dxa"/>
            <w:tcBorders>
              <w:top w:val="single" w:sz="4" w:space="0" w:color="auto"/>
              <w:bottom w:val="single" w:sz="4" w:space="0" w:color="auto"/>
            </w:tcBorders>
            <w:vAlign w:val="center"/>
          </w:tcPr>
          <w:p w14:paraId="02A8FEB5" w14:textId="56D6EB41"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Resort Owners, Fishing Folks, NGOs</w:t>
            </w:r>
          </w:p>
        </w:tc>
        <w:tc>
          <w:tcPr>
            <w:tcW w:w="2410" w:type="dxa"/>
            <w:tcBorders>
              <w:top w:val="single" w:sz="4" w:space="0" w:color="auto"/>
              <w:bottom w:val="single" w:sz="4" w:space="0" w:color="auto"/>
            </w:tcBorders>
            <w:vAlign w:val="center"/>
          </w:tcPr>
          <w:p w14:paraId="6EB4BC17" w14:textId="6FCAD6F6"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LGU’s implementation and support</w:t>
            </w:r>
          </w:p>
        </w:tc>
      </w:tr>
      <w:tr w:rsidR="004B15EB" w14:paraId="72060FD9" w14:textId="26A0B5F1"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3E90588C"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4</w:t>
            </w:r>
          </w:p>
        </w:tc>
        <w:tc>
          <w:tcPr>
            <w:tcW w:w="1519" w:type="dxa"/>
            <w:tcBorders>
              <w:top w:val="single" w:sz="4" w:space="0" w:color="auto"/>
              <w:bottom w:val="single" w:sz="4" w:space="0" w:color="auto"/>
            </w:tcBorders>
            <w:vAlign w:val="center"/>
          </w:tcPr>
          <w:p w14:paraId="42A1CB80"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NGO4</w:t>
            </w:r>
          </w:p>
        </w:tc>
        <w:tc>
          <w:tcPr>
            <w:tcW w:w="2409" w:type="dxa"/>
            <w:tcBorders>
              <w:top w:val="single" w:sz="4" w:space="0" w:color="auto"/>
              <w:bottom w:val="single" w:sz="4" w:space="0" w:color="auto"/>
            </w:tcBorders>
            <w:vAlign w:val="center"/>
          </w:tcPr>
          <w:p w14:paraId="5408C2C4" w14:textId="1C246B16"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The ICM Code of Mabini is only being implemented in Mabini. As of my knowledge there are no current agencies using this</w:t>
            </w:r>
          </w:p>
        </w:tc>
        <w:tc>
          <w:tcPr>
            <w:tcW w:w="2409" w:type="dxa"/>
            <w:tcBorders>
              <w:top w:val="single" w:sz="4" w:space="0" w:color="auto"/>
              <w:bottom w:val="single" w:sz="4" w:space="0" w:color="auto"/>
            </w:tcBorders>
            <w:vAlign w:val="center"/>
          </w:tcPr>
          <w:p w14:paraId="6F24CE2A" w14:textId="09D9F275"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 xml:space="preserve">LGU, fisherfolk, dive professionals, boatmen, Resorts Owner Association of Mabini, PNP-MG, Coast Guard, Coast Guard </w:t>
            </w:r>
            <w:proofErr w:type="spellStart"/>
            <w:r w:rsidRPr="00AA68B6">
              <w:rPr>
                <w:rFonts w:eastAsia="Aptos"/>
                <w:sz w:val="18"/>
                <w:szCs w:val="18"/>
                <w:lang w:val="en-ID" w:eastAsia="en-PH"/>
              </w:rPr>
              <w:t>Auxillary</w:t>
            </w:r>
            <w:proofErr w:type="spellEnd"/>
            <w:r w:rsidRPr="00AA68B6">
              <w:rPr>
                <w:rFonts w:eastAsia="Aptos"/>
                <w:sz w:val="18"/>
                <w:szCs w:val="18"/>
                <w:lang w:val="en-ID" w:eastAsia="en-PH"/>
              </w:rPr>
              <w:t>, MPIF, MEP-I</w:t>
            </w:r>
          </w:p>
        </w:tc>
        <w:tc>
          <w:tcPr>
            <w:tcW w:w="2410" w:type="dxa"/>
            <w:tcBorders>
              <w:top w:val="single" w:sz="4" w:space="0" w:color="auto"/>
              <w:bottom w:val="single" w:sz="4" w:space="0" w:color="auto"/>
            </w:tcBorders>
            <w:vAlign w:val="center"/>
          </w:tcPr>
          <w:p w14:paraId="7E70B47D" w14:textId="67ADEC17"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 xml:space="preserve">Lack of LGU support, and the capabilities of the </w:t>
            </w:r>
            <w:proofErr w:type="spellStart"/>
            <w:r w:rsidRPr="00AA68B6">
              <w:rPr>
                <w:rFonts w:eastAsia="Aptos"/>
                <w:i/>
                <w:iCs/>
                <w:sz w:val="18"/>
                <w:szCs w:val="18"/>
                <w:lang w:val="en-ID" w:eastAsia="en-PH"/>
              </w:rPr>
              <w:t>bantay-kalikasan</w:t>
            </w:r>
            <w:proofErr w:type="spellEnd"/>
            <w:r w:rsidRPr="00AA68B6">
              <w:rPr>
                <w:rFonts w:eastAsia="Aptos"/>
                <w:sz w:val="18"/>
                <w:szCs w:val="18"/>
                <w:lang w:val="en-ID" w:eastAsia="en-PH"/>
              </w:rPr>
              <w:t xml:space="preserve"> to enforce the code. But the biggest problem is corruption of the trust fund of the ICM office.</w:t>
            </w:r>
          </w:p>
        </w:tc>
      </w:tr>
      <w:tr w:rsidR="004B15EB" w14:paraId="1D85C646" w14:textId="44C92CBA"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6D9AFBEE"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5</w:t>
            </w:r>
          </w:p>
        </w:tc>
        <w:tc>
          <w:tcPr>
            <w:tcW w:w="1519" w:type="dxa"/>
            <w:tcBorders>
              <w:top w:val="single" w:sz="4" w:space="0" w:color="auto"/>
              <w:bottom w:val="single" w:sz="4" w:space="0" w:color="auto"/>
            </w:tcBorders>
            <w:vAlign w:val="center"/>
          </w:tcPr>
          <w:p w14:paraId="6DBFBC4A"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Coron</w:t>
            </w:r>
          </w:p>
        </w:tc>
        <w:tc>
          <w:tcPr>
            <w:tcW w:w="2409" w:type="dxa"/>
            <w:tcBorders>
              <w:top w:val="single" w:sz="4" w:space="0" w:color="auto"/>
              <w:bottom w:val="single" w:sz="4" w:space="0" w:color="auto"/>
            </w:tcBorders>
            <w:vAlign w:val="center"/>
          </w:tcPr>
          <w:p w14:paraId="6FA75333" w14:textId="0DFDA5D7"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There is resolution for the creation of the MENRO office. But there is still none appointed for the role.</w:t>
            </w:r>
          </w:p>
        </w:tc>
        <w:tc>
          <w:tcPr>
            <w:tcW w:w="2409" w:type="dxa"/>
            <w:tcBorders>
              <w:top w:val="single" w:sz="4" w:space="0" w:color="auto"/>
              <w:bottom w:val="single" w:sz="4" w:space="0" w:color="auto"/>
            </w:tcBorders>
            <w:vAlign w:val="center"/>
          </w:tcPr>
          <w:p w14:paraId="012FB029" w14:textId="799DCA64"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The local community brings in to sectoral planning need for MENRO.</w:t>
            </w:r>
          </w:p>
        </w:tc>
        <w:tc>
          <w:tcPr>
            <w:tcW w:w="2410" w:type="dxa"/>
            <w:tcBorders>
              <w:top w:val="single" w:sz="4" w:space="0" w:color="auto"/>
              <w:bottom w:val="single" w:sz="4" w:space="0" w:color="auto"/>
            </w:tcBorders>
            <w:vAlign w:val="center"/>
          </w:tcPr>
          <w:p w14:paraId="74C5A539" w14:textId="2AF8781F"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Appointment of MENRO in the LGU</w:t>
            </w:r>
          </w:p>
        </w:tc>
      </w:tr>
      <w:tr w:rsidR="004B15EB" w14:paraId="1000FEB4" w14:textId="5D606AC0"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301439CF"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6</w:t>
            </w:r>
          </w:p>
        </w:tc>
        <w:tc>
          <w:tcPr>
            <w:tcW w:w="1519" w:type="dxa"/>
            <w:tcBorders>
              <w:top w:val="single" w:sz="4" w:space="0" w:color="auto"/>
              <w:bottom w:val="single" w:sz="4" w:space="0" w:color="auto"/>
            </w:tcBorders>
            <w:vAlign w:val="center"/>
          </w:tcPr>
          <w:p w14:paraId="12FA7908"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PNP Maritime Unit</w:t>
            </w:r>
          </w:p>
        </w:tc>
        <w:tc>
          <w:tcPr>
            <w:tcW w:w="2409" w:type="dxa"/>
            <w:tcBorders>
              <w:top w:val="single" w:sz="4" w:space="0" w:color="auto"/>
              <w:bottom w:val="single" w:sz="4" w:space="0" w:color="auto"/>
            </w:tcBorders>
            <w:vAlign w:val="center"/>
          </w:tcPr>
          <w:p w14:paraId="2E01D3EE" w14:textId="632C7A3F"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policies and measures should be designed to be integrated and mutually supportive across relevant agencies, ensuring they address the same issues cohesively and avoid duplication or conflict. This means policies and measures should be designed to be compatible and not contradictory, and should be communicated effectively to all relevant parties.</w:t>
            </w:r>
          </w:p>
        </w:tc>
        <w:tc>
          <w:tcPr>
            <w:tcW w:w="2409" w:type="dxa"/>
            <w:tcBorders>
              <w:top w:val="single" w:sz="4" w:space="0" w:color="auto"/>
              <w:bottom w:val="single" w:sz="4" w:space="0" w:color="auto"/>
            </w:tcBorders>
            <w:vAlign w:val="center"/>
          </w:tcPr>
          <w:p w14:paraId="172C0D25" w14:textId="58140000"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Private sectors and local units</w:t>
            </w:r>
          </w:p>
        </w:tc>
        <w:tc>
          <w:tcPr>
            <w:tcW w:w="2410" w:type="dxa"/>
            <w:tcBorders>
              <w:top w:val="single" w:sz="4" w:space="0" w:color="auto"/>
              <w:bottom w:val="single" w:sz="4" w:space="0" w:color="auto"/>
            </w:tcBorders>
            <w:vAlign w:val="center"/>
          </w:tcPr>
          <w:p w14:paraId="56EC2915" w14:textId="7A2C71D5"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To address policy and measure gaps, interventions should focus on strengthening evidence-based approaches, promoting interdisciplinary collaboration, and ensuring equitable access and implementation</w:t>
            </w:r>
          </w:p>
        </w:tc>
      </w:tr>
      <w:tr w:rsidR="004B15EB" w14:paraId="2932B499" w14:textId="3CF0E298"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1137E858"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7</w:t>
            </w:r>
          </w:p>
        </w:tc>
        <w:tc>
          <w:tcPr>
            <w:tcW w:w="1519" w:type="dxa"/>
            <w:tcBorders>
              <w:top w:val="single" w:sz="4" w:space="0" w:color="auto"/>
              <w:bottom w:val="single" w:sz="4" w:space="0" w:color="auto"/>
            </w:tcBorders>
            <w:vAlign w:val="center"/>
          </w:tcPr>
          <w:p w14:paraId="28D9227E"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PNP</w:t>
            </w:r>
          </w:p>
        </w:tc>
        <w:tc>
          <w:tcPr>
            <w:tcW w:w="2409" w:type="dxa"/>
            <w:tcBorders>
              <w:top w:val="single" w:sz="4" w:space="0" w:color="auto"/>
              <w:bottom w:val="single" w:sz="4" w:space="0" w:color="auto"/>
            </w:tcBorders>
            <w:vAlign w:val="center"/>
          </w:tcPr>
          <w:p w14:paraId="2D0D058B" w14:textId="387E7546"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w:t>
            </w:r>
          </w:p>
        </w:tc>
        <w:tc>
          <w:tcPr>
            <w:tcW w:w="2409" w:type="dxa"/>
            <w:tcBorders>
              <w:top w:val="single" w:sz="4" w:space="0" w:color="auto"/>
              <w:bottom w:val="single" w:sz="4" w:space="0" w:color="auto"/>
            </w:tcBorders>
            <w:vAlign w:val="center"/>
          </w:tcPr>
          <w:p w14:paraId="679A6572" w14:textId="601008F4"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LGUs SUC, local communities, national agencies and foreign stakeholder</w:t>
            </w:r>
          </w:p>
        </w:tc>
        <w:tc>
          <w:tcPr>
            <w:tcW w:w="2410" w:type="dxa"/>
            <w:tcBorders>
              <w:top w:val="single" w:sz="4" w:space="0" w:color="auto"/>
              <w:bottom w:val="single" w:sz="4" w:space="0" w:color="auto"/>
            </w:tcBorders>
            <w:vAlign w:val="center"/>
          </w:tcPr>
          <w:p w14:paraId="0031C481" w14:textId="706C4706"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Law enforcement gaps, inter-agency gaps and coordination gaps, there is a need to establish a robust law enforcement and coordination policies to effectively enforce relevant laws and ordinances</w:t>
            </w:r>
          </w:p>
        </w:tc>
      </w:tr>
      <w:tr w:rsidR="004B15EB" w14:paraId="67DC6DF6" w14:textId="104C2FD4"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19471C37"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8</w:t>
            </w:r>
          </w:p>
        </w:tc>
        <w:tc>
          <w:tcPr>
            <w:tcW w:w="1519" w:type="dxa"/>
            <w:tcBorders>
              <w:top w:val="single" w:sz="4" w:space="0" w:color="auto"/>
              <w:bottom w:val="single" w:sz="4" w:space="0" w:color="auto"/>
            </w:tcBorders>
            <w:vAlign w:val="center"/>
          </w:tcPr>
          <w:p w14:paraId="58121A29"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Academe</w:t>
            </w:r>
          </w:p>
        </w:tc>
        <w:tc>
          <w:tcPr>
            <w:tcW w:w="2409" w:type="dxa"/>
            <w:tcBorders>
              <w:top w:val="single" w:sz="4" w:space="0" w:color="auto"/>
              <w:bottom w:val="single" w:sz="4" w:space="0" w:color="auto"/>
            </w:tcBorders>
            <w:vAlign w:val="center"/>
          </w:tcPr>
          <w:p w14:paraId="498268DE" w14:textId="18673133"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w:t>
            </w:r>
          </w:p>
        </w:tc>
        <w:tc>
          <w:tcPr>
            <w:tcW w:w="2409" w:type="dxa"/>
            <w:tcBorders>
              <w:top w:val="single" w:sz="4" w:space="0" w:color="auto"/>
              <w:bottom w:val="single" w:sz="4" w:space="0" w:color="auto"/>
            </w:tcBorders>
            <w:vAlign w:val="center"/>
          </w:tcPr>
          <w:p w14:paraId="2AFDDB8D" w14:textId="6CDC6CC4"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MPA management board. Dive professionals, resort owners, fisherfolk, freedivers, boat operators</w:t>
            </w:r>
          </w:p>
        </w:tc>
        <w:tc>
          <w:tcPr>
            <w:tcW w:w="2410" w:type="dxa"/>
            <w:tcBorders>
              <w:top w:val="single" w:sz="4" w:space="0" w:color="auto"/>
              <w:bottom w:val="single" w:sz="4" w:space="0" w:color="auto"/>
            </w:tcBorders>
            <w:vAlign w:val="center"/>
          </w:tcPr>
          <w:p w14:paraId="55D39CE0" w14:textId="0E7E8CBB" w:rsidR="004B15EB" w:rsidRPr="00AA68B6" w:rsidRDefault="008E0218"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Enforcement of rules inside MPAs. Implementation of existing policies and workplans.</w:t>
            </w:r>
          </w:p>
        </w:tc>
      </w:tr>
      <w:tr w:rsidR="004B15EB" w14:paraId="530263C6" w14:textId="323622CF"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nil"/>
            </w:tcBorders>
            <w:vAlign w:val="center"/>
          </w:tcPr>
          <w:p w14:paraId="0E7369FC"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9</w:t>
            </w:r>
          </w:p>
        </w:tc>
        <w:tc>
          <w:tcPr>
            <w:tcW w:w="1519" w:type="dxa"/>
            <w:tcBorders>
              <w:top w:val="single" w:sz="4" w:space="0" w:color="auto"/>
              <w:bottom w:val="nil"/>
            </w:tcBorders>
            <w:vAlign w:val="center"/>
          </w:tcPr>
          <w:p w14:paraId="7CB5A66F"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DENR PENRO Palawan</w:t>
            </w:r>
          </w:p>
        </w:tc>
        <w:tc>
          <w:tcPr>
            <w:tcW w:w="2409" w:type="dxa"/>
            <w:tcBorders>
              <w:top w:val="single" w:sz="4" w:space="0" w:color="auto"/>
              <w:bottom w:val="nil"/>
            </w:tcBorders>
            <w:vAlign w:val="center"/>
          </w:tcPr>
          <w:p w14:paraId="5FBEF1E0" w14:textId="36016E2A"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but needs harmonization</w:t>
            </w:r>
          </w:p>
        </w:tc>
        <w:tc>
          <w:tcPr>
            <w:tcW w:w="2409" w:type="dxa"/>
            <w:tcBorders>
              <w:top w:val="single" w:sz="4" w:space="0" w:color="auto"/>
              <w:bottom w:val="nil"/>
            </w:tcBorders>
            <w:vAlign w:val="center"/>
          </w:tcPr>
          <w:p w14:paraId="3B51FA76" w14:textId="389953B9" w:rsidR="004B15EB" w:rsidRPr="00AA68B6" w:rsidRDefault="008E0218"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 – MFI and WWF; conduct various CEPA and other behavioral change strategies in the local communities within PA</w:t>
            </w:r>
          </w:p>
        </w:tc>
        <w:tc>
          <w:tcPr>
            <w:tcW w:w="2410" w:type="dxa"/>
            <w:tcBorders>
              <w:top w:val="single" w:sz="4" w:space="0" w:color="auto"/>
              <w:bottom w:val="nil"/>
            </w:tcBorders>
            <w:vAlign w:val="center"/>
          </w:tcPr>
          <w:p w14:paraId="61E23EA8"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r>
      <w:tr w:rsidR="004B15EB" w14:paraId="45827A40" w14:textId="3F8A9C9B" w:rsidTr="00214728">
        <w:tc>
          <w:tcPr>
            <w:cnfStyle w:val="001000000000" w:firstRow="0" w:lastRow="0" w:firstColumn="1" w:lastColumn="0" w:oddVBand="0" w:evenVBand="0" w:oddHBand="0" w:evenHBand="0" w:firstRowFirstColumn="0" w:firstRowLastColumn="0" w:lastRowFirstColumn="0" w:lastRowLastColumn="0"/>
            <w:tcW w:w="603" w:type="dxa"/>
            <w:tcBorders>
              <w:top w:val="nil"/>
              <w:bottom w:val="single" w:sz="4" w:space="0" w:color="auto"/>
            </w:tcBorders>
            <w:vAlign w:val="center"/>
          </w:tcPr>
          <w:p w14:paraId="1DBA73C8"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10</w:t>
            </w:r>
          </w:p>
        </w:tc>
        <w:tc>
          <w:tcPr>
            <w:tcW w:w="1519" w:type="dxa"/>
            <w:tcBorders>
              <w:top w:val="nil"/>
              <w:bottom w:val="single" w:sz="4" w:space="0" w:color="auto"/>
            </w:tcBorders>
            <w:vAlign w:val="center"/>
          </w:tcPr>
          <w:p w14:paraId="14F872C3"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DENR CENRO</w:t>
            </w:r>
          </w:p>
        </w:tc>
        <w:tc>
          <w:tcPr>
            <w:tcW w:w="2409" w:type="dxa"/>
            <w:tcBorders>
              <w:top w:val="nil"/>
              <w:bottom w:val="single" w:sz="4" w:space="0" w:color="auto"/>
            </w:tcBorders>
            <w:vAlign w:val="center"/>
          </w:tcPr>
          <w:p w14:paraId="1A5751AC" w14:textId="72468E78"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Yes</w:t>
            </w:r>
          </w:p>
        </w:tc>
        <w:tc>
          <w:tcPr>
            <w:tcW w:w="2409" w:type="dxa"/>
            <w:tcBorders>
              <w:top w:val="nil"/>
              <w:bottom w:val="single" w:sz="4" w:space="0" w:color="auto"/>
            </w:tcBorders>
            <w:vAlign w:val="center"/>
          </w:tcPr>
          <w:p w14:paraId="22E4FB1E" w14:textId="1C827B30"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 xml:space="preserve">Community-Based Forest Management PO of </w:t>
            </w:r>
            <w:proofErr w:type="spellStart"/>
            <w:r w:rsidRPr="00AA68B6">
              <w:rPr>
                <w:rFonts w:eastAsia="Aptos"/>
                <w:sz w:val="18"/>
                <w:szCs w:val="18"/>
                <w:lang w:val="en-ID" w:eastAsia="en-PH"/>
              </w:rPr>
              <w:t>Brgy</w:t>
            </w:r>
            <w:proofErr w:type="spellEnd"/>
            <w:r w:rsidRPr="00AA68B6">
              <w:rPr>
                <w:rFonts w:eastAsia="Aptos"/>
                <w:sz w:val="18"/>
                <w:szCs w:val="18"/>
                <w:lang w:val="en-ID" w:eastAsia="en-PH"/>
              </w:rPr>
              <w:t xml:space="preserve">. </w:t>
            </w:r>
            <w:proofErr w:type="spellStart"/>
            <w:r w:rsidRPr="00AA68B6">
              <w:rPr>
                <w:rFonts w:eastAsia="Aptos"/>
                <w:sz w:val="18"/>
                <w:szCs w:val="18"/>
                <w:lang w:val="en-ID" w:eastAsia="en-PH"/>
              </w:rPr>
              <w:t>Pansol</w:t>
            </w:r>
            <w:proofErr w:type="spellEnd"/>
            <w:r w:rsidRPr="00AA68B6">
              <w:rPr>
                <w:rFonts w:eastAsia="Aptos"/>
                <w:sz w:val="18"/>
                <w:szCs w:val="18"/>
                <w:lang w:val="en-ID" w:eastAsia="en-PH"/>
              </w:rPr>
              <w:t xml:space="preserve"> and </w:t>
            </w:r>
            <w:proofErr w:type="spellStart"/>
            <w:r w:rsidRPr="00AA68B6">
              <w:rPr>
                <w:rFonts w:eastAsia="Aptos"/>
                <w:sz w:val="18"/>
                <w:szCs w:val="18"/>
                <w:lang w:val="en-ID" w:eastAsia="en-PH"/>
              </w:rPr>
              <w:t>Brgy</w:t>
            </w:r>
            <w:proofErr w:type="spellEnd"/>
            <w:r w:rsidRPr="00AA68B6">
              <w:rPr>
                <w:rFonts w:eastAsia="Aptos"/>
                <w:sz w:val="18"/>
                <w:szCs w:val="18"/>
                <w:lang w:val="en-ID" w:eastAsia="en-PH"/>
              </w:rPr>
              <w:t xml:space="preserve">. Bato </w:t>
            </w:r>
            <w:r w:rsidRPr="00AA68B6">
              <w:rPr>
                <w:rFonts w:eastAsia="Aptos"/>
                <w:sz w:val="18"/>
                <w:szCs w:val="18"/>
                <w:lang w:val="en-ID" w:eastAsia="en-PH"/>
              </w:rPr>
              <w:lastRenderedPageBreak/>
              <w:t>(Involved in the PAMP updating)</w:t>
            </w:r>
          </w:p>
        </w:tc>
        <w:tc>
          <w:tcPr>
            <w:tcW w:w="2410" w:type="dxa"/>
            <w:tcBorders>
              <w:top w:val="nil"/>
              <w:bottom w:val="single" w:sz="4" w:space="0" w:color="auto"/>
            </w:tcBorders>
            <w:vAlign w:val="center"/>
          </w:tcPr>
          <w:p w14:paraId="43A6BD86" w14:textId="07550879"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lastRenderedPageBreak/>
              <w:t xml:space="preserve">Needs intervention on the implementation of policies and measures specially in the </w:t>
            </w:r>
            <w:r w:rsidRPr="00AA68B6">
              <w:rPr>
                <w:rFonts w:eastAsia="Aptos"/>
                <w:sz w:val="18"/>
                <w:szCs w:val="18"/>
                <w:lang w:val="en-ID" w:eastAsia="en-PH"/>
              </w:rPr>
              <w:lastRenderedPageBreak/>
              <w:t>enforcement side of the implementing agency (ex. Organization of enforcement team of MSPLS together with the related agencies within the MPA)</w:t>
            </w:r>
          </w:p>
        </w:tc>
      </w:tr>
      <w:tr w:rsidR="004B15EB" w14:paraId="6A715FD1" w14:textId="6EC1A800" w:rsidTr="002147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4" w:space="0" w:color="auto"/>
            </w:tcBorders>
            <w:vAlign w:val="center"/>
          </w:tcPr>
          <w:p w14:paraId="3998C69D"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11</w:t>
            </w:r>
          </w:p>
        </w:tc>
        <w:tc>
          <w:tcPr>
            <w:tcW w:w="1519" w:type="dxa"/>
            <w:tcBorders>
              <w:top w:val="single" w:sz="4" w:space="0" w:color="auto"/>
              <w:bottom w:val="single" w:sz="4" w:space="0" w:color="auto"/>
            </w:tcBorders>
            <w:vAlign w:val="center"/>
          </w:tcPr>
          <w:p w14:paraId="350834F3" w14:textId="77777777" w:rsidR="004B15EB" w:rsidRPr="00AA68B6" w:rsidRDefault="004B15EB"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LGU Busuanga</w:t>
            </w:r>
          </w:p>
        </w:tc>
        <w:tc>
          <w:tcPr>
            <w:tcW w:w="2409" w:type="dxa"/>
            <w:tcBorders>
              <w:top w:val="single" w:sz="4" w:space="0" w:color="auto"/>
              <w:bottom w:val="single" w:sz="4" w:space="0" w:color="auto"/>
            </w:tcBorders>
            <w:vAlign w:val="center"/>
          </w:tcPr>
          <w:p w14:paraId="16E425CC" w14:textId="06AECDCB" w:rsidR="004B15EB" w:rsidRPr="00AA68B6" w:rsidRDefault="00F44D3E"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It should be. Some policies and prioritization still overlap with various agencies such as PCSD, DENR, BFAR, MAO, and MENRO</w:t>
            </w:r>
          </w:p>
        </w:tc>
        <w:tc>
          <w:tcPr>
            <w:tcW w:w="2409" w:type="dxa"/>
            <w:tcBorders>
              <w:top w:val="single" w:sz="4" w:space="0" w:color="auto"/>
              <w:bottom w:val="single" w:sz="4" w:space="0" w:color="auto"/>
            </w:tcBorders>
            <w:vAlign w:val="center"/>
          </w:tcPr>
          <w:p w14:paraId="498ABC94" w14:textId="3EFE3170" w:rsidR="004B15EB" w:rsidRPr="00AA68B6" w:rsidRDefault="00F44D3E" w:rsidP="0021472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Women’s Youth MFARMC IP Business Sector Tourism Sector NGO specialized on Environmental Management</w:t>
            </w:r>
          </w:p>
        </w:tc>
        <w:tc>
          <w:tcPr>
            <w:tcW w:w="2410" w:type="dxa"/>
            <w:tcBorders>
              <w:top w:val="single" w:sz="4" w:space="0" w:color="auto"/>
              <w:bottom w:val="single" w:sz="4" w:space="0" w:color="auto"/>
            </w:tcBorders>
            <w:vAlign w:val="center"/>
          </w:tcPr>
          <w:p w14:paraId="15BED14F" w14:textId="77777777" w:rsidR="004B15EB" w:rsidRPr="00AA68B6" w:rsidRDefault="00F44D3E">
            <w:pPr>
              <w:pStyle w:val="ListParagraph"/>
              <w:numPr>
                <w:ilvl w:val="0"/>
                <w:numId w:val="70"/>
              </w:numPr>
              <w:spacing w:line="276" w:lineRule="auto"/>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All existing policies should be reviewed</w:t>
            </w:r>
          </w:p>
          <w:p w14:paraId="1656FE8A" w14:textId="5F8280F1" w:rsidR="00F44D3E" w:rsidRPr="00AA68B6" w:rsidRDefault="00F44D3E">
            <w:pPr>
              <w:pStyle w:val="ListParagraph"/>
              <w:numPr>
                <w:ilvl w:val="0"/>
                <w:numId w:val="70"/>
              </w:numPr>
              <w:spacing w:line="276" w:lineRule="auto"/>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Align the policies to complement with international, national, and other relevant policies</w:t>
            </w:r>
          </w:p>
        </w:tc>
      </w:tr>
      <w:tr w:rsidR="004B15EB" w14:paraId="6922C940" w14:textId="226FB566" w:rsidTr="00214728">
        <w:tc>
          <w:tcPr>
            <w:cnfStyle w:val="001000000000" w:firstRow="0" w:lastRow="0" w:firstColumn="1" w:lastColumn="0" w:oddVBand="0" w:evenVBand="0" w:oddHBand="0" w:evenHBand="0" w:firstRowFirstColumn="0" w:firstRowLastColumn="0" w:lastRowFirstColumn="0" w:lastRowLastColumn="0"/>
            <w:tcW w:w="603" w:type="dxa"/>
            <w:tcBorders>
              <w:top w:val="single" w:sz="4" w:space="0" w:color="auto"/>
              <w:bottom w:val="single" w:sz="12" w:space="0" w:color="auto"/>
            </w:tcBorders>
            <w:vAlign w:val="center"/>
          </w:tcPr>
          <w:p w14:paraId="1A75BDE7" w14:textId="77777777" w:rsidR="004B15EB" w:rsidRPr="00AA68B6" w:rsidRDefault="004B15EB" w:rsidP="00214728">
            <w:pPr>
              <w:spacing w:line="276" w:lineRule="auto"/>
              <w:ind w:firstLine="0"/>
              <w:jc w:val="center"/>
              <w:rPr>
                <w:rFonts w:eastAsia="Aptos"/>
                <w:sz w:val="18"/>
                <w:szCs w:val="18"/>
                <w:lang w:val="en-ID" w:eastAsia="en-PH"/>
              </w:rPr>
            </w:pPr>
            <w:r w:rsidRPr="00AA68B6">
              <w:rPr>
                <w:rFonts w:eastAsia="Aptos"/>
                <w:sz w:val="18"/>
                <w:szCs w:val="18"/>
                <w:lang w:val="en-ID" w:eastAsia="en-PH"/>
              </w:rPr>
              <w:t>12</w:t>
            </w:r>
          </w:p>
        </w:tc>
        <w:tc>
          <w:tcPr>
            <w:tcW w:w="1519" w:type="dxa"/>
            <w:tcBorders>
              <w:top w:val="single" w:sz="4" w:space="0" w:color="auto"/>
              <w:bottom w:val="single" w:sz="12" w:space="0" w:color="auto"/>
            </w:tcBorders>
            <w:vAlign w:val="center"/>
          </w:tcPr>
          <w:p w14:paraId="32030CC1" w14:textId="77777777" w:rsidR="004B15EB" w:rsidRPr="00AA68B6" w:rsidRDefault="004B15EB"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PGENRO Palawan</w:t>
            </w:r>
          </w:p>
        </w:tc>
        <w:tc>
          <w:tcPr>
            <w:tcW w:w="2409" w:type="dxa"/>
            <w:tcBorders>
              <w:top w:val="single" w:sz="4" w:space="0" w:color="auto"/>
              <w:bottom w:val="single" w:sz="12" w:space="0" w:color="auto"/>
            </w:tcBorders>
            <w:vAlign w:val="center"/>
          </w:tcPr>
          <w:p w14:paraId="3A0D06AE" w14:textId="30C8235F"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c>
          <w:tcPr>
            <w:tcW w:w="2409" w:type="dxa"/>
            <w:tcBorders>
              <w:top w:val="single" w:sz="4" w:space="0" w:color="auto"/>
              <w:bottom w:val="single" w:sz="12" w:space="0" w:color="auto"/>
            </w:tcBorders>
            <w:vAlign w:val="center"/>
          </w:tcPr>
          <w:p w14:paraId="20C60E64" w14:textId="7580FBD1"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c>
          <w:tcPr>
            <w:tcW w:w="2410" w:type="dxa"/>
            <w:tcBorders>
              <w:top w:val="single" w:sz="4" w:space="0" w:color="auto"/>
              <w:bottom w:val="single" w:sz="12" w:space="0" w:color="auto"/>
            </w:tcBorders>
            <w:vAlign w:val="center"/>
          </w:tcPr>
          <w:p w14:paraId="328EC58D" w14:textId="48FDECBF" w:rsidR="004B15EB" w:rsidRPr="00AA68B6" w:rsidRDefault="00F44D3E" w:rsidP="0021472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AA68B6">
              <w:rPr>
                <w:rFonts w:eastAsia="Aptos"/>
                <w:sz w:val="18"/>
                <w:szCs w:val="18"/>
                <w:lang w:val="en-ID" w:eastAsia="en-PH"/>
              </w:rPr>
              <w:t>Answers to follow</w:t>
            </w:r>
          </w:p>
        </w:tc>
      </w:tr>
    </w:tbl>
    <w:p w14:paraId="608CF120" w14:textId="1A0B4FEA" w:rsidR="00214728" w:rsidRDefault="00214728" w:rsidP="00214728">
      <w:pPr>
        <w:spacing w:before="240" w:line="278" w:lineRule="auto"/>
        <w:ind w:firstLine="0"/>
        <w:rPr>
          <w:rFonts w:eastAsia="Aptos"/>
          <w:iCs/>
          <w:sz w:val="18"/>
          <w:szCs w:val="18"/>
          <w:lang w:val="en-ID" w:eastAsia="en-PH"/>
        </w:rPr>
      </w:pPr>
      <w:r w:rsidRPr="00214728">
        <w:rPr>
          <w:rFonts w:eastAsia="Aptos"/>
          <w:b/>
          <w:bCs/>
          <w:iCs/>
          <w:sz w:val="18"/>
          <w:szCs w:val="18"/>
          <w:lang w:val="en-ID" w:eastAsia="en-PH"/>
        </w:rPr>
        <w:t>Table 6.A.3</w:t>
      </w:r>
      <w:r w:rsidRPr="00214728">
        <w:rPr>
          <w:rFonts w:eastAsia="Aptos"/>
          <w:iCs/>
          <w:sz w:val="18"/>
          <w:szCs w:val="18"/>
          <w:lang w:val="en-ID" w:eastAsia="en-PH"/>
        </w:rPr>
        <w:t xml:space="preserve"> Governance Architecture Risk Ranking Guide (Fanning et al. 2017)</w:t>
      </w:r>
    </w:p>
    <w:tbl>
      <w:tblPr>
        <w:tblStyle w:val="TableGrid"/>
        <w:tblW w:w="0" w:type="auto"/>
        <w:tblLook w:val="04A0" w:firstRow="1" w:lastRow="0" w:firstColumn="1" w:lastColumn="0" w:noHBand="0" w:noVBand="1"/>
      </w:tblPr>
      <w:tblGrid>
        <w:gridCol w:w="1555"/>
        <w:gridCol w:w="2598"/>
        <w:gridCol w:w="2598"/>
        <w:gridCol w:w="2599"/>
      </w:tblGrid>
      <w:tr w:rsidR="00214728" w14:paraId="06812C4E" w14:textId="77777777" w:rsidTr="00214728">
        <w:tc>
          <w:tcPr>
            <w:tcW w:w="1555" w:type="dxa"/>
          </w:tcPr>
          <w:p w14:paraId="6E390646" w14:textId="0BA9EAAB"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Risk Rank</w:t>
            </w:r>
          </w:p>
        </w:tc>
        <w:tc>
          <w:tcPr>
            <w:tcW w:w="2598" w:type="dxa"/>
          </w:tcPr>
          <w:p w14:paraId="1CB2953B" w14:textId="2AECF3C8"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Completeness Range</w:t>
            </w:r>
          </w:p>
        </w:tc>
        <w:tc>
          <w:tcPr>
            <w:tcW w:w="2598" w:type="dxa"/>
          </w:tcPr>
          <w:p w14:paraId="0A13C9BC" w14:textId="21D2E626"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Integration Range</w:t>
            </w:r>
          </w:p>
        </w:tc>
        <w:tc>
          <w:tcPr>
            <w:tcW w:w="2599" w:type="dxa"/>
          </w:tcPr>
          <w:p w14:paraId="342EE7D9" w14:textId="26FE6ACF"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Engagement Range</w:t>
            </w:r>
          </w:p>
        </w:tc>
      </w:tr>
      <w:tr w:rsidR="00214728" w14:paraId="377905EA" w14:textId="77777777" w:rsidTr="00214728">
        <w:tc>
          <w:tcPr>
            <w:tcW w:w="1555" w:type="dxa"/>
            <w:shd w:val="clear" w:color="auto" w:fill="A5C9EB" w:themeFill="text2" w:themeFillTint="40"/>
          </w:tcPr>
          <w:p w14:paraId="248D4FDB" w14:textId="3BE2BD9F"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Very Low</w:t>
            </w:r>
          </w:p>
        </w:tc>
        <w:tc>
          <w:tcPr>
            <w:tcW w:w="2598" w:type="dxa"/>
            <w:vAlign w:val="center"/>
          </w:tcPr>
          <w:p w14:paraId="5C3D3BC8" w14:textId="482540C8"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80-100%</w:t>
            </w:r>
          </w:p>
        </w:tc>
        <w:tc>
          <w:tcPr>
            <w:tcW w:w="2598" w:type="dxa"/>
            <w:vAlign w:val="center"/>
          </w:tcPr>
          <w:p w14:paraId="342B3C7A" w14:textId="4E670FEC"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0.8-1.0</w:t>
            </w:r>
          </w:p>
        </w:tc>
        <w:tc>
          <w:tcPr>
            <w:tcW w:w="2599" w:type="dxa"/>
            <w:vAlign w:val="center"/>
          </w:tcPr>
          <w:p w14:paraId="79BBDF78" w14:textId="4C20A36A"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80-100%</w:t>
            </w:r>
          </w:p>
        </w:tc>
      </w:tr>
      <w:tr w:rsidR="00214728" w14:paraId="795A2AB6" w14:textId="77777777" w:rsidTr="00214728">
        <w:tc>
          <w:tcPr>
            <w:tcW w:w="1555" w:type="dxa"/>
            <w:shd w:val="clear" w:color="auto" w:fill="92D050"/>
          </w:tcPr>
          <w:p w14:paraId="38E4BDA5" w14:textId="5DBA2431"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Low</w:t>
            </w:r>
          </w:p>
        </w:tc>
        <w:tc>
          <w:tcPr>
            <w:tcW w:w="2598" w:type="dxa"/>
            <w:vAlign w:val="center"/>
          </w:tcPr>
          <w:p w14:paraId="3A4C4267" w14:textId="39F48859"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60-80%</w:t>
            </w:r>
          </w:p>
        </w:tc>
        <w:tc>
          <w:tcPr>
            <w:tcW w:w="2598" w:type="dxa"/>
            <w:vAlign w:val="center"/>
          </w:tcPr>
          <w:p w14:paraId="1A9C2CA2" w14:textId="1B4F5B1C"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0.6-0.8</w:t>
            </w:r>
          </w:p>
        </w:tc>
        <w:tc>
          <w:tcPr>
            <w:tcW w:w="2599" w:type="dxa"/>
            <w:vAlign w:val="center"/>
          </w:tcPr>
          <w:p w14:paraId="7468F3B4" w14:textId="1B29F8BF"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60-80%</w:t>
            </w:r>
          </w:p>
        </w:tc>
      </w:tr>
      <w:tr w:rsidR="00214728" w14:paraId="71F2389D" w14:textId="77777777" w:rsidTr="00214728">
        <w:tc>
          <w:tcPr>
            <w:tcW w:w="1555" w:type="dxa"/>
            <w:shd w:val="clear" w:color="auto" w:fill="FFFF00"/>
          </w:tcPr>
          <w:p w14:paraId="13257EBB" w14:textId="18126BBA"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Medium</w:t>
            </w:r>
          </w:p>
        </w:tc>
        <w:tc>
          <w:tcPr>
            <w:tcW w:w="2598" w:type="dxa"/>
            <w:vAlign w:val="center"/>
          </w:tcPr>
          <w:p w14:paraId="207B9417" w14:textId="26F35F50"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40-60%</w:t>
            </w:r>
          </w:p>
        </w:tc>
        <w:tc>
          <w:tcPr>
            <w:tcW w:w="2598" w:type="dxa"/>
            <w:vAlign w:val="center"/>
          </w:tcPr>
          <w:p w14:paraId="3FED0D1F" w14:textId="3B1528BB"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0.4-0.6</w:t>
            </w:r>
          </w:p>
        </w:tc>
        <w:tc>
          <w:tcPr>
            <w:tcW w:w="2599" w:type="dxa"/>
            <w:vAlign w:val="center"/>
          </w:tcPr>
          <w:p w14:paraId="041D4524" w14:textId="343865B2"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40-60%</w:t>
            </w:r>
          </w:p>
        </w:tc>
      </w:tr>
      <w:tr w:rsidR="00214728" w14:paraId="4774D7A0" w14:textId="77777777" w:rsidTr="00214728">
        <w:tc>
          <w:tcPr>
            <w:tcW w:w="1555" w:type="dxa"/>
            <w:shd w:val="clear" w:color="auto" w:fill="FFC000"/>
          </w:tcPr>
          <w:p w14:paraId="7472C443" w14:textId="6016FF2E"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High</w:t>
            </w:r>
          </w:p>
        </w:tc>
        <w:tc>
          <w:tcPr>
            <w:tcW w:w="2598" w:type="dxa"/>
            <w:vAlign w:val="center"/>
          </w:tcPr>
          <w:p w14:paraId="71E02776" w14:textId="30FE6C65"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20-40%</w:t>
            </w:r>
          </w:p>
        </w:tc>
        <w:tc>
          <w:tcPr>
            <w:tcW w:w="2598" w:type="dxa"/>
            <w:vAlign w:val="center"/>
          </w:tcPr>
          <w:p w14:paraId="3F56D413" w14:textId="35C85677"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0.2-0.4</w:t>
            </w:r>
          </w:p>
        </w:tc>
        <w:tc>
          <w:tcPr>
            <w:tcW w:w="2599" w:type="dxa"/>
            <w:vAlign w:val="center"/>
          </w:tcPr>
          <w:p w14:paraId="0112C0A3" w14:textId="72A21AE1"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20-40%</w:t>
            </w:r>
          </w:p>
        </w:tc>
      </w:tr>
      <w:tr w:rsidR="00214728" w14:paraId="43264449" w14:textId="77777777" w:rsidTr="00214728">
        <w:tc>
          <w:tcPr>
            <w:tcW w:w="1555" w:type="dxa"/>
            <w:shd w:val="clear" w:color="auto" w:fill="FF0000"/>
          </w:tcPr>
          <w:p w14:paraId="6880E79F" w14:textId="12EA4035" w:rsidR="00214728" w:rsidRPr="00214728" w:rsidRDefault="00214728" w:rsidP="00E16870">
            <w:pPr>
              <w:spacing w:line="276" w:lineRule="auto"/>
              <w:ind w:firstLine="0"/>
              <w:jc w:val="center"/>
              <w:rPr>
                <w:rFonts w:eastAsia="Aptos"/>
                <w:b/>
                <w:bCs/>
                <w:iCs/>
                <w:lang w:val="en-ID" w:eastAsia="en-PH"/>
              </w:rPr>
            </w:pPr>
            <w:r w:rsidRPr="00214728">
              <w:rPr>
                <w:rFonts w:eastAsia="Aptos"/>
                <w:b/>
                <w:bCs/>
                <w:iCs/>
                <w:lang w:val="en-ID" w:eastAsia="en-PH"/>
              </w:rPr>
              <w:t>Very High</w:t>
            </w:r>
          </w:p>
        </w:tc>
        <w:tc>
          <w:tcPr>
            <w:tcW w:w="2598" w:type="dxa"/>
            <w:vAlign w:val="center"/>
          </w:tcPr>
          <w:p w14:paraId="3442A38B" w14:textId="6DCBD087"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0-20%</w:t>
            </w:r>
          </w:p>
        </w:tc>
        <w:tc>
          <w:tcPr>
            <w:tcW w:w="2598" w:type="dxa"/>
            <w:vAlign w:val="center"/>
          </w:tcPr>
          <w:p w14:paraId="7B88CABB" w14:textId="61A9E679"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0.0-0.2</w:t>
            </w:r>
          </w:p>
        </w:tc>
        <w:tc>
          <w:tcPr>
            <w:tcW w:w="2599" w:type="dxa"/>
            <w:vAlign w:val="center"/>
          </w:tcPr>
          <w:p w14:paraId="49D673D3" w14:textId="4FEE12F0" w:rsidR="00214728" w:rsidRPr="00214728" w:rsidRDefault="00214728" w:rsidP="00E16870">
            <w:pPr>
              <w:spacing w:line="276" w:lineRule="auto"/>
              <w:ind w:firstLine="0"/>
              <w:jc w:val="center"/>
              <w:rPr>
                <w:rFonts w:eastAsia="Aptos"/>
                <w:iCs/>
                <w:lang w:val="en-ID" w:eastAsia="en-PH"/>
              </w:rPr>
            </w:pPr>
            <w:r w:rsidRPr="00214728">
              <w:rPr>
                <w:rFonts w:eastAsia="Aptos"/>
                <w:iCs/>
                <w:lang w:val="en-ID" w:eastAsia="en-PH"/>
              </w:rPr>
              <w:t>0-20%</w:t>
            </w:r>
          </w:p>
        </w:tc>
      </w:tr>
    </w:tbl>
    <w:p w14:paraId="77CAAD5A" w14:textId="77777777" w:rsidR="00214728" w:rsidRDefault="00214728" w:rsidP="00AA68B6">
      <w:pPr>
        <w:spacing w:line="278" w:lineRule="auto"/>
        <w:ind w:firstLine="0"/>
        <w:rPr>
          <w:rFonts w:eastAsia="Aptos"/>
          <w:iCs/>
          <w:sz w:val="18"/>
          <w:szCs w:val="18"/>
          <w:lang w:val="en-ID" w:eastAsia="en-PH"/>
        </w:rPr>
      </w:pPr>
    </w:p>
    <w:tbl>
      <w:tblPr>
        <w:tblStyle w:val="TableGrid"/>
        <w:tblW w:w="0" w:type="auto"/>
        <w:tblLook w:val="04A0" w:firstRow="1" w:lastRow="0" w:firstColumn="1" w:lastColumn="0" w:noHBand="0" w:noVBand="1"/>
      </w:tblPr>
      <w:tblGrid>
        <w:gridCol w:w="2337"/>
        <w:gridCol w:w="2337"/>
        <w:gridCol w:w="2338"/>
        <w:gridCol w:w="2338"/>
      </w:tblGrid>
      <w:tr w:rsidR="00214728" w14:paraId="51049171" w14:textId="77777777" w:rsidTr="00AA68B6">
        <w:trPr>
          <w:trHeight w:val="227"/>
        </w:trPr>
        <w:tc>
          <w:tcPr>
            <w:tcW w:w="2337" w:type="dxa"/>
            <w:vAlign w:val="center"/>
          </w:tcPr>
          <w:p w14:paraId="04F7C18C" w14:textId="4906FFB4" w:rsidR="00214728" w:rsidRPr="00AA68B6" w:rsidRDefault="00AA68B6" w:rsidP="00E16870">
            <w:pPr>
              <w:spacing w:line="276" w:lineRule="auto"/>
              <w:ind w:firstLine="0"/>
              <w:jc w:val="center"/>
              <w:rPr>
                <w:b/>
                <w:bCs/>
                <w:iCs/>
                <w:sz w:val="18"/>
                <w:szCs w:val="18"/>
              </w:rPr>
            </w:pPr>
            <w:r>
              <w:rPr>
                <w:b/>
                <w:bCs/>
                <w:iCs/>
                <w:sz w:val="18"/>
                <w:szCs w:val="18"/>
              </w:rPr>
              <w:t>Respondents</w:t>
            </w:r>
          </w:p>
        </w:tc>
        <w:tc>
          <w:tcPr>
            <w:tcW w:w="2337" w:type="dxa"/>
            <w:vAlign w:val="center"/>
          </w:tcPr>
          <w:p w14:paraId="2FC8C545" w14:textId="0A109845" w:rsidR="00214728" w:rsidRPr="00AA68B6" w:rsidRDefault="00AA68B6" w:rsidP="00E16870">
            <w:pPr>
              <w:spacing w:line="276" w:lineRule="auto"/>
              <w:ind w:firstLine="0"/>
              <w:jc w:val="center"/>
              <w:rPr>
                <w:b/>
                <w:bCs/>
                <w:iCs/>
                <w:sz w:val="18"/>
                <w:szCs w:val="18"/>
              </w:rPr>
            </w:pPr>
            <w:r w:rsidRPr="00AA68B6">
              <w:rPr>
                <w:b/>
                <w:bCs/>
                <w:iCs/>
                <w:sz w:val="18"/>
                <w:szCs w:val="18"/>
              </w:rPr>
              <w:t xml:space="preserve">Completeness </w:t>
            </w:r>
            <w:r w:rsidR="00214728" w:rsidRPr="00AA68B6">
              <w:rPr>
                <w:b/>
                <w:bCs/>
                <w:iCs/>
                <w:sz w:val="18"/>
                <w:szCs w:val="18"/>
              </w:rPr>
              <w:t>(6/11)</w:t>
            </w:r>
          </w:p>
        </w:tc>
        <w:tc>
          <w:tcPr>
            <w:tcW w:w="2338" w:type="dxa"/>
            <w:vAlign w:val="center"/>
          </w:tcPr>
          <w:p w14:paraId="4444A9E3" w14:textId="6B391751" w:rsidR="00214728" w:rsidRPr="00AA68B6" w:rsidRDefault="00AA68B6" w:rsidP="00E16870">
            <w:pPr>
              <w:spacing w:line="276" w:lineRule="auto"/>
              <w:ind w:firstLine="0"/>
              <w:jc w:val="center"/>
              <w:rPr>
                <w:b/>
                <w:bCs/>
                <w:iCs/>
                <w:sz w:val="18"/>
                <w:szCs w:val="18"/>
              </w:rPr>
            </w:pPr>
            <w:r w:rsidRPr="00AA68B6">
              <w:rPr>
                <w:b/>
                <w:bCs/>
                <w:iCs/>
                <w:sz w:val="18"/>
                <w:szCs w:val="18"/>
              </w:rPr>
              <w:t>Integration (10/11)</w:t>
            </w:r>
          </w:p>
        </w:tc>
        <w:tc>
          <w:tcPr>
            <w:tcW w:w="2338" w:type="dxa"/>
            <w:vAlign w:val="center"/>
          </w:tcPr>
          <w:p w14:paraId="19363E66" w14:textId="28C60C2C" w:rsidR="00214728" w:rsidRPr="00AA68B6" w:rsidRDefault="00AA68B6" w:rsidP="00E16870">
            <w:pPr>
              <w:spacing w:line="276" w:lineRule="auto"/>
              <w:ind w:firstLine="0"/>
              <w:jc w:val="center"/>
              <w:rPr>
                <w:b/>
                <w:bCs/>
                <w:iCs/>
                <w:sz w:val="18"/>
                <w:szCs w:val="18"/>
              </w:rPr>
            </w:pPr>
            <w:r w:rsidRPr="00AA68B6">
              <w:rPr>
                <w:b/>
                <w:bCs/>
                <w:iCs/>
                <w:sz w:val="18"/>
                <w:szCs w:val="18"/>
              </w:rPr>
              <w:t>Engagement (11/11)</w:t>
            </w:r>
          </w:p>
        </w:tc>
      </w:tr>
      <w:tr w:rsidR="00214728" w14:paraId="3652AF72" w14:textId="77777777" w:rsidTr="00AA68B6">
        <w:tc>
          <w:tcPr>
            <w:tcW w:w="2337" w:type="dxa"/>
            <w:vAlign w:val="center"/>
          </w:tcPr>
          <w:p w14:paraId="374C7358" w14:textId="4FBBD9BB" w:rsidR="00214728" w:rsidRDefault="00214728" w:rsidP="00E16870">
            <w:pPr>
              <w:spacing w:line="276" w:lineRule="auto"/>
              <w:ind w:firstLine="0"/>
              <w:jc w:val="left"/>
              <w:rPr>
                <w:iCs/>
                <w:sz w:val="18"/>
                <w:szCs w:val="18"/>
              </w:rPr>
            </w:pPr>
            <w:r>
              <w:rPr>
                <w:iCs/>
                <w:sz w:val="18"/>
                <w:szCs w:val="18"/>
              </w:rPr>
              <w:t>Stakeholders from the project sites</w:t>
            </w:r>
          </w:p>
        </w:tc>
        <w:tc>
          <w:tcPr>
            <w:tcW w:w="2337" w:type="dxa"/>
            <w:vAlign w:val="center"/>
          </w:tcPr>
          <w:p w14:paraId="0AF1C1E7" w14:textId="56E60346" w:rsidR="00214728" w:rsidRDefault="00214728" w:rsidP="00E16870">
            <w:pPr>
              <w:spacing w:line="276" w:lineRule="auto"/>
              <w:ind w:firstLine="0"/>
              <w:jc w:val="center"/>
              <w:rPr>
                <w:iCs/>
                <w:sz w:val="18"/>
                <w:szCs w:val="18"/>
              </w:rPr>
            </w:pPr>
            <w:r>
              <w:rPr>
                <w:iCs/>
                <w:sz w:val="18"/>
                <w:szCs w:val="18"/>
              </w:rPr>
              <w:t>54.5%</w:t>
            </w:r>
          </w:p>
        </w:tc>
        <w:tc>
          <w:tcPr>
            <w:tcW w:w="2338" w:type="dxa"/>
            <w:vAlign w:val="center"/>
          </w:tcPr>
          <w:p w14:paraId="77A8609B" w14:textId="574C91AD" w:rsidR="00214728" w:rsidRDefault="00214728" w:rsidP="00E16870">
            <w:pPr>
              <w:spacing w:line="276" w:lineRule="auto"/>
              <w:ind w:firstLine="0"/>
              <w:jc w:val="center"/>
              <w:rPr>
                <w:iCs/>
                <w:sz w:val="18"/>
                <w:szCs w:val="18"/>
              </w:rPr>
            </w:pPr>
            <w:r>
              <w:rPr>
                <w:iCs/>
                <w:sz w:val="18"/>
                <w:szCs w:val="18"/>
              </w:rPr>
              <w:t>90.9%</w:t>
            </w:r>
          </w:p>
        </w:tc>
        <w:tc>
          <w:tcPr>
            <w:tcW w:w="2338" w:type="dxa"/>
            <w:vAlign w:val="center"/>
          </w:tcPr>
          <w:p w14:paraId="118F022A" w14:textId="747C174F" w:rsidR="00214728" w:rsidRDefault="00214728" w:rsidP="00E16870">
            <w:pPr>
              <w:spacing w:line="276" w:lineRule="auto"/>
              <w:ind w:firstLine="0"/>
              <w:jc w:val="center"/>
              <w:rPr>
                <w:iCs/>
                <w:sz w:val="18"/>
                <w:szCs w:val="18"/>
              </w:rPr>
            </w:pPr>
            <w:r>
              <w:rPr>
                <w:iCs/>
                <w:sz w:val="18"/>
                <w:szCs w:val="18"/>
              </w:rPr>
              <w:t>100%</w:t>
            </w:r>
          </w:p>
        </w:tc>
      </w:tr>
      <w:tr w:rsidR="00214728" w14:paraId="21DAA2A8" w14:textId="77777777" w:rsidTr="00AA68B6">
        <w:tc>
          <w:tcPr>
            <w:tcW w:w="2337" w:type="dxa"/>
            <w:vAlign w:val="center"/>
          </w:tcPr>
          <w:p w14:paraId="1D216602" w14:textId="67C0B03F" w:rsidR="00214728" w:rsidRDefault="00214728" w:rsidP="00E16870">
            <w:pPr>
              <w:spacing w:line="276" w:lineRule="auto"/>
              <w:ind w:firstLine="0"/>
              <w:jc w:val="left"/>
              <w:rPr>
                <w:iCs/>
                <w:sz w:val="18"/>
                <w:szCs w:val="18"/>
              </w:rPr>
            </w:pPr>
            <w:r>
              <w:rPr>
                <w:iCs/>
                <w:sz w:val="18"/>
                <w:szCs w:val="18"/>
              </w:rPr>
              <w:t>Risk Rank</w:t>
            </w:r>
          </w:p>
        </w:tc>
        <w:tc>
          <w:tcPr>
            <w:tcW w:w="2337" w:type="dxa"/>
            <w:shd w:val="clear" w:color="auto" w:fill="FFFF00"/>
            <w:vAlign w:val="center"/>
          </w:tcPr>
          <w:p w14:paraId="25531A0B" w14:textId="18AE720E" w:rsidR="00214728" w:rsidRDefault="00214728" w:rsidP="00E16870">
            <w:pPr>
              <w:spacing w:line="276" w:lineRule="auto"/>
              <w:ind w:firstLine="0"/>
              <w:jc w:val="center"/>
              <w:rPr>
                <w:iCs/>
                <w:sz w:val="18"/>
                <w:szCs w:val="18"/>
              </w:rPr>
            </w:pPr>
            <w:r>
              <w:rPr>
                <w:iCs/>
                <w:sz w:val="18"/>
                <w:szCs w:val="18"/>
              </w:rPr>
              <w:t>Medium</w:t>
            </w:r>
          </w:p>
        </w:tc>
        <w:tc>
          <w:tcPr>
            <w:tcW w:w="2338" w:type="dxa"/>
            <w:shd w:val="clear" w:color="auto" w:fill="A5C9EB" w:themeFill="text2" w:themeFillTint="40"/>
            <w:vAlign w:val="center"/>
          </w:tcPr>
          <w:p w14:paraId="001ADE22" w14:textId="3BC85C0E" w:rsidR="00214728" w:rsidRDefault="00214728" w:rsidP="00E16870">
            <w:pPr>
              <w:spacing w:line="276" w:lineRule="auto"/>
              <w:ind w:firstLine="0"/>
              <w:jc w:val="center"/>
              <w:rPr>
                <w:iCs/>
                <w:sz w:val="18"/>
                <w:szCs w:val="18"/>
              </w:rPr>
            </w:pPr>
            <w:r>
              <w:rPr>
                <w:iCs/>
                <w:sz w:val="18"/>
                <w:szCs w:val="18"/>
              </w:rPr>
              <w:t>Very Low</w:t>
            </w:r>
          </w:p>
        </w:tc>
        <w:tc>
          <w:tcPr>
            <w:tcW w:w="2338" w:type="dxa"/>
            <w:shd w:val="clear" w:color="auto" w:fill="A5C9EB" w:themeFill="text2" w:themeFillTint="40"/>
            <w:vAlign w:val="center"/>
          </w:tcPr>
          <w:p w14:paraId="21C8726E" w14:textId="64B12001" w:rsidR="00214728" w:rsidRDefault="00214728" w:rsidP="00E16870">
            <w:pPr>
              <w:spacing w:line="276" w:lineRule="auto"/>
              <w:ind w:firstLine="0"/>
              <w:jc w:val="center"/>
              <w:rPr>
                <w:iCs/>
                <w:sz w:val="18"/>
                <w:szCs w:val="18"/>
              </w:rPr>
            </w:pPr>
            <w:r>
              <w:rPr>
                <w:iCs/>
                <w:sz w:val="18"/>
                <w:szCs w:val="18"/>
              </w:rPr>
              <w:t>Very Low</w:t>
            </w:r>
          </w:p>
        </w:tc>
      </w:tr>
    </w:tbl>
    <w:p w14:paraId="73B41C54" w14:textId="5FAFB8C0" w:rsidR="00AA68B6" w:rsidRDefault="000D52D7" w:rsidP="000D52D7">
      <w:r>
        <w:br w:type="page"/>
      </w:r>
    </w:p>
    <w:p w14:paraId="06983FB8" w14:textId="25609547" w:rsidR="00214728" w:rsidRDefault="00F467CC" w:rsidP="00AA68B6">
      <w:pPr>
        <w:pStyle w:val="Heading2"/>
        <w:spacing w:before="240" w:line="278" w:lineRule="auto"/>
        <w:jc w:val="center"/>
      </w:pPr>
      <w:bookmarkStart w:id="18" w:name="_Toc215447068"/>
      <w:r>
        <w:lastRenderedPageBreak/>
        <w:t>Annex 6</w:t>
      </w:r>
      <w:r w:rsidR="00AA68B6" w:rsidRPr="00AA68B6">
        <w:t>.B SCS-SAP Project Sites</w:t>
      </w:r>
      <w:bookmarkEnd w:id="18"/>
    </w:p>
    <w:p w14:paraId="60B0C753" w14:textId="486DD51A" w:rsidR="00E16870" w:rsidRPr="00E16870" w:rsidRDefault="00E16870" w:rsidP="00E16870">
      <w:pPr>
        <w:ind w:firstLine="0"/>
        <w:rPr>
          <w:sz w:val="18"/>
          <w:szCs w:val="18"/>
        </w:rPr>
      </w:pPr>
      <w:r w:rsidRPr="00E16870">
        <w:rPr>
          <w:b/>
          <w:bCs/>
          <w:sz w:val="18"/>
          <w:szCs w:val="18"/>
        </w:rPr>
        <w:t>Table 6.B.1.</w:t>
      </w:r>
      <w:r w:rsidRPr="00E16870">
        <w:rPr>
          <w:sz w:val="18"/>
          <w:szCs w:val="18"/>
        </w:rPr>
        <w:t xml:space="preserve"> List of SCS-SAP Project Sites</w:t>
      </w:r>
    </w:p>
    <w:tbl>
      <w:tblPr>
        <w:tblStyle w:val="PlainTable2"/>
        <w:tblW w:w="0" w:type="auto"/>
        <w:tblBorders>
          <w:top w:val="single" w:sz="12" w:space="0" w:color="auto"/>
          <w:bottom w:val="single" w:sz="12" w:space="0" w:color="auto"/>
          <w:insideH w:val="single" w:sz="4" w:space="0" w:color="7F7F7F" w:themeColor="text1" w:themeTint="80"/>
        </w:tblBorders>
        <w:tblLook w:val="04A0" w:firstRow="1" w:lastRow="0" w:firstColumn="1" w:lastColumn="0" w:noHBand="0" w:noVBand="1"/>
      </w:tblPr>
      <w:tblGrid>
        <w:gridCol w:w="2337"/>
        <w:gridCol w:w="2337"/>
        <w:gridCol w:w="2338"/>
        <w:gridCol w:w="2338"/>
      </w:tblGrid>
      <w:tr w:rsidR="00AA68B6" w:rsidRPr="00443F2B" w14:paraId="5BA9DDED" w14:textId="77777777" w:rsidTr="00AA68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Borders>
              <w:top w:val="single" w:sz="12" w:space="0" w:color="auto"/>
              <w:bottom w:val="single" w:sz="12" w:space="0" w:color="auto"/>
            </w:tcBorders>
            <w:vAlign w:val="center"/>
          </w:tcPr>
          <w:p w14:paraId="6CD0344D" w14:textId="77777777" w:rsidR="00AA68B6" w:rsidRPr="00AA68B6" w:rsidRDefault="00AA68B6" w:rsidP="00E16870">
            <w:pPr>
              <w:spacing w:line="276" w:lineRule="auto"/>
              <w:ind w:firstLine="0"/>
              <w:jc w:val="center"/>
              <w:rPr>
                <w:rFonts w:eastAsia="Aptos"/>
                <w:b w:val="0"/>
                <w:bCs w:val="0"/>
                <w:lang w:val="en-ID" w:eastAsia="en-PH"/>
              </w:rPr>
            </w:pPr>
            <w:r w:rsidRPr="00AA68B6">
              <w:rPr>
                <w:rFonts w:eastAsia="Aptos"/>
                <w:lang w:val="en-ID" w:eastAsia="en-PH"/>
              </w:rPr>
              <w:t>Province</w:t>
            </w:r>
          </w:p>
        </w:tc>
        <w:tc>
          <w:tcPr>
            <w:tcW w:w="2337" w:type="dxa"/>
            <w:tcBorders>
              <w:top w:val="single" w:sz="12" w:space="0" w:color="auto"/>
              <w:bottom w:val="single" w:sz="12" w:space="0" w:color="auto"/>
            </w:tcBorders>
            <w:vAlign w:val="center"/>
          </w:tcPr>
          <w:p w14:paraId="0A736F74" w14:textId="77777777" w:rsidR="00AA68B6" w:rsidRPr="00AA68B6" w:rsidRDefault="00AA68B6" w:rsidP="00E1687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lang w:val="en-ID" w:eastAsia="en-PH"/>
              </w:rPr>
            </w:pPr>
            <w:r w:rsidRPr="00AA68B6">
              <w:rPr>
                <w:rFonts w:eastAsia="Aptos"/>
                <w:lang w:val="en-ID" w:eastAsia="en-PH"/>
              </w:rPr>
              <w:t>Population</w:t>
            </w:r>
          </w:p>
        </w:tc>
        <w:tc>
          <w:tcPr>
            <w:tcW w:w="2338" w:type="dxa"/>
            <w:tcBorders>
              <w:top w:val="single" w:sz="12" w:space="0" w:color="auto"/>
              <w:bottom w:val="single" w:sz="12" w:space="0" w:color="auto"/>
            </w:tcBorders>
            <w:vAlign w:val="center"/>
          </w:tcPr>
          <w:p w14:paraId="098763D3" w14:textId="77777777" w:rsidR="00AA68B6" w:rsidRPr="00AA68B6" w:rsidRDefault="00AA68B6" w:rsidP="00E1687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lang w:val="en-ID" w:eastAsia="en-PH"/>
              </w:rPr>
            </w:pPr>
            <w:r w:rsidRPr="00AA68B6">
              <w:rPr>
                <w:rFonts w:eastAsia="Aptos"/>
                <w:lang w:val="en-ID" w:eastAsia="en-PH"/>
              </w:rPr>
              <w:t>City/Municipality</w:t>
            </w:r>
          </w:p>
        </w:tc>
        <w:tc>
          <w:tcPr>
            <w:tcW w:w="2338" w:type="dxa"/>
            <w:tcBorders>
              <w:top w:val="single" w:sz="12" w:space="0" w:color="auto"/>
              <w:bottom w:val="single" w:sz="12" w:space="0" w:color="auto"/>
            </w:tcBorders>
            <w:vAlign w:val="center"/>
          </w:tcPr>
          <w:p w14:paraId="2A0D4F59" w14:textId="77777777" w:rsidR="00AA68B6" w:rsidRPr="00AA68B6" w:rsidRDefault="00AA68B6" w:rsidP="00E1687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lang w:val="en-ID" w:eastAsia="en-PH"/>
              </w:rPr>
            </w:pPr>
            <w:r w:rsidRPr="00AA68B6">
              <w:rPr>
                <w:rFonts w:eastAsia="Aptos"/>
                <w:lang w:val="en-ID" w:eastAsia="en-PH"/>
              </w:rPr>
              <w:t>Capital</w:t>
            </w:r>
          </w:p>
        </w:tc>
      </w:tr>
      <w:tr w:rsidR="00677D94" w:rsidRPr="00443F2B" w14:paraId="446F0908" w14:textId="77777777" w:rsidTr="00E16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12" w:space="0" w:color="auto"/>
            </w:tcBorders>
            <w:vAlign w:val="center"/>
          </w:tcPr>
          <w:p w14:paraId="1EB3A9B6" w14:textId="77777777" w:rsidR="00677D94" w:rsidRPr="00AA68B6" w:rsidRDefault="00677D94" w:rsidP="00E16870">
            <w:pPr>
              <w:spacing w:line="276" w:lineRule="auto"/>
              <w:ind w:firstLine="0"/>
              <w:jc w:val="left"/>
              <w:rPr>
                <w:rFonts w:eastAsia="Aptos"/>
                <w:b w:val="0"/>
                <w:bCs w:val="0"/>
                <w:lang w:val="en-ID" w:eastAsia="en-PH"/>
              </w:rPr>
            </w:pPr>
            <w:r w:rsidRPr="00AA68B6">
              <w:rPr>
                <w:rFonts w:eastAsia="Aptos"/>
                <w:b w:val="0"/>
                <w:bCs w:val="0"/>
                <w:lang w:val="en-ID" w:eastAsia="en-PH"/>
              </w:rPr>
              <w:t>Batangas</w:t>
            </w:r>
          </w:p>
        </w:tc>
        <w:tc>
          <w:tcPr>
            <w:tcW w:w="2337" w:type="dxa"/>
            <w:tcBorders>
              <w:top w:val="single" w:sz="12" w:space="0" w:color="auto"/>
              <w:bottom w:val="nil"/>
            </w:tcBorders>
            <w:vAlign w:val="center"/>
          </w:tcPr>
          <w:p w14:paraId="6D827212"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2,908, 484 (PSA, 2020)</w:t>
            </w:r>
          </w:p>
        </w:tc>
        <w:tc>
          <w:tcPr>
            <w:tcW w:w="2338" w:type="dxa"/>
            <w:tcBorders>
              <w:top w:val="single" w:sz="12" w:space="0" w:color="auto"/>
              <w:bottom w:val="nil"/>
            </w:tcBorders>
            <w:vAlign w:val="center"/>
          </w:tcPr>
          <w:p w14:paraId="405F1D44" w14:textId="77777777" w:rsidR="00677D94" w:rsidRPr="00AA68B6" w:rsidRDefault="00677D94" w:rsidP="00E16870">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
        </w:tc>
        <w:tc>
          <w:tcPr>
            <w:tcW w:w="2338" w:type="dxa"/>
            <w:vMerge w:val="restart"/>
            <w:tcBorders>
              <w:top w:val="single" w:sz="12" w:space="0" w:color="auto"/>
            </w:tcBorders>
            <w:vAlign w:val="center"/>
          </w:tcPr>
          <w:p w14:paraId="1BF295F1" w14:textId="77777777" w:rsidR="00677D94" w:rsidRPr="00AA68B6" w:rsidRDefault="00677D94"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Batangas City</w:t>
            </w:r>
          </w:p>
        </w:tc>
      </w:tr>
      <w:tr w:rsidR="00677D94" w:rsidRPr="00443F2B" w14:paraId="4C3645A2" w14:textId="77777777" w:rsidTr="00E16870">
        <w:tc>
          <w:tcPr>
            <w:cnfStyle w:val="001000000000" w:firstRow="0" w:lastRow="0" w:firstColumn="1" w:lastColumn="0" w:oddVBand="0" w:evenVBand="0" w:oddHBand="0" w:evenHBand="0" w:firstRowFirstColumn="0" w:firstRowLastColumn="0" w:lastRowFirstColumn="0" w:lastRowLastColumn="0"/>
            <w:tcW w:w="2337" w:type="dxa"/>
            <w:vMerge/>
            <w:vAlign w:val="center"/>
          </w:tcPr>
          <w:p w14:paraId="72BA4082" w14:textId="77777777" w:rsidR="00677D94" w:rsidRPr="00AA68B6" w:rsidRDefault="00677D94" w:rsidP="00E16870">
            <w:pPr>
              <w:spacing w:line="276" w:lineRule="auto"/>
              <w:jc w:val="left"/>
              <w:rPr>
                <w:rFonts w:eastAsia="Aptos"/>
                <w:b w:val="0"/>
                <w:bCs w:val="0"/>
                <w:lang w:val="en-ID" w:eastAsia="en-PH"/>
              </w:rPr>
            </w:pPr>
          </w:p>
        </w:tc>
        <w:tc>
          <w:tcPr>
            <w:tcW w:w="2337" w:type="dxa"/>
            <w:tcBorders>
              <w:top w:val="nil"/>
              <w:bottom w:val="nil"/>
            </w:tcBorders>
            <w:vAlign w:val="center"/>
          </w:tcPr>
          <w:p w14:paraId="6E49BBCD" w14:textId="77777777" w:rsidR="00677D94" w:rsidRPr="00AA68B6" w:rsidRDefault="00677D94" w:rsidP="00E16870">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50, 858 (PSA, 2020)</w:t>
            </w:r>
          </w:p>
        </w:tc>
        <w:tc>
          <w:tcPr>
            <w:tcW w:w="2338" w:type="dxa"/>
            <w:tcBorders>
              <w:top w:val="nil"/>
              <w:bottom w:val="nil"/>
            </w:tcBorders>
            <w:vAlign w:val="center"/>
          </w:tcPr>
          <w:p w14:paraId="1DB69BFD" w14:textId="77777777" w:rsidR="00677D94" w:rsidRPr="00AA68B6" w:rsidRDefault="00677D94" w:rsidP="00E1687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Mabini</w:t>
            </w:r>
          </w:p>
        </w:tc>
        <w:tc>
          <w:tcPr>
            <w:tcW w:w="2338" w:type="dxa"/>
            <w:vMerge/>
            <w:vAlign w:val="center"/>
          </w:tcPr>
          <w:p w14:paraId="018AFDC6" w14:textId="77777777" w:rsidR="00677D94" w:rsidRPr="00AA68B6" w:rsidRDefault="00677D94" w:rsidP="00E16870">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p>
        </w:tc>
      </w:tr>
      <w:tr w:rsidR="00677D94" w:rsidRPr="00443F2B" w14:paraId="694DA0C5" w14:textId="77777777" w:rsidTr="00E16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tcBorders>
              <w:bottom w:val="single" w:sz="4" w:space="0" w:color="auto"/>
            </w:tcBorders>
            <w:vAlign w:val="center"/>
          </w:tcPr>
          <w:p w14:paraId="591A343D" w14:textId="77777777" w:rsidR="00677D94" w:rsidRPr="00AA68B6" w:rsidRDefault="00677D94" w:rsidP="00E16870">
            <w:pPr>
              <w:spacing w:line="276" w:lineRule="auto"/>
              <w:jc w:val="left"/>
              <w:rPr>
                <w:rFonts w:eastAsia="Aptos"/>
                <w:b w:val="0"/>
                <w:bCs w:val="0"/>
                <w:lang w:val="en-ID" w:eastAsia="en-PH"/>
              </w:rPr>
            </w:pPr>
          </w:p>
        </w:tc>
        <w:tc>
          <w:tcPr>
            <w:tcW w:w="2337" w:type="dxa"/>
            <w:tcBorders>
              <w:top w:val="nil"/>
              <w:bottom w:val="single" w:sz="4" w:space="0" w:color="auto"/>
            </w:tcBorders>
            <w:vAlign w:val="center"/>
          </w:tcPr>
          <w:p w14:paraId="5D52EC0A"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19, 215 (PSA, 2020)</w:t>
            </w:r>
          </w:p>
        </w:tc>
        <w:tc>
          <w:tcPr>
            <w:tcW w:w="2338" w:type="dxa"/>
            <w:tcBorders>
              <w:top w:val="nil"/>
              <w:bottom w:val="single" w:sz="4" w:space="0" w:color="auto"/>
            </w:tcBorders>
            <w:vAlign w:val="center"/>
          </w:tcPr>
          <w:p w14:paraId="51361A57" w14:textId="77777777" w:rsidR="00677D94" w:rsidRPr="00AA68B6" w:rsidRDefault="00677D94"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roofErr w:type="spellStart"/>
            <w:r w:rsidRPr="00AA68B6">
              <w:rPr>
                <w:rFonts w:eastAsia="Aptos"/>
                <w:lang w:val="en-ID" w:eastAsia="en-PH"/>
              </w:rPr>
              <w:t>Tingloy</w:t>
            </w:r>
            <w:proofErr w:type="spellEnd"/>
          </w:p>
        </w:tc>
        <w:tc>
          <w:tcPr>
            <w:tcW w:w="2338" w:type="dxa"/>
            <w:vMerge/>
            <w:tcBorders>
              <w:bottom w:val="single" w:sz="4" w:space="0" w:color="auto"/>
            </w:tcBorders>
            <w:vAlign w:val="center"/>
          </w:tcPr>
          <w:p w14:paraId="239D6C3A" w14:textId="77777777" w:rsidR="00677D94" w:rsidRPr="00AA68B6" w:rsidRDefault="00677D94" w:rsidP="00E16870">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
        </w:tc>
      </w:tr>
      <w:tr w:rsidR="00677D94" w:rsidRPr="00443F2B" w14:paraId="18AC02FC" w14:textId="77777777" w:rsidTr="00E16870">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4" w:space="0" w:color="auto"/>
            </w:tcBorders>
            <w:vAlign w:val="center"/>
          </w:tcPr>
          <w:p w14:paraId="70D9761F" w14:textId="77777777" w:rsidR="00677D94" w:rsidRPr="00AA68B6" w:rsidRDefault="00677D94" w:rsidP="00E16870">
            <w:pPr>
              <w:spacing w:line="276" w:lineRule="auto"/>
              <w:ind w:firstLine="0"/>
              <w:jc w:val="left"/>
              <w:rPr>
                <w:rFonts w:eastAsia="Aptos"/>
                <w:b w:val="0"/>
                <w:bCs w:val="0"/>
                <w:lang w:val="en-ID" w:eastAsia="en-PH"/>
              </w:rPr>
            </w:pPr>
            <w:r w:rsidRPr="00AA68B6">
              <w:rPr>
                <w:rFonts w:eastAsia="Aptos"/>
                <w:b w:val="0"/>
                <w:bCs w:val="0"/>
                <w:lang w:val="en-ID" w:eastAsia="en-PH"/>
              </w:rPr>
              <w:t>Palawan</w:t>
            </w:r>
          </w:p>
        </w:tc>
        <w:tc>
          <w:tcPr>
            <w:tcW w:w="2337" w:type="dxa"/>
            <w:tcBorders>
              <w:top w:val="single" w:sz="4" w:space="0" w:color="auto"/>
              <w:bottom w:val="nil"/>
            </w:tcBorders>
            <w:vAlign w:val="center"/>
          </w:tcPr>
          <w:p w14:paraId="61956770" w14:textId="77777777" w:rsidR="00677D94" w:rsidRPr="00AA68B6" w:rsidRDefault="00677D94" w:rsidP="00E16870">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939. 594 (PSA, 2020)</w:t>
            </w:r>
          </w:p>
        </w:tc>
        <w:tc>
          <w:tcPr>
            <w:tcW w:w="2338" w:type="dxa"/>
            <w:tcBorders>
              <w:top w:val="single" w:sz="4" w:space="0" w:color="auto"/>
              <w:bottom w:val="nil"/>
            </w:tcBorders>
            <w:vAlign w:val="center"/>
          </w:tcPr>
          <w:p w14:paraId="3BAE2E58" w14:textId="77777777" w:rsidR="00677D94" w:rsidRPr="00AA68B6" w:rsidRDefault="00677D94" w:rsidP="00E16870">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p>
        </w:tc>
        <w:tc>
          <w:tcPr>
            <w:tcW w:w="2338" w:type="dxa"/>
            <w:vMerge w:val="restart"/>
            <w:tcBorders>
              <w:top w:val="single" w:sz="4" w:space="0" w:color="auto"/>
            </w:tcBorders>
            <w:vAlign w:val="center"/>
          </w:tcPr>
          <w:p w14:paraId="2434CD12" w14:textId="77777777" w:rsidR="00677D94" w:rsidRPr="00AA68B6" w:rsidRDefault="00677D94" w:rsidP="00E1687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Puerto Princesa City</w:t>
            </w:r>
          </w:p>
        </w:tc>
      </w:tr>
      <w:tr w:rsidR="00677D94" w:rsidRPr="00443F2B" w14:paraId="44B5CECD" w14:textId="77777777" w:rsidTr="00E16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tcPr>
          <w:p w14:paraId="19FB300D" w14:textId="77777777" w:rsidR="00677D94" w:rsidRPr="00AA68B6" w:rsidRDefault="00677D94" w:rsidP="00A0337A">
            <w:pPr>
              <w:jc w:val="center"/>
              <w:rPr>
                <w:rFonts w:eastAsia="Aptos"/>
                <w:lang w:val="en-ID" w:eastAsia="en-PH"/>
              </w:rPr>
            </w:pPr>
          </w:p>
        </w:tc>
        <w:tc>
          <w:tcPr>
            <w:tcW w:w="2337" w:type="dxa"/>
            <w:tcBorders>
              <w:top w:val="nil"/>
              <w:bottom w:val="nil"/>
            </w:tcBorders>
            <w:vAlign w:val="center"/>
          </w:tcPr>
          <w:p w14:paraId="546F2688"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25, 617 (PSA,2020)</w:t>
            </w:r>
          </w:p>
        </w:tc>
        <w:tc>
          <w:tcPr>
            <w:tcW w:w="2338" w:type="dxa"/>
            <w:tcBorders>
              <w:top w:val="nil"/>
              <w:bottom w:val="nil"/>
            </w:tcBorders>
            <w:vAlign w:val="center"/>
          </w:tcPr>
          <w:p w14:paraId="47261802" w14:textId="77777777" w:rsidR="00677D94" w:rsidRPr="00AA68B6" w:rsidRDefault="00677D94"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Busuanga</w:t>
            </w:r>
          </w:p>
        </w:tc>
        <w:tc>
          <w:tcPr>
            <w:tcW w:w="2338" w:type="dxa"/>
            <w:vMerge/>
            <w:vAlign w:val="center"/>
          </w:tcPr>
          <w:p w14:paraId="1B73CE15" w14:textId="77777777" w:rsidR="00677D94" w:rsidRPr="00AA68B6" w:rsidRDefault="00677D94" w:rsidP="00AA68B6">
            <w:pPr>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
        </w:tc>
      </w:tr>
      <w:tr w:rsidR="00677D94" w:rsidRPr="00443F2B" w14:paraId="6679726C" w14:textId="77777777" w:rsidTr="00E16870">
        <w:tc>
          <w:tcPr>
            <w:cnfStyle w:val="001000000000" w:firstRow="0" w:lastRow="0" w:firstColumn="1" w:lastColumn="0" w:oddVBand="0" w:evenVBand="0" w:oddHBand="0" w:evenHBand="0" w:firstRowFirstColumn="0" w:firstRowLastColumn="0" w:lastRowFirstColumn="0" w:lastRowLastColumn="0"/>
            <w:tcW w:w="2337" w:type="dxa"/>
            <w:vMerge/>
          </w:tcPr>
          <w:p w14:paraId="0DCB59C7" w14:textId="77777777" w:rsidR="00677D94" w:rsidRPr="00AA68B6" w:rsidRDefault="00677D94" w:rsidP="00AA68B6">
            <w:pPr>
              <w:ind w:firstLine="0"/>
              <w:rPr>
                <w:rFonts w:eastAsia="Aptos"/>
                <w:lang w:val="en-ID" w:eastAsia="en-PH"/>
              </w:rPr>
            </w:pPr>
          </w:p>
        </w:tc>
        <w:tc>
          <w:tcPr>
            <w:tcW w:w="2337" w:type="dxa"/>
            <w:tcBorders>
              <w:top w:val="nil"/>
              <w:bottom w:val="nil"/>
            </w:tcBorders>
            <w:vAlign w:val="center"/>
          </w:tcPr>
          <w:p w14:paraId="4D3FEFD3" w14:textId="77777777" w:rsidR="00677D94" w:rsidRPr="00AA68B6" w:rsidRDefault="00677D94" w:rsidP="00E16870">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65. 855 (PSA, 2020)</w:t>
            </w:r>
          </w:p>
        </w:tc>
        <w:tc>
          <w:tcPr>
            <w:tcW w:w="2338" w:type="dxa"/>
            <w:tcBorders>
              <w:top w:val="nil"/>
              <w:bottom w:val="nil"/>
            </w:tcBorders>
            <w:vAlign w:val="center"/>
          </w:tcPr>
          <w:p w14:paraId="28E044E6" w14:textId="77777777" w:rsidR="00677D94" w:rsidRPr="00AA68B6" w:rsidRDefault="00677D94" w:rsidP="00E1687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r w:rsidRPr="00AA68B6">
              <w:rPr>
                <w:rFonts w:eastAsia="Aptos"/>
                <w:lang w:val="en-ID" w:eastAsia="en-PH"/>
              </w:rPr>
              <w:t>Coron</w:t>
            </w:r>
          </w:p>
        </w:tc>
        <w:tc>
          <w:tcPr>
            <w:tcW w:w="2338" w:type="dxa"/>
            <w:vMerge/>
            <w:vAlign w:val="center"/>
          </w:tcPr>
          <w:p w14:paraId="3EBFFDD4" w14:textId="77777777" w:rsidR="00677D94" w:rsidRPr="00AA68B6" w:rsidRDefault="00677D94" w:rsidP="00AA68B6">
            <w:pPr>
              <w:jc w:val="center"/>
              <w:cnfStyle w:val="000000000000" w:firstRow="0" w:lastRow="0" w:firstColumn="0" w:lastColumn="0" w:oddVBand="0" w:evenVBand="0" w:oddHBand="0" w:evenHBand="0" w:firstRowFirstColumn="0" w:firstRowLastColumn="0" w:lastRowFirstColumn="0" w:lastRowLastColumn="0"/>
              <w:rPr>
                <w:rFonts w:eastAsia="Aptos"/>
                <w:lang w:val="en-ID" w:eastAsia="en-PH"/>
              </w:rPr>
            </w:pPr>
          </w:p>
        </w:tc>
      </w:tr>
      <w:tr w:rsidR="00677D94" w:rsidRPr="00443F2B" w14:paraId="5F06C887" w14:textId="77777777" w:rsidTr="00E168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tcPr>
          <w:p w14:paraId="5C279337" w14:textId="77777777" w:rsidR="00677D94" w:rsidRPr="00AA68B6" w:rsidRDefault="00677D94" w:rsidP="00AA68B6">
            <w:pPr>
              <w:rPr>
                <w:rFonts w:eastAsia="Aptos"/>
                <w:lang w:val="en-ID" w:eastAsia="en-PH"/>
              </w:rPr>
            </w:pPr>
          </w:p>
        </w:tc>
        <w:tc>
          <w:tcPr>
            <w:tcW w:w="2337" w:type="dxa"/>
            <w:tcBorders>
              <w:top w:val="nil"/>
            </w:tcBorders>
            <w:vAlign w:val="center"/>
          </w:tcPr>
          <w:p w14:paraId="75479A17"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p>
          <w:p w14:paraId="56EF60E3"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83,357 (PSA, 2020)</w:t>
            </w:r>
          </w:p>
          <w:p w14:paraId="3864BA1C" w14:textId="77777777" w:rsidR="00677D94" w:rsidRPr="00AA68B6" w:rsidRDefault="00677D94" w:rsidP="00E16870">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33, 507 (PSA, 2020)</w:t>
            </w:r>
          </w:p>
        </w:tc>
        <w:tc>
          <w:tcPr>
            <w:tcW w:w="2338" w:type="dxa"/>
            <w:tcBorders>
              <w:top w:val="nil"/>
            </w:tcBorders>
            <w:vAlign w:val="center"/>
          </w:tcPr>
          <w:p w14:paraId="0B448F41" w14:textId="77777777" w:rsidR="00677D94" w:rsidRPr="00AA68B6" w:rsidRDefault="00677D94"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sidRPr="00AA68B6">
              <w:rPr>
                <w:rFonts w:eastAsia="Aptos"/>
                <w:lang w:val="en-ID" w:eastAsia="en-PH"/>
              </w:rPr>
              <w:t>Malampaya Sound</w:t>
            </w:r>
          </w:p>
          <w:p w14:paraId="6038643D" w14:textId="040C5074" w:rsidR="00677D94" w:rsidRPr="00AA68B6" w:rsidRDefault="00E16870"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Pr>
                <w:rFonts w:eastAsia="Aptos"/>
                <w:lang w:val="en-ID" w:eastAsia="en-PH"/>
              </w:rPr>
              <w:t>-</w:t>
            </w:r>
            <w:r w:rsidR="00677D94" w:rsidRPr="00AA68B6">
              <w:rPr>
                <w:rFonts w:eastAsia="Aptos"/>
                <w:lang w:val="en-ID" w:eastAsia="en-PH"/>
              </w:rPr>
              <w:t>Taytay</w:t>
            </w:r>
          </w:p>
          <w:p w14:paraId="6E6A57C4" w14:textId="2378BCB8" w:rsidR="00677D94" w:rsidRPr="00AA68B6" w:rsidRDefault="00E16870" w:rsidP="00E1687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r>
              <w:rPr>
                <w:rFonts w:eastAsia="Aptos"/>
                <w:lang w:val="en-ID" w:eastAsia="en-PH"/>
              </w:rPr>
              <w:t>-</w:t>
            </w:r>
            <w:r w:rsidR="00677D94" w:rsidRPr="00AA68B6">
              <w:rPr>
                <w:rFonts w:eastAsia="Aptos"/>
                <w:lang w:val="en-ID" w:eastAsia="en-PH"/>
              </w:rPr>
              <w:t>San Vicente</w:t>
            </w:r>
          </w:p>
        </w:tc>
        <w:tc>
          <w:tcPr>
            <w:tcW w:w="2338" w:type="dxa"/>
            <w:vMerge/>
            <w:vAlign w:val="center"/>
          </w:tcPr>
          <w:p w14:paraId="00B5F1B8" w14:textId="77777777" w:rsidR="00677D94" w:rsidRPr="00AA68B6" w:rsidRDefault="00677D94" w:rsidP="00AA68B6">
            <w:pPr>
              <w:ind w:firstLine="0"/>
              <w:jc w:val="center"/>
              <w:cnfStyle w:val="000000100000" w:firstRow="0" w:lastRow="0" w:firstColumn="0" w:lastColumn="0" w:oddVBand="0" w:evenVBand="0" w:oddHBand="1" w:evenHBand="0" w:firstRowFirstColumn="0" w:firstRowLastColumn="0" w:lastRowFirstColumn="0" w:lastRowLastColumn="0"/>
              <w:rPr>
                <w:rFonts w:eastAsia="Aptos"/>
                <w:lang w:val="en-ID" w:eastAsia="en-PH"/>
              </w:rPr>
            </w:pPr>
          </w:p>
        </w:tc>
      </w:tr>
    </w:tbl>
    <w:p w14:paraId="2D432B0C" w14:textId="77777777" w:rsidR="00AA68B6" w:rsidRDefault="00AA68B6" w:rsidP="00AA68B6"/>
    <w:p w14:paraId="0FA935EF" w14:textId="77777777" w:rsidR="00E16870" w:rsidRPr="00E16870" w:rsidRDefault="00E16870" w:rsidP="00F467CC">
      <w:pPr>
        <w:spacing w:after="240" w:line="276" w:lineRule="auto"/>
        <w:ind w:firstLine="0"/>
        <w:jc w:val="left"/>
        <w:rPr>
          <w:rFonts w:eastAsia="Aptos" w:cstheme="minorHAnsi"/>
          <w:b/>
          <w:bCs/>
          <w:iCs/>
          <w:lang w:val="en-ID" w:eastAsia="en-PH"/>
        </w:rPr>
      </w:pPr>
      <w:r w:rsidRPr="00E16870">
        <w:rPr>
          <w:rFonts w:eastAsia="Aptos" w:cstheme="minorHAnsi"/>
          <w:b/>
          <w:bCs/>
          <w:iCs/>
          <w:lang w:val="en-ID" w:eastAsia="en-PH"/>
        </w:rPr>
        <w:t>Provincial Investment Profile</w:t>
      </w:r>
    </w:p>
    <w:p w14:paraId="735FE03A" w14:textId="69DB888B" w:rsidR="00E16870" w:rsidRPr="00E16870" w:rsidRDefault="00E16870">
      <w:pPr>
        <w:pStyle w:val="ListParagraph"/>
        <w:numPr>
          <w:ilvl w:val="0"/>
          <w:numId w:val="72"/>
        </w:numPr>
        <w:spacing w:after="240" w:line="276" w:lineRule="auto"/>
        <w:rPr>
          <w:rFonts w:eastAsia="Aptos" w:cstheme="minorHAnsi"/>
          <w:b/>
          <w:bCs/>
          <w:iCs/>
          <w:lang w:val="en-ID" w:eastAsia="en-PH"/>
        </w:rPr>
      </w:pPr>
      <w:r w:rsidRPr="00E16870">
        <w:rPr>
          <w:rFonts w:eastAsia="Aptos" w:cstheme="minorHAnsi"/>
          <w:b/>
          <w:bCs/>
          <w:iCs/>
          <w:lang w:val="en-ID" w:eastAsia="en-PH"/>
        </w:rPr>
        <w:t>Batangas Province</w:t>
      </w:r>
    </w:p>
    <w:p w14:paraId="270851A5" w14:textId="77777777" w:rsidR="00E16870" w:rsidRPr="00E16870" w:rsidRDefault="00E16870" w:rsidP="00E16870">
      <w:pPr>
        <w:spacing w:after="240" w:line="276" w:lineRule="auto"/>
        <w:ind w:firstLine="0"/>
        <w:rPr>
          <w:rFonts w:eastAsia="Aptos" w:cstheme="minorHAnsi"/>
          <w:iCs/>
          <w:u w:val="single"/>
          <w:lang w:val="en-ID" w:eastAsia="en-PH"/>
        </w:rPr>
      </w:pPr>
      <w:r w:rsidRPr="00E16870">
        <w:rPr>
          <w:rFonts w:eastAsia="Aptos" w:cstheme="minorHAnsi"/>
          <w:iCs/>
          <w:u w:val="single"/>
          <w:lang w:val="en-ID" w:eastAsia="en-PH"/>
        </w:rPr>
        <w:t>Level of Economic Development</w:t>
      </w:r>
    </w:p>
    <w:p w14:paraId="43FAAA33" w14:textId="2D1F9C1B"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     Batangas province contributes </w:t>
      </w:r>
      <w:r w:rsidRPr="00CC7DC8">
        <w:rPr>
          <w:rFonts w:eastAsia="Aptos" w:cstheme="minorHAnsi"/>
          <w:b/>
          <w:bCs/>
          <w:iCs/>
          <w:lang w:val="en-ID" w:eastAsia="en-PH"/>
        </w:rPr>
        <w:t>21%</w:t>
      </w:r>
      <w:r w:rsidRPr="00CC7DC8">
        <w:rPr>
          <w:rFonts w:eastAsia="Aptos" w:cstheme="minorHAnsi"/>
          <w:iCs/>
          <w:lang w:val="en-ID" w:eastAsia="en-PH"/>
        </w:rPr>
        <w:t xml:space="preserve"> to the gross domestic product of the CALABARZON region, the second biggest economic region of the country next to the National Capital Region with a gross regional domestic product (GRDP) of </w:t>
      </w:r>
      <w:proofErr w:type="spellStart"/>
      <w:r w:rsidRPr="00CC7DC8">
        <w:rPr>
          <w:rFonts w:eastAsia="Aptos" w:cstheme="minorHAnsi"/>
          <w:b/>
          <w:bCs/>
          <w:iCs/>
          <w:lang w:val="en-ID" w:eastAsia="en-PH"/>
        </w:rPr>
        <w:t>Php</w:t>
      </w:r>
      <w:proofErr w:type="spellEnd"/>
      <w:r w:rsidRPr="00CC7DC8">
        <w:rPr>
          <w:rFonts w:eastAsia="Aptos" w:cstheme="minorHAnsi"/>
          <w:b/>
          <w:bCs/>
          <w:iCs/>
          <w:lang w:val="en-ID" w:eastAsia="en-PH"/>
        </w:rPr>
        <w:t xml:space="preserve"> 571 billion pesos </w:t>
      </w:r>
      <w:r w:rsidRPr="00CC7DC8">
        <w:rPr>
          <w:rFonts w:eastAsia="Aptos" w:cstheme="minorHAnsi"/>
          <w:iCs/>
          <w:lang w:val="en-ID" w:eastAsia="en-PH"/>
        </w:rPr>
        <w:t xml:space="preserve">(NEDA, 2023). </w:t>
      </w:r>
    </w:p>
    <w:p w14:paraId="40E2CFB6" w14:textId="77777777" w:rsidR="00E16870" w:rsidRPr="00E16870" w:rsidRDefault="00E16870" w:rsidP="00E16870">
      <w:pPr>
        <w:spacing w:after="240" w:line="276" w:lineRule="auto"/>
        <w:ind w:firstLine="0"/>
        <w:rPr>
          <w:rFonts w:eastAsia="Aptos" w:cstheme="minorHAnsi"/>
          <w:iCs/>
          <w:u w:val="single"/>
          <w:lang w:val="en-ID" w:eastAsia="en-PH"/>
        </w:rPr>
      </w:pPr>
      <w:r w:rsidRPr="00E16870">
        <w:rPr>
          <w:rFonts w:eastAsia="Aptos" w:cstheme="minorHAnsi"/>
          <w:iCs/>
          <w:u w:val="single"/>
          <w:lang w:val="en-ID" w:eastAsia="en-PH"/>
        </w:rPr>
        <w:t>Economic Structure</w:t>
      </w:r>
    </w:p>
    <w:p w14:paraId="44ADD43A" w14:textId="79B06E33" w:rsidR="00E16870" w:rsidRPr="00CC7DC8" w:rsidRDefault="00E16870" w:rsidP="00E16870">
      <w:pPr>
        <w:spacing w:after="240" w:line="276" w:lineRule="auto"/>
        <w:ind w:firstLine="360"/>
        <w:rPr>
          <w:rFonts w:eastAsia="Aptos" w:cstheme="minorHAnsi"/>
          <w:iCs/>
          <w:lang w:val="en-ID" w:eastAsia="en-PH"/>
        </w:rPr>
      </w:pPr>
      <w:r w:rsidRPr="00CC7DC8">
        <w:rPr>
          <w:rFonts w:eastAsia="Aptos" w:cstheme="minorHAnsi"/>
          <w:iCs/>
          <w:lang w:val="en-ID" w:eastAsia="en-PH"/>
        </w:rPr>
        <w:t xml:space="preserve">According to the </w:t>
      </w:r>
      <w:r w:rsidRPr="00CC7DC8">
        <w:rPr>
          <w:rFonts w:eastAsia="Aptos" w:cstheme="minorHAnsi"/>
          <w:b/>
          <w:bCs/>
          <w:iCs/>
          <w:lang w:val="en-ID" w:eastAsia="en-PH"/>
        </w:rPr>
        <w:t>Provincial Development and Physical Framework Plan 2022-2030</w:t>
      </w:r>
      <w:r w:rsidRPr="00CC7DC8">
        <w:rPr>
          <w:rFonts w:eastAsia="Aptos" w:cstheme="minorHAnsi"/>
          <w:iCs/>
          <w:lang w:val="en-ID" w:eastAsia="en-PH"/>
        </w:rPr>
        <w:t xml:space="preserve"> (Provincial Government of Batangas, 2022)</w:t>
      </w:r>
      <w:r w:rsidRPr="00CC7DC8">
        <w:rPr>
          <w:rFonts w:eastAsia="Aptos" w:cstheme="minorHAnsi"/>
          <w:b/>
          <w:bCs/>
          <w:iCs/>
          <w:lang w:val="en-ID" w:eastAsia="en-PH"/>
        </w:rPr>
        <w:t xml:space="preserve">, </w:t>
      </w:r>
      <w:r w:rsidRPr="00CC7DC8">
        <w:rPr>
          <w:rFonts w:eastAsia="Aptos" w:cstheme="minorHAnsi"/>
          <w:iCs/>
          <w:lang w:val="en-ID" w:eastAsia="en-PH"/>
        </w:rPr>
        <w:t xml:space="preserve">the strategic location and positive economic climate in the Province of Batangas spurred the organization of economic activities in the province into the following three basic sectors: </w:t>
      </w:r>
    </w:p>
    <w:p w14:paraId="5BB39F2B" w14:textId="77777777" w:rsidR="00E16870" w:rsidRPr="00CC7DC8" w:rsidRDefault="00E16870">
      <w:pPr>
        <w:pStyle w:val="ListParagraph"/>
        <w:numPr>
          <w:ilvl w:val="0"/>
          <w:numId w:val="71"/>
        </w:numPr>
        <w:spacing w:line="276" w:lineRule="auto"/>
        <w:ind w:left="714" w:hanging="357"/>
        <w:contextualSpacing w:val="0"/>
        <w:jc w:val="left"/>
        <w:rPr>
          <w:rFonts w:eastAsia="Aptos" w:cstheme="minorHAnsi"/>
          <w:iCs/>
          <w:lang w:val="en-ID" w:eastAsia="en-PH"/>
        </w:rPr>
      </w:pPr>
      <w:r w:rsidRPr="00CC7DC8">
        <w:rPr>
          <w:rFonts w:eastAsia="Aptos" w:cstheme="minorHAnsi"/>
          <w:iCs/>
          <w:lang w:val="en-ID" w:eastAsia="en-PH"/>
        </w:rPr>
        <w:t>Agriculture/Fishing and Forestry;</w:t>
      </w:r>
    </w:p>
    <w:p w14:paraId="14EE1641" w14:textId="77777777" w:rsidR="00E16870" w:rsidRPr="00CC7DC8" w:rsidRDefault="00E16870">
      <w:pPr>
        <w:pStyle w:val="ListParagraph"/>
        <w:numPr>
          <w:ilvl w:val="0"/>
          <w:numId w:val="71"/>
        </w:numPr>
        <w:spacing w:line="276" w:lineRule="auto"/>
        <w:ind w:left="714" w:hanging="357"/>
        <w:contextualSpacing w:val="0"/>
        <w:jc w:val="left"/>
        <w:rPr>
          <w:rFonts w:eastAsia="Aptos" w:cstheme="minorHAnsi"/>
          <w:iCs/>
          <w:lang w:val="en-ID" w:eastAsia="en-PH"/>
        </w:rPr>
      </w:pPr>
      <w:r w:rsidRPr="00CC7DC8">
        <w:rPr>
          <w:rFonts w:eastAsia="Aptos" w:cstheme="minorHAnsi"/>
          <w:iCs/>
          <w:lang w:val="en-ID" w:eastAsia="en-PH"/>
        </w:rPr>
        <w:t xml:space="preserve">Industry Sector, which encompasses activities in mining and quarrying, manufacturing, construction and electricity, gas and water; and </w:t>
      </w:r>
    </w:p>
    <w:p w14:paraId="6A100A26" w14:textId="44F403AF" w:rsidR="00E16870" w:rsidRPr="00E16870" w:rsidRDefault="00E16870">
      <w:pPr>
        <w:pStyle w:val="ListParagraph"/>
        <w:numPr>
          <w:ilvl w:val="0"/>
          <w:numId w:val="71"/>
        </w:numPr>
        <w:spacing w:after="240" w:line="276" w:lineRule="auto"/>
        <w:ind w:left="714" w:hanging="357"/>
        <w:contextualSpacing w:val="0"/>
        <w:jc w:val="left"/>
        <w:rPr>
          <w:rFonts w:eastAsia="Aptos" w:cstheme="minorHAnsi"/>
          <w:iCs/>
          <w:lang w:val="en-ID" w:eastAsia="en-PH"/>
        </w:rPr>
      </w:pPr>
      <w:r w:rsidRPr="00CC7DC8">
        <w:rPr>
          <w:rFonts w:eastAsia="Aptos" w:cstheme="minorHAnsi"/>
          <w:iCs/>
          <w:lang w:val="en-ID" w:eastAsia="en-PH"/>
        </w:rPr>
        <w:t>Services Sector.</w:t>
      </w:r>
    </w:p>
    <w:p w14:paraId="49971569" w14:textId="3DDEC39D"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The SCS-SAP project sites, particularly the municipality of </w:t>
      </w:r>
      <w:proofErr w:type="spellStart"/>
      <w:r w:rsidRPr="00CC7DC8">
        <w:rPr>
          <w:rFonts w:eastAsia="Aptos" w:cstheme="minorHAnsi"/>
          <w:iCs/>
          <w:lang w:val="en-ID" w:eastAsia="en-PH"/>
        </w:rPr>
        <w:t>Tingloy</w:t>
      </w:r>
      <w:proofErr w:type="spellEnd"/>
      <w:r w:rsidRPr="00CC7DC8">
        <w:rPr>
          <w:rFonts w:eastAsia="Aptos" w:cstheme="minorHAnsi"/>
          <w:iCs/>
          <w:lang w:val="en-ID" w:eastAsia="en-PH"/>
        </w:rPr>
        <w:t xml:space="preserve">, identifies the island municipality’s role (Mabini, </w:t>
      </w:r>
      <w:proofErr w:type="spellStart"/>
      <w:r w:rsidRPr="00CC7DC8">
        <w:rPr>
          <w:rFonts w:eastAsia="Aptos" w:cstheme="minorHAnsi"/>
          <w:iCs/>
          <w:lang w:val="en-ID" w:eastAsia="en-PH"/>
        </w:rPr>
        <w:t>Bauan</w:t>
      </w:r>
      <w:proofErr w:type="spellEnd"/>
      <w:r w:rsidRPr="00CC7DC8">
        <w:rPr>
          <w:rFonts w:eastAsia="Aptos" w:cstheme="minorHAnsi"/>
          <w:iCs/>
          <w:lang w:val="en-ID" w:eastAsia="en-PH"/>
        </w:rPr>
        <w:t xml:space="preserve"> and San Pascual) as a rural settlement providing raw materials which is evident through the established market for fisheries products. This has implications on the exhaustion and the over exploitation of other fishery resources including the overworking of the fishermen (Reyes, Jr., 2018).</w:t>
      </w:r>
    </w:p>
    <w:p w14:paraId="441D2E84" w14:textId="77777777"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The municipality of Mabini, while known as a tourism hub, will soon become the site of an </w:t>
      </w:r>
      <w:r w:rsidRPr="00CC7DC8">
        <w:rPr>
          <w:rFonts w:eastAsia="Aptos" w:cstheme="minorHAnsi"/>
          <w:b/>
          <w:bCs/>
          <w:iCs/>
          <w:lang w:val="en-ID" w:eastAsia="en-PH"/>
        </w:rPr>
        <w:t>Offshore Wind Integration Port (OSWIP)</w:t>
      </w:r>
      <w:r w:rsidRPr="00CC7DC8">
        <w:rPr>
          <w:rFonts w:eastAsia="Aptos" w:cstheme="minorHAnsi"/>
          <w:iCs/>
          <w:lang w:val="en-ID" w:eastAsia="en-PH"/>
        </w:rPr>
        <w:t xml:space="preserve">, which will play a key role in the development of offshore wind farms in the Batangas/Mindoro region (Public Private Partnership </w:t>
      </w:r>
      <w:proofErr w:type="spellStart"/>
      <w:r w:rsidRPr="00CC7DC8">
        <w:rPr>
          <w:rFonts w:eastAsia="Aptos" w:cstheme="minorHAnsi"/>
          <w:iCs/>
          <w:lang w:val="en-ID" w:eastAsia="en-PH"/>
        </w:rPr>
        <w:t>Center</w:t>
      </w:r>
      <w:proofErr w:type="spellEnd"/>
      <w:r w:rsidRPr="00CC7DC8">
        <w:rPr>
          <w:rFonts w:eastAsia="Aptos" w:cstheme="minorHAnsi"/>
          <w:iCs/>
          <w:lang w:val="en-ID" w:eastAsia="en-PH"/>
        </w:rPr>
        <w:t xml:space="preserve">, 2025).  The impacts of this project </w:t>
      </w:r>
      <w:proofErr w:type="gramStart"/>
      <w:r w:rsidRPr="00CC7DC8">
        <w:rPr>
          <w:rFonts w:eastAsia="Aptos" w:cstheme="minorHAnsi"/>
          <w:iCs/>
          <w:lang w:val="en-ID" w:eastAsia="en-PH"/>
        </w:rPr>
        <w:t>is</w:t>
      </w:r>
      <w:proofErr w:type="gramEnd"/>
      <w:r w:rsidRPr="00CC7DC8">
        <w:rPr>
          <w:rFonts w:eastAsia="Aptos" w:cstheme="minorHAnsi"/>
          <w:iCs/>
          <w:lang w:val="en-ID" w:eastAsia="en-PH"/>
        </w:rPr>
        <w:t xml:space="preserve"> still to be determined pending the usual environmental impact assessment for this project. </w:t>
      </w:r>
    </w:p>
    <w:p w14:paraId="1C1D5567" w14:textId="00156E7E" w:rsidR="00E16870" w:rsidRPr="00E16870" w:rsidRDefault="00E16870">
      <w:pPr>
        <w:pStyle w:val="ListParagraph"/>
        <w:numPr>
          <w:ilvl w:val="0"/>
          <w:numId w:val="72"/>
        </w:numPr>
        <w:spacing w:after="240" w:line="276" w:lineRule="auto"/>
        <w:rPr>
          <w:rFonts w:eastAsia="Aptos" w:cstheme="minorHAnsi"/>
          <w:b/>
          <w:bCs/>
          <w:iCs/>
          <w:lang w:val="en-ID" w:eastAsia="en-PH"/>
        </w:rPr>
      </w:pPr>
      <w:r w:rsidRPr="00E16870">
        <w:rPr>
          <w:rFonts w:eastAsia="Aptos" w:cstheme="minorHAnsi"/>
          <w:b/>
          <w:bCs/>
          <w:iCs/>
          <w:lang w:val="en-ID" w:eastAsia="en-PH"/>
        </w:rPr>
        <w:t>Palawan Province</w:t>
      </w:r>
    </w:p>
    <w:p w14:paraId="07BFE311" w14:textId="77777777" w:rsidR="00E16870" w:rsidRDefault="00E16870" w:rsidP="00E16870">
      <w:pPr>
        <w:tabs>
          <w:tab w:val="left" w:pos="6945"/>
        </w:tabs>
        <w:spacing w:after="240" w:line="276" w:lineRule="auto"/>
        <w:ind w:firstLine="0"/>
        <w:rPr>
          <w:rFonts w:eastAsia="Aptos" w:cstheme="minorHAnsi"/>
          <w:iCs/>
          <w:lang w:val="en-ID" w:eastAsia="en-PH"/>
        </w:rPr>
      </w:pPr>
      <w:r w:rsidRPr="00E16870">
        <w:rPr>
          <w:rFonts w:eastAsia="Aptos" w:cstheme="minorHAnsi"/>
          <w:iCs/>
          <w:u w:val="single"/>
          <w:lang w:val="en-ID" w:eastAsia="en-PH"/>
        </w:rPr>
        <w:t>Level of Economic Development and Recent Updates in Economic Activitie</w:t>
      </w:r>
      <w:r>
        <w:rPr>
          <w:rFonts w:eastAsia="Aptos" w:cstheme="minorHAnsi"/>
          <w:iCs/>
          <w:u w:val="single"/>
          <w:lang w:val="en-ID" w:eastAsia="en-PH"/>
        </w:rPr>
        <w:t>s</w:t>
      </w:r>
    </w:p>
    <w:p w14:paraId="54C394EC" w14:textId="16FBCFF6" w:rsidR="00E16870" w:rsidRPr="00CC7DC8" w:rsidRDefault="00E16870" w:rsidP="00E16870">
      <w:pPr>
        <w:tabs>
          <w:tab w:val="left" w:pos="709"/>
        </w:tabs>
        <w:spacing w:after="240" w:line="276" w:lineRule="auto"/>
        <w:ind w:firstLine="0"/>
        <w:rPr>
          <w:rFonts w:eastAsia="Aptos" w:cstheme="minorHAnsi"/>
          <w:iCs/>
          <w:lang w:val="en-ID" w:eastAsia="en-PH"/>
        </w:rPr>
      </w:pPr>
      <w:r>
        <w:rPr>
          <w:rFonts w:eastAsia="Aptos" w:cstheme="minorHAnsi"/>
          <w:iCs/>
          <w:lang w:val="en-ID" w:eastAsia="en-PH"/>
        </w:rPr>
        <w:lastRenderedPageBreak/>
        <w:tab/>
      </w:r>
      <w:r w:rsidRPr="00CC7DC8">
        <w:rPr>
          <w:rFonts w:eastAsia="Aptos" w:cstheme="minorHAnsi"/>
          <w:iCs/>
          <w:lang w:val="en-ID" w:eastAsia="en-PH"/>
        </w:rPr>
        <w:t xml:space="preserve">Palawan Province, as of 2023, has a gross regional domestic product of </w:t>
      </w:r>
      <w:proofErr w:type="spellStart"/>
      <w:r w:rsidRPr="00CC7DC8">
        <w:rPr>
          <w:rFonts w:eastAsia="Aptos" w:cstheme="minorHAnsi"/>
          <w:b/>
          <w:bCs/>
          <w:iCs/>
          <w:lang w:val="en-ID" w:eastAsia="en-PH"/>
        </w:rPr>
        <w:t>Php</w:t>
      </w:r>
      <w:proofErr w:type="spellEnd"/>
      <w:r w:rsidRPr="00CC7DC8">
        <w:rPr>
          <w:rFonts w:eastAsia="Aptos" w:cstheme="minorHAnsi"/>
          <w:b/>
          <w:bCs/>
          <w:iCs/>
          <w:lang w:val="en-ID" w:eastAsia="en-PH"/>
        </w:rPr>
        <w:t xml:space="preserve"> 129.10 billion</w:t>
      </w:r>
      <w:r w:rsidRPr="00CC7DC8">
        <w:rPr>
          <w:rFonts w:eastAsia="Aptos" w:cstheme="minorHAnsi"/>
          <w:iCs/>
          <w:lang w:val="en-ID" w:eastAsia="en-PH"/>
        </w:rPr>
        <w:t xml:space="preserve">, with agriculture, fisheries and forestry contributing </w:t>
      </w:r>
      <w:r w:rsidRPr="00CC7DC8">
        <w:rPr>
          <w:rFonts w:eastAsia="Aptos" w:cstheme="minorHAnsi"/>
          <w:b/>
          <w:bCs/>
          <w:iCs/>
          <w:lang w:val="en-ID" w:eastAsia="en-PH"/>
        </w:rPr>
        <w:t>25.2%</w:t>
      </w:r>
      <w:r w:rsidRPr="00CC7DC8">
        <w:rPr>
          <w:rFonts w:eastAsia="Aptos" w:cstheme="minorHAnsi"/>
          <w:iCs/>
          <w:lang w:val="en-ID" w:eastAsia="en-PH"/>
        </w:rPr>
        <w:t xml:space="preserve"> to its 2023 economic performance (PSA, 2023).  On March 5 2025, the local legislative council at the provincial level, the Sangguniang </w:t>
      </w:r>
      <w:proofErr w:type="spellStart"/>
      <w:r w:rsidRPr="00CC7DC8">
        <w:rPr>
          <w:rFonts w:eastAsia="Aptos" w:cstheme="minorHAnsi"/>
          <w:iCs/>
          <w:lang w:val="en-ID" w:eastAsia="en-PH"/>
        </w:rPr>
        <w:t>Panlalawigan</w:t>
      </w:r>
      <w:proofErr w:type="spellEnd"/>
      <w:r w:rsidRPr="00CC7DC8">
        <w:rPr>
          <w:rFonts w:eastAsia="Aptos" w:cstheme="minorHAnsi"/>
          <w:iCs/>
          <w:lang w:val="en-ID" w:eastAsia="en-PH"/>
        </w:rPr>
        <w:t xml:space="preserve">, </w:t>
      </w:r>
      <w:r w:rsidRPr="00CC7DC8">
        <w:rPr>
          <w:rFonts w:eastAsia="Aptos" w:cstheme="minorHAnsi"/>
          <w:b/>
          <w:bCs/>
          <w:iCs/>
          <w:lang w:val="en-ID" w:eastAsia="en-PH"/>
        </w:rPr>
        <w:t>Provincial Ordinance No. 3646</w:t>
      </w:r>
      <w:r w:rsidRPr="00CC7DC8">
        <w:rPr>
          <w:rFonts w:eastAsia="Aptos" w:cstheme="minorHAnsi"/>
          <w:iCs/>
          <w:lang w:val="en-ID" w:eastAsia="en-PH"/>
        </w:rPr>
        <w:t xml:space="preserve">, set a </w:t>
      </w:r>
      <w:r w:rsidR="000D52D7" w:rsidRPr="00CC7DC8">
        <w:rPr>
          <w:rFonts w:eastAsia="Aptos" w:cstheme="minorHAnsi"/>
          <w:iCs/>
          <w:lang w:val="en-ID" w:eastAsia="en-PH"/>
        </w:rPr>
        <w:t>fift</w:t>
      </w:r>
      <w:r w:rsidR="000D52D7">
        <w:rPr>
          <w:rFonts w:eastAsia="Aptos" w:cstheme="minorHAnsi"/>
          <w:iCs/>
          <w:lang w:val="en-ID" w:eastAsia="en-PH"/>
        </w:rPr>
        <w:t>y-year</w:t>
      </w:r>
      <w:r w:rsidRPr="00CC7DC8">
        <w:rPr>
          <w:rFonts w:eastAsia="Aptos" w:cstheme="minorHAnsi"/>
          <w:iCs/>
          <w:lang w:val="en-ID" w:eastAsia="en-PH"/>
        </w:rPr>
        <w:t xml:space="preserve"> extendable moratorium on the issuance of endorsements for all </w:t>
      </w:r>
      <w:r w:rsidR="000D52D7" w:rsidRPr="00CC7DC8">
        <w:rPr>
          <w:rFonts w:eastAsia="Aptos" w:cstheme="minorHAnsi"/>
          <w:iCs/>
          <w:lang w:val="en-ID" w:eastAsia="en-PH"/>
        </w:rPr>
        <w:t>large- and small-scale</w:t>
      </w:r>
      <w:r w:rsidRPr="00CC7DC8">
        <w:rPr>
          <w:rFonts w:eastAsia="Aptos" w:cstheme="minorHAnsi"/>
          <w:iCs/>
          <w:lang w:val="en-ID" w:eastAsia="en-PH"/>
        </w:rPr>
        <w:t xml:space="preserve"> mining applications, including applications for exploration permits, mineral agreements, and financial and technical assistance agreements in the province of Palawan (Office of the Sangguniang </w:t>
      </w:r>
      <w:proofErr w:type="spellStart"/>
      <w:r w:rsidRPr="00CC7DC8">
        <w:rPr>
          <w:rFonts w:eastAsia="Aptos" w:cstheme="minorHAnsi"/>
          <w:iCs/>
          <w:lang w:val="en-ID" w:eastAsia="en-PH"/>
        </w:rPr>
        <w:t>Panlalawigan</w:t>
      </w:r>
      <w:proofErr w:type="spellEnd"/>
      <w:r w:rsidRPr="00CC7DC8">
        <w:rPr>
          <w:rFonts w:eastAsia="Aptos" w:cstheme="minorHAnsi"/>
          <w:iCs/>
          <w:lang w:val="en-ID" w:eastAsia="en-PH"/>
        </w:rPr>
        <w:t xml:space="preserve"> of Palawan, 2025).  This moratorium may result in reduced waterway pollution that will have a positive effect on the coastal and marine ecosystems in Palawan. However, a petition signed by various local and international NGOs dated 30 May 2025 (</w:t>
      </w:r>
      <w:proofErr w:type="spellStart"/>
      <w:r w:rsidRPr="00CC7DC8">
        <w:rPr>
          <w:rFonts w:eastAsia="Aptos" w:cstheme="minorHAnsi"/>
          <w:iCs/>
          <w:lang w:val="en-ID" w:eastAsia="en-PH"/>
        </w:rPr>
        <w:t>Rettet</w:t>
      </w:r>
      <w:proofErr w:type="spellEnd"/>
      <w:r w:rsidRPr="00CC7DC8">
        <w:rPr>
          <w:rFonts w:eastAsia="Aptos" w:cstheme="minorHAnsi"/>
          <w:iCs/>
          <w:lang w:val="en-ID" w:eastAsia="en-PH"/>
        </w:rPr>
        <w:t xml:space="preserve"> den </w:t>
      </w:r>
      <w:proofErr w:type="spellStart"/>
      <w:r w:rsidRPr="00CC7DC8">
        <w:rPr>
          <w:rFonts w:eastAsia="Aptos" w:cstheme="minorHAnsi"/>
          <w:iCs/>
          <w:lang w:val="en-ID" w:eastAsia="en-PH"/>
        </w:rPr>
        <w:t>Regenwald</w:t>
      </w:r>
      <w:proofErr w:type="spellEnd"/>
      <w:r w:rsidRPr="00CC7DC8">
        <w:rPr>
          <w:rFonts w:eastAsia="Aptos" w:cstheme="minorHAnsi"/>
          <w:iCs/>
          <w:lang w:val="en-ID" w:eastAsia="en-PH"/>
        </w:rPr>
        <w:t xml:space="preserve">, </w:t>
      </w:r>
      <w:proofErr w:type="spellStart"/>
      <w:r w:rsidRPr="00CC7DC8">
        <w:rPr>
          <w:rFonts w:eastAsia="Aptos" w:cstheme="minorHAnsi"/>
          <w:iCs/>
          <w:lang w:val="en-ID" w:eastAsia="en-PH"/>
        </w:rPr>
        <w:t>e.V</w:t>
      </w:r>
      <w:proofErr w:type="spellEnd"/>
      <w:r w:rsidRPr="00CC7DC8">
        <w:rPr>
          <w:rFonts w:eastAsia="Aptos" w:cstheme="minorHAnsi"/>
          <w:iCs/>
          <w:lang w:val="en-ID" w:eastAsia="en-PH"/>
        </w:rPr>
        <w:t>, 2025) showed that this ordinance has a loophole as the moratorium will not apply to the extensions or renewal of existing mining permits or agreements that do not involve new areas. Moreover, it will allow existing mining operations to continue, encroaching on indigenous peoples’ territories, in various municipalities of Southern Palawan.</w:t>
      </w:r>
    </w:p>
    <w:p w14:paraId="00AFB312" w14:textId="06686DDD" w:rsidR="00E16870" w:rsidRPr="00CC7DC8" w:rsidRDefault="00E16870" w:rsidP="00E16870">
      <w:pPr>
        <w:spacing w:after="240" w:line="276" w:lineRule="auto"/>
        <w:rPr>
          <w:rFonts w:eastAsia="Aptos" w:cstheme="minorHAnsi"/>
          <w:b/>
          <w:bCs/>
          <w:iCs/>
          <w:lang w:val="en-ID" w:eastAsia="en-PH"/>
        </w:rPr>
      </w:pPr>
      <w:r w:rsidRPr="00CC7DC8">
        <w:rPr>
          <w:rFonts w:eastAsia="Aptos" w:cstheme="minorHAnsi"/>
          <w:iCs/>
          <w:lang w:val="en-ID" w:eastAsia="en-PH"/>
        </w:rPr>
        <w:t xml:space="preserve">In the interest of promoting sustainable tourism in the province, the Provincial Government has recently proceeded with the commercial development of the 8.8 hectares of land located described as the </w:t>
      </w:r>
      <w:bookmarkStart w:id="19" w:name="_Hlk198885812"/>
      <w:r w:rsidRPr="00CC7DC8">
        <w:rPr>
          <w:rFonts w:eastAsia="Aptos" w:cstheme="minorHAnsi"/>
          <w:b/>
          <w:bCs/>
          <w:iCs/>
          <w:lang w:val="en-ID" w:eastAsia="en-PH"/>
        </w:rPr>
        <w:t>Coron Lagoons Waterfront Development Project</w:t>
      </w:r>
      <w:bookmarkEnd w:id="19"/>
      <w:r w:rsidRPr="00CC7DC8">
        <w:rPr>
          <w:rFonts w:eastAsia="Aptos" w:cstheme="minorHAnsi"/>
          <w:b/>
          <w:bCs/>
          <w:iCs/>
          <w:lang w:val="en-ID" w:eastAsia="en-PH"/>
        </w:rPr>
        <w:t xml:space="preserve"> </w:t>
      </w:r>
      <w:r w:rsidRPr="00CC7DC8">
        <w:rPr>
          <w:rFonts w:eastAsia="Aptos" w:cstheme="minorHAnsi"/>
          <w:iCs/>
          <w:lang w:val="en-ID" w:eastAsia="en-PH"/>
        </w:rPr>
        <w:t>(Palawan Provincial Government, 2025)</w:t>
      </w:r>
      <w:r w:rsidRPr="00CC7DC8">
        <w:rPr>
          <w:rFonts w:eastAsia="Aptos" w:cstheme="minorHAnsi"/>
          <w:b/>
          <w:bCs/>
          <w:iCs/>
          <w:lang w:val="en-ID" w:eastAsia="en-PH"/>
        </w:rPr>
        <w:t>.</w:t>
      </w:r>
    </w:p>
    <w:p w14:paraId="6F7571A8" w14:textId="77777777"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The various investments mentioned here in the project sites, the </w:t>
      </w:r>
      <w:r w:rsidRPr="00CC7DC8">
        <w:rPr>
          <w:rFonts w:eastAsia="Aptos" w:cstheme="minorHAnsi"/>
          <w:b/>
          <w:bCs/>
          <w:iCs/>
          <w:lang w:val="en-ID" w:eastAsia="en-PH"/>
        </w:rPr>
        <w:t>Offshore Wind Integration Port (OSWIP)</w:t>
      </w:r>
      <w:r w:rsidRPr="00CC7DC8">
        <w:rPr>
          <w:rFonts w:eastAsia="Aptos" w:cstheme="minorHAnsi"/>
          <w:iCs/>
          <w:lang w:val="en-ID" w:eastAsia="en-PH"/>
        </w:rPr>
        <w:t xml:space="preserve"> in Mabini, Batangas, and the </w:t>
      </w:r>
      <w:r w:rsidRPr="00CC7DC8">
        <w:rPr>
          <w:rFonts w:eastAsia="Aptos" w:cstheme="minorHAnsi"/>
          <w:b/>
          <w:bCs/>
          <w:iCs/>
          <w:lang w:val="en-ID" w:eastAsia="en-PH"/>
        </w:rPr>
        <w:t xml:space="preserve">Coron Lagoons Waterfront Development Project </w:t>
      </w:r>
      <w:r w:rsidRPr="00CC7DC8">
        <w:rPr>
          <w:rFonts w:eastAsia="Aptos" w:cstheme="minorHAnsi"/>
          <w:iCs/>
          <w:lang w:val="en-ID" w:eastAsia="en-PH"/>
        </w:rPr>
        <w:t xml:space="preserve">in Coron, Palawan, could have an outsized impact on the conservation efforts, including pollution prevention efforts that will be undertaken by the local government units in the sites.  </w:t>
      </w:r>
    </w:p>
    <w:p w14:paraId="19259556" w14:textId="6F4B6C7B" w:rsidR="00E16870" w:rsidRPr="00CC7DC8" w:rsidRDefault="00E16870" w:rsidP="00E16870">
      <w:pPr>
        <w:spacing w:after="240" w:line="276" w:lineRule="auto"/>
        <w:ind w:firstLine="0"/>
        <w:jc w:val="center"/>
        <w:rPr>
          <w:rFonts w:eastAsia="Aptos" w:cstheme="minorHAnsi"/>
          <w:b/>
          <w:bCs/>
          <w:iCs/>
          <w:lang w:val="en-ID" w:eastAsia="en-PH"/>
        </w:rPr>
      </w:pPr>
      <w:r w:rsidRPr="00CC7DC8">
        <w:rPr>
          <w:rFonts w:eastAsia="Aptos" w:cstheme="minorHAnsi"/>
          <w:b/>
          <w:bCs/>
          <w:iCs/>
          <w:lang w:val="en-ID" w:eastAsia="en-PH"/>
        </w:rPr>
        <w:t>Initiatives at the Project Sites</w:t>
      </w:r>
    </w:p>
    <w:p w14:paraId="6A854521" w14:textId="6460E88A" w:rsidR="00E16870" w:rsidRPr="00CC7DC8" w:rsidRDefault="00E16870" w:rsidP="00E16870">
      <w:pPr>
        <w:spacing w:after="240" w:line="276" w:lineRule="auto"/>
        <w:rPr>
          <w:rFonts w:eastAsia="Aptos" w:cstheme="minorHAnsi"/>
          <w:iCs/>
          <w:lang w:val="en-ID" w:eastAsia="en-PH"/>
        </w:rPr>
      </w:pPr>
      <w:r w:rsidRPr="00CC7DC8">
        <w:rPr>
          <w:rFonts w:eastAsia="Aptos" w:cstheme="minorHAnsi"/>
          <w:iCs/>
          <w:lang w:val="en-ID" w:eastAsia="en-PH"/>
        </w:rPr>
        <w:t xml:space="preserve">Since 1998 </w:t>
      </w:r>
      <w:proofErr w:type="spellStart"/>
      <w:r w:rsidRPr="00CC7DC8">
        <w:rPr>
          <w:rFonts w:eastAsia="Aptos" w:cstheme="minorHAnsi"/>
          <w:iCs/>
          <w:lang w:val="en-ID" w:eastAsia="en-PH"/>
        </w:rPr>
        <w:t>Kalikasan</w:t>
      </w:r>
      <w:proofErr w:type="spellEnd"/>
      <w:r w:rsidRPr="00CC7DC8">
        <w:rPr>
          <w:rFonts w:eastAsia="Aptos" w:cstheme="minorHAnsi"/>
          <w:iCs/>
          <w:lang w:val="en-ID" w:eastAsia="en-PH"/>
        </w:rPr>
        <w:t xml:space="preserve"> ng </w:t>
      </w:r>
      <w:proofErr w:type="spellStart"/>
      <w:r w:rsidRPr="00CC7DC8">
        <w:rPr>
          <w:rFonts w:eastAsia="Aptos" w:cstheme="minorHAnsi"/>
          <w:iCs/>
          <w:lang w:val="en-ID" w:eastAsia="en-PH"/>
        </w:rPr>
        <w:t>Pilipinas</w:t>
      </w:r>
      <w:proofErr w:type="spellEnd"/>
      <w:r w:rsidRPr="00CC7DC8">
        <w:rPr>
          <w:rFonts w:eastAsia="Aptos" w:cstheme="minorHAnsi"/>
          <w:iCs/>
          <w:lang w:val="en-ID" w:eastAsia="en-PH"/>
        </w:rPr>
        <w:t xml:space="preserve"> (KKP) has been carrying out conservation activities at </w:t>
      </w:r>
      <w:proofErr w:type="spellStart"/>
      <w:r w:rsidRPr="00CC7DC8">
        <w:rPr>
          <w:rFonts w:eastAsia="Aptos" w:cstheme="minorHAnsi"/>
          <w:iCs/>
          <w:lang w:val="en-ID" w:eastAsia="en-PH"/>
        </w:rPr>
        <w:t>Tingloy</w:t>
      </w:r>
      <w:proofErr w:type="spellEnd"/>
      <w:r w:rsidRPr="00CC7DC8">
        <w:rPr>
          <w:rFonts w:eastAsia="Aptos" w:cstheme="minorHAnsi"/>
          <w:iCs/>
          <w:lang w:val="en-ID" w:eastAsia="en-PH"/>
        </w:rPr>
        <w:t xml:space="preserve">. It began with the establishment of the </w:t>
      </w:r>
      <w:r w:rsidRPr="00CC7DC8">
        <w:rPr>
          <w:rFonts w:eastAsia="Aptos" w:cstheme="minorHAnsi"/>
          <w:b/>
          <w:bCs/>
          <w:iCs/>
          <w:lang w:val="en-ID" w:eastAsia="en-PH"/>
        </w:rPr>
        <w:t>Mabini-</w:t>
      </w:r>
      <w:proofErr w:type="spellStart"/>
      <w:r w:rsidRPr="00CC7DC8">
        <w:rPr>
          <w:rFonts w:eastAsia="Aptos" w:cstheme="minorHAnsi"/>
          <w:b/>
          <w:bCs/>
          <w:iCs/>
          <w:lang w:val="en-ID" w:eastAsia="en-PH"/>
        </w:rPr>
        <w:t>Tingloy</w:t>
      </w:r>
      <w:proofErr w:type="spellEnd"/>
      <w:r w:rsidRPr="00CC7DC8">
        <w:rPr>
          <w:rFonts w:eastAsia="Aptos" w:cstheme="minorHAnsi"/>
          <w:b/>
          <w:bCs/>
          <w:iCs/>
          <w:lang w:val="en-ID" w:eastAsia="en-PH"/>
        </w:rPr>
        <w:t xml:space="preserve"> Coastal Area Development Council</w:t>
      </w:r>
      <w:r w:rsidRPr="00CC7DC8">
        <w:rPr>
          <w:rFonts w:eastAsia="Aptos" w:cstheme="minorHAnsi"/>
          <w:iCs/>
          <w:lang w:val="en-ID" w:eastAsia="en-PH"/>
        </w:rPr>
        <w:t xml:space="preserve">, a </w:t>
      </w:r>
      <w:r>
        <w:rPr>
          <w:rFonts w:eastAsia="Aptos" w:cstheme="minorHAnsi"/>
          <w:iCs/>
          <w:lang w:val="en-ID" w:eastAsia="en-PH"/>
        </w:rPr>
        <w:t>c</w:t>
      </w:r>
      <w:r w:rsidRPr="00CC7DC8">
        <w:rPr>
          <w:rFonts w:eastAsia="Aptos" w:cstheme="minorHAnsi"/>
          <w:iCs/>
          <w:lang w:val="en-ID" w:eastAsia="en-PH"/>
        </w:rPr>
        <w:t>ommunity-based, multi-sectoral, intermunicipal council (MATINGCADC) which it envisages as the one which ultimately manages the rich marine resources in the region. To ensure this further, the project reinforced the coastal law enforcer "</w:t>
      </w:r>
      <w:proofErr w:type="spellStart"/>
      <w:r w:rsidRPr="00CC7DC8">
        <w:rPr>
          <w:rFonts w:eastAsia="Aptos" w:cstheme="minorHAnsi"/>
          <w:iCs/>
          <w:lang w:val="en-ID" w:eastAsia="en-PH"/>
        </w:rPr>
        <w:t>BantayDagat</w:t>
      </w:r>
      <w:proofErr w:type="spellEnd"/>
      <w:r w:rsidRPr="00CC7DC8">
        <w:rPr>
          <w:rFonts w:eastAsia="Aptos" w:cstheme="minorHAnsi"/>
          <w:iCs/>
          <w:lang w:val="en-ID" w:eastAsia="en-PH"/>
        </w:rPr>
        <w:t>" organized by the local council. "</w:t>
      </w:r>
      <w:proofErr w:type="spellStart"/>
      <w:r w:rsidRPr="00CC7DC8">
        <w:rPr>
          <w:rFonts w:eastAsia="Aptos" w:cstheme="minorHAnsi"/>
          <w:iCs/>
          <w:lang w:val="en-ID" w:eastAsia="en-PH"/>
        </w:rPr>
        <w:t>BantayDagat</w:t>
      </w:r>
      <w:proofErr w:type="spellEnd"/>
      <w:r w:rsidRPr="00CC7DC8">
        <w:rPr>
          <w:rFonts w:eastAsia="Aptos" w:cstheme="minorHAnsi"/>
          <w:iCs/>
          <w:lang w:val="en-ID" w:eastAsia="en-PH"/>
        </w:rPr>
        <w:t xml:space="preserve">" patrols the municipal waters of Mabini and </w:t>
      </w:r>
      <w:proofErr w:type="spellStart"/>
      <w:r w:rsidRPr="00CC7DC8">
        <w:rPr>
          <w:rFonts w:eastAsia="Aptos" w:cstheme="minorHAnsi"/>
          <w:iCs/>
          <w:lang w:val="en-ID" w:eastAsia="en-PH"/>
        </w:rPr>
        <w:t>Tingloy</w:t>
      </w:r>
      <w:proofErr w:type="spellEnd"/>
      <w:r w:rsidRPr="00CC7DC8">
        <w:rPr>
          <w:rFonts w:eastAsia="Aptos" w:cstheme="minorHAnsi"/>
          <w:iCs/>
          <w:lang w:val="en-ID" w:eastAsia="en-PH"/>
        </w:rPr>
        <w:t xml:space="preserve"> every night until wide daylight to increase the level of safety and the area 's protection from illegal fishermen. Recently, the municipality designated 22.01 hectares (54.4 acres) of thriving coral reef habitat as a marine protected area (MPA), only the second MPA to be established in the municipality which helped bolster an emerging ecotourism industry</w:t>
      </w:r>
      <w:r>
        <w:rPr>
          <w:rFonts w:eastAsia="Aptos" w:cstheme="minorHAnsi"/>
          <w:iCs/>
          <w:lang w:val="en-ID" w:eastAsia="en-PH"/>
        </w:rPr>
        <w:t xml:space="preserve"> (Bacal and Garcia, 2024)</w:t>
      </w:r>
      <w:r w:rsidRPr="00CC7DC8">
        <w:rPr>
          <w:rFonts w:eastAsia="Aptos" w:cstheme="minorHAnsi"/>
          <w:iCs/>
          <w:lang w:val="en-ID" w:eastAsia="en-PH"/>
        </w:rPr>
        <w:t>.</w:t>
      </w:r>
    </w:p>
    <w:p w14:paraId="1F846144" w14:textId="34942513" w:rsidR="00E16870" w:rsidRPr="00CC7DC8" w:rsidRDefault="00E16870" w:rsidP="000D52D7">
      <w:pPr>
        <w:spacing w:after="240" w:line="276" w:lineRule="auto"/>
        <w:rPr>
          <w:rFonts w:eastAsia="Aptos" w:cstheme="minorHAnsi"/>
          <w:iCs/>
          <w:lang w:val="en-ID" w:eastAsia="en-PH"/>
        </w:rPr>
      </w:pPr>
      <w:r w:rsidRPr="00CC7DC8">
        <w:rPr>
          <w:rFonts w:eastAsia="Aptos" w:cstheme="minorHAnsi"/>
          <w:iCs/>
          <w:lang w:val="en-ID" w:eastAsia="en-PH"/>
        </w:rPr>
        <w:t xml:space="preserve">In the province of Palawan, as provided by Republic Act 7611, there is institutionalized the </w:t>
      </w:r>
      <w:r w:rsidRPr="00CC7DC8">
        <w:rPr>
          <w:rFonts w:eastAsia="Aptos" w:cstheme="minorHAnsi"/>
          <w:iCs/>
          <w:lang w:eastAsia="en-PH"/>
        </w:rPr>
        <w:t xml:space="preserve">establishment of </w:t>
      </w:r>
      <w:r w:rsidRPr="00CC7DC8">
        <w:rPr>
          <w:rFonts w:eastAsia="Aptos" w:cstheme="minorHAnsi"/>
          <w:b/>
          <w:bCs/>
          <w:iCs/>
          <w:lang w:eastAsia="en-PH"/>
        </w:rPr>
        <w:t>Environmentally Critical Areas Network (ECAN)</w:t>
      </w:r>
      <w:r w:rsidRPr="00CC7DC8">
        <w:rPr>
          <w:rFonts w:eastAsia="Aptos" w:cstheme="minorHAnsi"/>
          <w:iCs/>
          <w:lang w:eastAsia="en-PH"/>
        </w:rPr>
        <w:t xml:space="preserve"> that guides the plans, programs, and projects implemented by the local governments. Thus</w:t>
      </w:r>
      <w:r>
        <w:rPr>
          <w:rFonts w:eastAsia="Aptos" w:cstheme="minorHAnsi"/>
          <w:iCs/>
          <w:lang w:eastAsia="en-PH"/>
        </w:rPr>
        <w:t>,</w:t>
      </w:r>
      <w:r w:rsidRPr="00CC7DC8">
        <w:rPr>
          <w:rFonts w:eastAsia="Aptos" w:cstheme="minorHAnsi"/>
          <w:iCs/>
          <w:lang w:eastAsia="en-PH"/>
        </w:rPr>
        <w:t xml:space="preserve"> in the </w:t>
      </w:r>
      <w:r w:rsidRPr="00CC7DC8">
        <w:rPr>
          <w:rFonts w:eastAsia="Aptos" w:cstheme="minorHAnsi"/>
          <w:iCs/>
          <w:lang w:val="en-ID" w:eastAsia="en-PH"/>
        </w:rPr>
        <w:t xml:space="preserve">municipality of Busuanga, they have an </w:t>
      </w:r>
      <w:r w:rsidRPr="00CC7DC8">
        <w:rPr>
          <w:rFonts w:eastAsia="Aptos" w:cstheme="minorHAnsi"/>
          <w:b/>
          <w:bCs/>
          <w:iCs/>
          <w:lang w:val="en-ID" w:eastAsia="en-PH"/>
        </w:rPr>
        <w:t>Environmentally Critical Area Network (ECAN) Resource Management Plan 2017-2022</w:t>
      </w:r>
      <w:r w:rsidRPr="00CC7DC8">
        <w:rPr>
          <w:rFonts w:eastAsia="Aptos" w:cstheme="minorHAnsi"/>
          <w:iCs/>
          <w:lang w:val="en-ID" w:eastAsia="en-PH"/>
        </w:rPr>
        <w:t xml:space="preserve"> pursuant to this mandate</w:t>
      </w:r>
      <w:r>
        <w:rPr>
          <w:rFonts w:eastAsia="Aptos" w:cstheme="minorHAnsi"/>
          <w:iCs/>
          <w:lang w:val="en-ID" w:eastAsia="en-PH"/>
        </w:rPr>
        <w:t xml:space="preserve"> (PCSD, n.d.)</w:t>
      </w:r>
      <w:r w:rsidRPr="00CC7DC8">
        <w:rPr>
          <w:rFonts w:eastAsia="Aptos" w:cstheme="minorHAnsi"/>
          <w:iCs/>
          <w:lang w:val="en-ID" w:eastAsia="en-PH"/>
        </w:rPr>
        <w:t>.</w:t>
      </w:r>
      <w:r w:rsidR="000D52D7">
        <w:rPr>
          <w:rFonts w:eastAsia="Aptos" w:cstheme="minorHAnsi"/>
          <w:iCs/>
          <w:lang w:val="en-ID" w:eastAsia="en-PH"/>
        </w:rPr>
        <w:br w:type="page"/>
      </w:r>
    </w:p>
    <w:p w14:paraId="1C867B90" w14:textId="1C27C544" w:rsidR="00E16870" w:rsidRDefault="00F467CC" w:rsidP="00E16870">
      <w:pPr>
        <w:pStyle w:val="Heading2"/>
        <w:jc w:val="center"/>
        <w:rPr>
          <w:rFonts w:eastAsia="Aptos"/>
          <w:lang w:val="en-ID" w:eastAsia="en-PH"/>
        </w:rPr>
      </w:pPr>
      <w:bookmarkStart w:id="20" w:name="_Toc215447069"/>
      <w:r>
        <w:rPr>
          <w:rFonts w:eastAsia="Aptos"/>
          <w:lang w:val="en-ID" w:eastAsia="en-PH"/>
        </w:rPr>
        <w:lastRenderedPageBreak/>
        <w:t>Annex 6.C</w:t>
      </w:r>
      <w:r w:rsidR="00E16870" w:rsidRPr="00E16870">
        <w:rPr>
          <w:rFonts w:eastAsia="Aptos"/>
          <w:lang w:val="en-ID" w:eastAsia="en-PH"/>
        </w:rPr>
        <w:t>. Institutions and their Duties and Functions related to Governance</w:t>
      </w:r>
      <w:bookmarkEnd w:id="20"/>
    </w:p>
    <w:p w14:paraId="39EA9DFA" w14:textId="390DEDA8" w:rsidR="00984BA9" w:rsidRPr="00984BA9" w:rsidRDefault="00984BA9" w:rsidP="00984BA9">
      <w:pPr>
        <w:ind w:firstLine="0"/>
        <w:rPr>
          <w:rFonts w:eastAsia="Aptos"/>
          <w:sz w:val="18"/>
          <w:szCs w:val="18"/>
          <w:lang w:val="en-ID" w:eastAsia="en-PH"/>
        </w:rPr>
      </w:pPr>
      <w:r w:rsidRPr="00984BA9">
        <w:rPr>
          <w:rFonts w:eastAsia="Aptos"/>
          <w:b/>
          <w:bCs/>
          <w:sz w:val="18"/>
          <w:szCs w:val="18"/>
          <w:lang w:val="en-ID" w:eastAsia="en-PH"/>
        </w:rPr>
        <w:t>Table 6.C.1</w:t>
      </w:r>
      <w:r w:rsidRPr="00984BA9">
        <w:rPr>
          <w:rFonts w:eastAsia="Aptos"/>
          <w:sz w:val="18"/>
          <w:szCs w:val="18"/>
          <w:lang w:val="en-ID" w:eastAsia="en-PH"/>
        </w:rPr>
        <w:t xml:space="preserve"> List of institutions and their duties and functions related to Governance</w:t>
      </w:r>
    </w:p>
    <w:tbl>
      <w:tblPr>
        <w:tblStyle w:val="PlainTable2"/>
        <w:tblW w:w="0" w:type="auto"/>
        <w:tblLook w:val="04A0" w:firstRow="1" w:lastRow="0" w:firstColumn="1" w:lastColumn="0" w:noHBand="0" w:noVBand="1"/>
      </w:tblPr>
      <w:tblGrid>
        <w:gridCol w:w="2337"/>
        <w:gridCol w:w="2337"/>
        <w:gridCol w:w="2338"/>
        <w:gridCol w:w="2338"/>
      </w:tblGrid>
      <w:tr w:rsidR="00E16870" w14:paraId="2B504741" w14:textId="77777777" w:rsidTr="000A6F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Borders>
              <w:top w:val="single" w:sz="12" w:space="0" w:color="auto"/>
              <w:bottom w:val="single" w:sz="12" w:space="0" w:color="auto"/>
            </w:tcBorders>
            <w:vAlign w:val="center"/>
          </w:tcPr>
          <w:p w14:paraId="6DC52F1B" w14:textId="77777777" w:rsidR="00E16870" w:rsidRPr="000A6FC3" w:rsidRDefault="00E16870" w:rsidP="000A6FC3">
            <w:pPr>
              <w:spacing w:line="276" w:lineRule="auto"/>
              <w:ind w:firstLine="0"/>
              <w:jc w:val="center"/>
              <w:rPr>
                <w:rFonts w:eastAsia="Aptos"/>
                <w:sz w:val="18"/>
                <w:szCs w:val="18"/>
                <w:lang w:val="en-ID" w:eastAsia="en-PH"/>
              </w:rPr>
            </w:pPr>
            <w:r w:rsidRPr="000A6FC3">
              <w:rPr>
                <w:rFonts w:eastAsia="Aptos"/>
                <w:sz w:val="18"/>
                <w:szCs w:val="18"/>
                <w:lang w:val="en-ID" w:eastAsia="en-PH"/>
              </w:rPr>
              <w:t>Institution</w:t>
            </w:r>
          </w:p>
        </w:tc>
        <w:tc>
          <w:tcPr>
            <w:tcW w:w="2337" w:type="dxa"/>
            <w:tcBorders>
              <w:top w:val="single" w:sz="12" w:space="0" w:color="auto"/>
              <w:bottom w:val="single" w:sz="12" w:space="0" w:color="auto"/>
            </w:tcBorders>
            <w:vAlign w:val="center"/>
          </w:tcPr>
          <w:p w14:paraId="40AD0F0D" w14:textId="77777777" w:rsidR="00E16870" w:rsidRPr="000A6FC3" w:rsidRDefault="00E16870" w:rsidP="000A6FC3">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Mandate</w:t>
            </w:r>
          </w:p>
        </w:tc>
        <w:tc>
          <w:tcPr>
            <w:tcW w:w="2338" w:type="dxa"/>
            <w:tcBorders>
              <w:top w:val="single" w:sz="12" w:space="0" w:color="auto"/>
              <w:bottom w:val="single" w:sz="12" w:space="0" w:color="auto"/>
            </w:tcBorders>
            <w:vAlign w:val="center"/>
          </w:tcPr>
          <w:p w14:paraId="4A274375" w14:textId="77777777" w:rsidR="00E16870" w:rsidRPr="000A6FC3" w:rsidRDefault="00E16870" w:rsidP="000A6FC3">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Linkages to Marine Governance</w:t>
            </w:r>
          </w:p>
        </w:tc>
        <w:tc>
          <w:tcPr>
            <w:tcW w:w="2338" w:type="dxa"/>
            <w:tcBorders>
              <w:top w:val="single" w:sz="12" w:space="0" w:color="auto"/>
              <w:bottom w:val="single" w:sz="12" w:space="0" w:color="auto"/>
            </w:tcBorders>
            <w:vAlign w:val="center"/>
          </w:tcPr>
          <w:p w14:paraId="5F53C242" w14:textId="77777777" w:rsidR="00E16870" w:rsidRPr="000A6FC3" w:rsidRDefault="00E16870" w:rsidP="000A6FC3">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Legal Foundation</w:t>
            </w:r>
          </w:p>
        </w:tc>
      </w:tr>
      <w:tr w:rsidR="002B7C33" w14:paraId="38766772" w14:textId="77777777" w:rsidTr="000A6FC3">
        <w:trPr>
          <w:cnfStyle w:val="000000100000" w:firstRow="0" w:lastRow="0" w:firstColumn="0" w:lastColumn="0" w:oddVBand="0" w:evenVBand="0" w:oddHBand="1" w:evenHBand="0" w:firstRowFirstColumn="0" w:firstRowLastColumn="0" w:lastRowFirstColumn="0" w:lastRowLastColumn="0"/>
          <w:trHeight w:val="1191"/>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12" w:space="0" w:color="auto"/>
              <w:bottom w:val="nil"/>
            </w:tcBorders>
            <w:vAlign w:val="center"/>
          </w:tcPr>
          <w:p w14:paraId="079DE274" w14:textId="2FB5D21F" w:rsidR="002B7C33" w:rsidRPr="000A6FC3" w:rsidRDefault="002B7C33" w:rsidP="000A6FC3">
            <w:pPr>
              <w:spacing w:line="276" w:lineRule="auto"/>
              <w:ind w:firstLine="0"/>
              <w:jc w:val="center"/>
              <w:rPr>
                <w:rFonts w:eastAsia="Aptos"/>
                <w:b w:val="0"/>
                <w:bCs w:val="0"/>
                <w:sz w:val="18"/>
                <w:szCs w:val="18"/>
                <w:lang w:val="en-ID" w:eastAsia="en-PH"/>
              </w:rPr>
            </w:pPr>
            <w:r w:rsidRPr="000A6FC3">
              <w:rPr>
                <w:rFonts w:eastAsia="Aptos"/>
                <w:b w:val="0"/>
                <w:bCs w:val="0"/>
                <w:sz w:val="18"/>
                <w:szCs w:val="18"/>
                <w:lang w:val="en-ID" w:eastAsia="en-PH"/>
              </w:rPr>
              <w:t>Department of Environment and Natural Resources (DENR)</w:t>
            </w:r>
          </w:p>
        </w:tc>
        <w:tc>
          <w:tcPr>
            <w:tcW w:w="2337" w:type="dxa"/>
            <w:tcBorders>
              <w:top w:val="single" w:sz="12" w:space="0" w:color="auto"/>
              <w:bottom w:val="single" w:sz="4" w:space="0" w:color="auto"/>
            </w:tcBorders>
          </w:tcPr>
          <w:p w14:paraId="1F84D63F" w14:textId="271EC7B9"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 primary government agency responsible for:</w:t>
            </w:r>
          </w:p>
        </w:tc>
        <w:tc>
          <w:tcPr>
            <w:tcW w:w="2338" w:type="dxa"/>
            <w:vMerge w:val="restart"/>
            <w:tcBorders>
              <w:top w:val="single" w:sz="12" w:space="0" w:color="auto"/>
              <w:bottom w:val="single" w:sz="4" w:space="0" w:color="auto"/>
            </w:tcBorders>
          </w:tcPr>
          <w:p w14:paraId="78598117" w14:textId="51947F92"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Matters relating to conservation, management, development and proper use of coastal and marine resources</w:t>
            </w:r>
          </w:p>
          <w:p w14:paraId="654894BB" w14:textId="3D18392D" w:rsidR="002B7C33" w:rsidRPr="000A6FC3" w:rsidRDefault="002B7C33" w:rsidP="00984B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Licensing and regulation of all activities related to the above</w:t>
            </w:r>
          </w:p>
          <w:p w14:paraId="11AE30FC" w14:textId="77777777" w:rsidR="002B7C33" w:rsidRPr="000A6FC3" w:rsidRDefault="002B7C33" w:rsidP="000A6FC3">
            <w:pPr>
              <w:spacing w:line="276" w:lineRule="auto"/>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p w14:paraId="1CBA593A" w14:textId="793E39AA" w:rsidR="002B7C33" w:rsidRPr="000A6FC3" w:rsidRDefault="002B7C33" w:rsidP="00984BA9">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c>
          <w:tcPr>
            <w:tcW w:w="2338" w:type="dxa"/>
            <w:tcBorders>
              <w:top w:val="single" w:sz="12" w:space="0" w:color="auto"/>
              <w:bottom w:val="single" w:sz="4" w:space="0" w:color="auto"/>
            </w:tcBorders>
          </w:tcPr>
          <w:p w14:paraId="17C9EC2E" w14:textId="6B1B3687" w:rsidR="000A6FC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4, Executive Order No. 192, series of 1987</w:t>
            </w:r>
          </w:p>
        </w:tc>
      </w:tr>
      <w:tr w:rsidR="002B7C33" w14:paraId="53D465DC" w14:textId="77777777" w:rsidTr="000A6FC3">
        <w:trPr>
          <w:trHeight w:val="1188"/>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28AC1FC2"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nil"/>
            </w:tcBorders>
          </w:tcPr>
          <w:p w14:paraId="6E4B19CF" w14:textId="0DEE1BFC"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 conservation, management, development and proper use of the country's environment and natural resources,</w:t>
            </w:r>
          </w:p>
        </w:tc>
        <w:tc>
          <w:tcPr>
            <w:tcW w:w="2338" w:type="dxa"/>
            <w:vMerge/>
            <w:tcBorders>
              <w:top w:val="single" w:sz="4" w:space="0" w:color="auto"/>
              <w:bottom w:val="nil"/>
            </w:tcBorders>
          </w:tcPr>
          <w:p w14:paraId="522A0D37"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nil"/>
            </w:tcBorders>
          </w:tcPr>
          <w:p w14:paraId="3249C9ED"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r>
      <w:tr w:rsidR="002B7C33" w14:paraId="2857FE8C" w14:textId="77777777" w:rsidTr="000A6FC3">
        <w:trPr>
          <w:cnfStyle w:val="000000100000" w:firstRow="0" w:lastRow="0" w:firstColumn="0" w:lastColumn="0" w:oddVBand="0" w:evenVBand="0" w:oddHBand="1" w:evenHBand="0" w:firstRowFirstColumn="0" w:firstRowLastColumn="0" w:lastRowFirstColumn="0" w:lastRowLastColumn="0"/>
          <w:trHeight w:val="783"/>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16547DD2"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nil"/>
              <w:bottom w:val="single" w:sz="4" w:space="0" w:color="auto"/>
            </w:tcBorders>
          </w:tcPr>
          <w:p w14:paraId="426B8D0C" w14:textId="4BF4CBC5"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 licensing and regulation of all natural resources as may be</w:t>
            </w:r>
            <w:r w:rsidR="000A6FC3">
              <w:rPr>
                <w:rFonts w:eastAsia="Aptos"/>
                <w:sz w:val="18"/>
                <w:szCs w:val="18"/>
                <w:lang w:val="en-ID" w:eastAsia="en-PH"/>
              </w:rPr>
              <w:t xml:space="preserve"> </w:t>
            </w:r>
            <w:r w:rsidRPr="000A6FC3">
              <w:rPr>
                <w:rFonts w:eastAsia="Aptos"/>
                <w:sz w:val="18"/>
                <w:szCs w:val="18"/>
                <w:lang w:val="en-ID" w:eastAsia="en-PH"/>
              </w:rPr>
              <w:t>provided for by law</w:t>
            </w:r>
          </w:p>
        </w:tc>
        <w:tc>
          <w:tcPr>
            <w:tcW w:w="2338" w:type="dxa"/>
            <w:vMerge/>
            <w:tcBorders>
              <w:top w:val="nil"/>
              <w:bottom w:val="single" w:sz="4" w:space="0" w:color="auto"/>
            </w:tcBorders>
          </w:tcPr>
          <w:p w14:paraId="330EE232" w14:textId="77777777"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c>
          <w:tcPr>
            <w:tcW w:w="2338" w:type="dxa"/>
            <w:tcBorders>
              <w:top w:val="nil"/>
              <w:bottom w:val="single" w:sz="4" w:space="0" w:color="auto"/>
            </w:tcBorders>
          </w:tcPr>
          <w:p w14:paraId="5D087406" w14:textId="77777777"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r>
      <w:tr w:rsidR="002B7C33" w14:paraId="1FFC3E84" w14:textId="77777777" w:rsidTr="00984BA9">
        <w:trPr>
          <w:trHeight w:val="1265"/>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single" w:sz="4" w:space="0" w:color="auto"/>
            </w:tcBorders>
          </w:tcPr>
          <w:p w14:paraId="52CCF7B5"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single" w:sz="4" w:space="0" w:color="auto"/>
            </w:tcBorders>
          </w:tcPr>
          <w:p w14:paraId="1C47B319" w14:textId="5B7E95FE" w:rsidR="000A6FC3" w:rsidRPr="000A6FC3" w:rsidRDefault="002B7C33" w:rsidP="00984B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 primary government agency responsible for the implementation and enforcement of the Clean Water Act</w:t>
            </w:r>
          </w:p>
        </w:tc>
        <w:tc>
          <w:tcPr>
            <w:tcW w:w="2338" w:type="dxa"/>
            <w:vMerge/>
            <w:tcBorders>
              <w:top w:val="single" w:sz="4" w:space="0" w:color="auto"/>
              <w:bottom w:val="single" w:sz="4" w:space="0" w:color="auto"/>
            </w:tcBorders>
          </w:tcPr>
          <w:p w14:paraId="05AE7F7B"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vAlign w:val="center"/>
          </w:tcPr>
          <w:p w14:paraId="125D4A68" w14:textId="69BBD799" w:rsidR="002B7C33" w:rsidRPr="000A6FC3" w:rsidRDefault="002B7C33" w:rsidP="00984B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19, Clean Water Act, RA 9275</w:t>
            </w:r>
          </w:p>
        </w:tc>
      </w:tr>
      <w:tr w:rsidR="002B7C33" w14:paraId="2DCAFA4E" w14:textId="77777777" w:rsidTr="000A6FC3">
        <w:trPr>
          <w:cnfStyle w:val="000000100000" w:firstRow="0" w:lastRow="0" w:firstColumn="0" w:lastColumn="0" w:oddVBand="0" w:evenVBand="0" w:oddHBand="1" w:evenHBand="0" w:firstRowFirstColumn="0" w:firstRowLastColumn="0" w:lastRowFirstColumn="0" w:lastRowLastColumn="0"/>
          <w:trHeight w:val="1140"/>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4" w:space="0" w:color="auto"/>
              <w:bottom w:val="nil"/>
            </w:tcBorders>
            <w:vAlign w:val="center"/>
          </w:tcPr>
          <w:p w14:paraId="316B45E0" w14:textId="155F6219" w:rsidR="002B7C33" w:rsidRPr="000A6FC3" w:rsidRDefault="002B7C33" w:rsidP="000A6FC3">
            <w:pPr>
              <w:spacing w:line="276" w:lineRule="auto"/>
              <w:ind w:firstLine="0"/>
              <w:jc w:val="center"/>
              <w:rPr>
                <w:rFonts w:eastAsia="Aptos"/>
                <w:b w:val="0"/>
                <w:bCs w:val="0"/>
                <w:sz w:val="18"/>
                <w:szCs w:val="18"/>
                <w:lang w:val="en-ID" w:eastAsia="en-PH"/>
              </w:rPr>
            </w:pPr>
            <w:r w:rsidRPr="000A6FC3">
              <w:rPr>
                <w:rFonts w:eastAsia="Aptos"/>
                <w:b w:val="0"/>
                <w:bCs w:val="0"/>
                <w:sz w:val="18"/>
                <w:szCs w:val="18"/>
                <w:lang w:val="en-ID" w:eastAsia="en-PH"/>
              </w:rPr>
              <w:t xml:space="preserve">Environmental Management Bureau </w:t>
            </w:r>
            <w:r w:rsidRPr="000A6FC3">
              <w:rPr>
                <w:rFonts w:eastAsia="Aptos"/>
                <w:sz w:val="18"/>
                <w:szCs w:val="18"/>
                <w:lang w:val="en-ID" w:eastAsia="en-PH"/>
              </w:rPr>
              <w:t>(</w:t>
            </w:r>
            <w:r w:rsidRPr="000A6FC3">
              <w:rPr>
                <w:rFonts w:eastAsia="Aptos"/>
                <w:b w:val="0"/>
                <w:bCs w:val="0"/>
                <w:sz w:val="18"/>
                <w:szCs w:val="18"/>
                <w:lang w:val="en-ID" w:eastAsia="en-PH"/>
              </w:rPr>
              <w:t>EMB)</w:t>
            </w:r>
          </w:p>
        </w:tc>
        <w:tc>
          <w:tcPr>
            <w:tcW w:w="2337" w:type="dxa"/>
            <w:tcBorders>
              <w:top w:val="single" w:sz="4" w:space="0" w:color="auto"/>
              <w:bottom w:val="single" w:sz="4" w:space="0" w:color="auto"/>
            </w:tcBorders>
          </w:tcPr>
          <w:p w14:paraId="79367D41" w14:textId="0F18B452"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Matters relating to environmental management &amp; pollution control</w:t>
            </w:r>
          </w:p>
        </w:tc>
        <w:tc>
          <w:tcPr>
            <w:tcW w:w="2338" w:type="dxa"/>
            <w:vMerge w:val="restart"/>
            <w:tcBorders>
              <w:top w:val="single" w:sz="4" w:space="0" w:color="auto"/>
              <w:bottom w:val="single" w:sz="4" w:space="0" w:color="auto"/>
            </w:tcBorders>
          </w:tcPr>
          <w:p w14:paraId="3A701DC0" w14:textId="3FBDCB70"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These mandates relate to the management and maintenance of the good quality of the marine ecosystem</w:t>
            </w:r>
          </w:p>
        </w:tc>
        <w:tc>
          <w:tcPr>
            <w:tcW w:w="2338" w:type="dxa"/>
            <w:tcBorders>
              <w:top w:val="single" w:sz="4" w:space="0" w:color="auto"/>
              <w:bottom w:val="single" w:sz="4" w:space="0" w:color="auto"/>
            </w:tcBorders>
          </w:tcPr>
          <w:p w14:paraId="6C525670" w14:textId="3B344754"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16 (a) and (b), Executive Order No. 192, series of 1987</w:t>
            </w:r>
          </w:p>
        </w:tc>
      </w:tr>
      <w:tr w:rsidR="002B7C33" w14:paraId="67B1A97C" w14:textId="77777777" w:rsidTr="000A6FC3">
        <w:trPr>
          <w:trHeight w:val="1140"/>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68092D18"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single" w:sz="4" w:space="0" w:color="auto"/>
            </w:tcBorders>
          </w:tcPr>
          <w:p w14:paraId="4313E1BD" w14:textId="719C2A89"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(c) Formulate environmental quality standards such as the quality standards for water, air, land, noise and radiations;</w:t>
            </w:r>
          </w:p>
        </w:tc>
        <w:tc>
          <w:tcPr>
            <w:tcW w:w="2338" w:type="dxa"/>
            <w:vMerge/>
            <w:tcBorders>
              <w:top w:val="single" w:sz="4" w:space="0" w:color="auto"/>
              <w:bottom w:val="single" w:sz="4" w:space="0" w:color="auto"/>
            </w:tcBorders>
          </w:tcPr>
          <w:p w14:paraId="6CC7D857"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49C362CA" w14:textId="11B0C7AB" w:rsidR="002B7C33" w:rsidRPr="000A6FC3" w:rsidRDefault="002B7C33" w:rsidP="000A6FC3">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16 (c), E0 192</w:t>
            </w:r>
          </w:p>
        </w:tc>
      </w:tr>
      <w:tr w:rsidR="002B7C33" w14:paraId="5AC5686C" w14:textId="77777777" w:rsidTr="000A6FC3">
        <w:trPr>
          <w:cnfStyle w:val="000000100000" w:firstRow="0" w:lastRow="0" w:firstColumn="0" w:lastColumn="0" w:oddVBand="0" w:evenVBand="0" w:oddHBand="1" w:evenHBand="0" w:firstRowFirstColumn="0" w:firstRowLastColumn="0" w:lastRowFirstColumn="0" w:lastRowLastColumn="0"/>
          <w:trHeight w:val="1140"/>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25BFEC8A"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single" w:sz="4" w:space="0" w:color="auto"/>
            </w:tcBorders>
          </w:tcPr>
          <w:p w14:paraId="48D3BFEB" w14:textId="77777777"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(e) formulate rules and regulation for the proper disposition of solid wastes, toxic and</w:t>
            </w:r>
          </w:p>
          <w:p w14:paraId="4EE23296" w14:textId="22C21CDE"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hazardous substances;</w:t>
            </w:r>
          </w:p>
        </w:tc>
        <w:tc>
          <w:tcPr>
            <w:tcW w:w="2338" w:type="dxa"/>
            <w:vMerge/>
            <w:tcBorders>
              <w:top w:val="single" w:sz="4" w:space="0" w:color="auto"/>
              <w:bottom w:val="single" w:sz="4" w:space="0" w:color="auto"/>
            </w:tcBorders>
          </w:tcPr>
          <w:p w14:paraId="56BB9722" w14:textId="77777777"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75A1C9BE" w14:textId="45E89DD9"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16 (e), E0 192</w:t>
            </w:r>
          </w:p>
        </w:tc>
      </w:tr>
      <w:tr w:rsidR="002B7C33" w14:paraId="28125AED" w14:textId="77777777" w:rsidTr="000A6FC3">
        <w:trPr>
          <w:trHeight w:val="70"/>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single" w:sz="4" w:space="0" w:color="auto"/>
            </w:tcBorders>
          </w:tcPr>
          <w:p w14:paraId="6243CE60" w14:textId="77777777" w:rsidR="002B7C33" w:rsidRPr="000A6FC3" w:rsidRDefault="002B7C33" w:rsidP="000A6FC3">
            <w:pPr>
              <w:spacing w:line="276" w:lineRule="auto"/>
              <w:ind w:firstLine="0"/>
              <w:jc w:val="left"/>
              <w:rPr>
                <w:rFonts w:eastAsia="Aptos"/>
                <w:sz w:val="18"/>
                <w:szCs w:val="18"/>
                <w:lang w:val="en-ID" w:eastAsia="en-PH"/>
              </w:rPr>
            </w:pPr>
          </w:p>
        </w:tc>
        <w:tc>
          <w:tcPr>
            <w:tcW w:w="2337" w:type="dxa"/>
            <w:tcBorders>
              <w:top w:val="single" w:sz="4" w:space="0" w:color="auto"/>
              <w:bottom w:val="single" w:sz="4" w:space="0" w:color="auto"/>
            </w:tcBorders>
          </w:tcPr>
          <w:p w14:paraId="5E511C3A" w14:textId="08821D3C"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Converted to a line bureau to lead the implementation of the Clean Water Act</w:t>
            </w:r>
          </w:p>
        </w:tc>
        <w:tc>
          <w:tcPr>
            <w:tcW w:w="2338" w:type="dxa"/>
            <w:vMerge/>
            <w:tcBorders>
              <w:top w:val="single" w:sz="4" w:space="0" w:color="auto"/>
              <w:bottom w:val="single" w:sz="4" w:space="0" w:color="auto"/>
            </w:tcBorders>
          </w:tcPr>
          <w:p w14:paraId="68B4D7BA"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7CC4E1AB" w14:textId="688CB8B2" w:rsidR="002B7C33" w:rsidRPr="000A6FC3" w:rsidRDefault="002B7C33" w:rsidP="000A6FC3">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34, Clean Air Act (RA 8749)</w:t>
            </w:r>
          </w:p>
        </w:tc>
      </w:tr>
      <w:tr w:rsidR="002B7C33" w14:paraId="544721AD" w14:textId="77777777" w:rsidTr="000A6FC3">
        <w:trPr>
          <w:cnfStyle w:val="000000100000" w:firstRow="0" w:lastRow="0" w:firstColumn="0" w:lastColumn="0" w:oddVBand="0" w:evenVBand="0" w:oddHBand="1" w:evenHBand="0" w:firstRowFirstColumn="0" w:firstRowLastColumn="0" w:lastRowFirstColumn="0" w:lastRowLastColumn="0"/>
          <w:trHeight w:val="678"/>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4" w:space="0" w:color="auto"/>
              <w:bottom w:val="nil"/>
            </w:tcBorders>
            <w:vAlign w:val="center"/>
          </w:tcPr>
          <w:p w14:paraId="5EF1404D" w14:textId="77777777" w:rsidR="002B7C33" w:rsidRPr="000A6FC3" w:rsidRDefault="002B7C33" w:rsidP="000A6FC3">
            <w:pPr>
              <w:spacing w:line="276" w:lineRule="auto"/>
              <w:ind w:firstLine="0"/>
              <w:jc w:val="center"/>
              <w:rPr>
                <w:rFonts w:eastAsia="Aptos"/>
                <w:b w:val="0"/>
                <w:bCs w:val="0"/>
                <w:sz w:val="18"/>
                <w:szCs w:val="18"/>
                <w:lang w:val="en-ID" w:eastAsia="en-PH"/>
              </w:rPr>
            </w:pPr>
            <w:r w:rsidRPr="000A6FC3">
              <w:rPr>
                <w:rFonts w:eastAsia="Aptos"/>
                <w:b w:val="0"/>
                <w:bCs w:val="0"/>
                <w:sz w:val="18"/>
                <w:szCs w:val="18"/>
                <w:lang w:val="en-ID" w:eastAsia="en-PH"/>
              </w:rPr>
              <w:t>Biodiversity Management Bureau</w:t>
            </w:r>
          </w:p>
        </w:tc>
        <w:tc>
          <w:tcPr>
            <w:tcW w:w="2337" w:type="dxa"/>
            <w:tcBorders>
              <w:top w:val="single" w:sz="4" w:space="0" w:color="auto"/>
              <w:bottom w:val="single" w:sz="4" w:space="0" w:color="auto"/>
            </w:tcBorders>
          </w:tcPr>
          <w:p w14:paraId="617C1D78" w14:textId="71019FEA" w:rsidR="002B7C33" w:rsidRPr="000A6FC3" w:rsidRDefault="002B7C3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(a)establishment and management of marine parks,</w:t>
            </w:r>
          </w:p>
        </w:tc>
        <w:tc>
          <w:tcPr>
            <w:tcW w:w="2338" w:type="dxa"/>
            <w:vMerge w:val="restart"/>
            <w:tcBorders>
              <w:top w:val="single" w:sz="4" w:space="0" w:color="auto"/>
              <w:bottom w:val="single" w:sz="4" w:space="0" w:color="auto"/>
            </w:tcBorders>
          </w:tcPr>
          <w:p w14:paraId="71835F54" w14:textId="628BCDF6"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Setting up of marine parks and similar protected areas</w:t>
            </w:r>
          </w:p>
        </w:tc>
        <w:tc>
          <w:tcPr>
            <w:tcW w:w="2338" w:type="dxa"/>
            <w:tcBorders>
              <w:top w:val="single" w:sz="4" w:space="0" w:color="auto"/>
              <w:bottom w:val="single" w:sz="4" w:space="0" w:color="auto"/>
            </w:tcBorders>
          </w:tcPr>
          <w:p w14:paraId="3729A90D" w14:textId="1F81C496" w:rsidR="002B7C33" w:rsidRPr="000A6FC3" w:rsidRDefault="002B7C3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18 (a), EO 192</w:t>
            </w:r>
          </w:p>
        </w:tc>
      </w:tr>
      <w:tr w:rsidR="002B7C33" w14:paraId="479720D0" w14:textId="77777777" w:rsidTr="000A6FC3">
        <w:trPr>
          <w:trHeight w:val="1140"/>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single" w:sz="4" w:space="0" w:color="auto"/>
            </w:tcBorders>
          </w:tcPr>
          <w:p w14:paraId="23EE053E" w14:textId="77777777" w:rsidR="002B7C33" w:rsidRPr="000A6FC3" w:rsidRDefault="002B7C33" w:rsidP="000A6FC3">
            <w:pPr>
              <w:spacing w:line="276" w:lineRule="auto"/>
              <w:ind w:firstLine="0"/>
              <w:jc w:val="center"/>
              <w:rPr>
                <w:rFonts w:eastAsia="Aptos"/>
                <w:sz w:val="18"/>
                <w:szCs w:val="18"/>
                <w:lang w:val="en-ID" w:eastAsia="en-PH"/>
              </w:rPr>
            </w:pPr>
          </w:p>
        </w:tc>
        <w:tc>
          <w:tcPr>
            <w:tcW w:w="2337" w:type="dxa"/>
            <w:tcBorders>
              <w:top w:val="single" w:sz="4" w:space="0" w:color="auto"/>
              <w:bottom w:val="single" w:sz="4" w:space="0" w:color="auto"/>
            </w:tcBorders>
          </w:tcPr>
          <w:p w14:paraId="7D4BD2D1" w14:textId="4913A645"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(b) formulate policies for the preservation of biological diversity, genetic resources, and endangered Philippine flora and fauna;</w:t>
            </w:r>
          </w:p>
        </w:tc>
        <w:tc>
          <w:tcPr>
            <w:tcW w:w="2338" w:type="dxa"/>
            <w:vMerge/>
            <w:tcBorders>
              <w:top w:val="single" w:sz="4" w:space="0" w:color="auto"/>
              <w:bottom w:val="single" w:sz="4" w:space="0" w:color="auto"/>
            </w:tcBorders>
          </w:tcPr>
          <w:p w14:paraId="60E39E13" w14:textId="77777777" w:rsidR="002B7C33" w:rsidRPr="000A6FC3" w:rsidRDefault="002B7C3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17342C60" w14:textId="7E4105A0" w:rsidR="002B7C33" w:rsidRPr="000A6FC3" w:rsidRDefault="002B7C33" w:rsidP="000A6FC3">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18 (b), EO 192</w:t>
            </w:r>
          </w:p>
        </w:tc>
      </w:tr>
      <w:tr w:rsidR="000A6FC3" w14:paraId="57434EF3" w14:textId="77777777" w:rsidTr="000A6FC3">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2337" w:type="dxa"/>
            <w:vMerge w:val="restart"/>
            <w:tcBorders>
              <w:top w:val="single" w:sz="4" w:space="0" w:color="auto"/>
              <w:bottom w:val="nil"/>
            </w:tcBorders>
            <w:vAlign w:val="center"/>
          </w:tcPr>
          <w:p w14:paraId="0972161F" w14:textId="2A157AA9" w:rsidR="000A6FC3" w:rsidRPr="000A6FC3" w:rsidRDefault="000A6FC3" w:rsidP="000A6FC3">
            <w:pPr>
              <w:spacing w:line="276" w:lineRule="auto"/>
              <w:ind w:firstLine="0"/>
              <w:jc w:val="center"/>
              <w:rPr>
                <w:rFonts w:eastAsia="Aptos"/>
                <w:b w:val="0"/>
                <w:bCs w:val="0"/>
                <w:sz w:val="18"/>
                <w:szCs w:val="18"/>
                <w:lang w:val="en-ID" w:eastAsia="en-PH"/>
              </w:rPr>
            </w:pPr>
            <w:r w:rsidRPr="000A6FC3">
              <w:rPr>
                <w:rFonts w:eastAsia="Aptos"/>
                <w:b w:val="0"/>
                <w:bCs w:val="0"/>
                <w:sz w:val="18"/>
                <w:szCs w:val="18"/>
                <w:lang w:val="en-ID" w:eastAsia="en-PH"/>
              </w:rPr>
              <w:t>Bureau of Fisheries and Aquatic Resources (BFAR)</w:t>
            </w:r>
          </w:p>
        </w:tc>
        <w:tc>
          <w:tcPr>
            <w:tcW w:w="2337" w:type="dxa"/>
            <w:tcBorders>
              <w:top w:val="single" w:sz="4" w:space="0" w:color="auto"/>
              <w:bottom w:val="single" w:sz="4" w:space="0" w:color="auto"/>
            </w:tcBorders>
          </w:tcPr>
          <w:p w14:paraId="021632CC" w14:textId="63BCF5BB" w:rsidR="000A6FC3" w:rsidRPr="000A6FC3" w:rsidRDefault="000A6FC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 xml:space="preserve">Formulate and implement a Comprehensive Fishery Research and Development Program, … aimed at </w:t>
            </w:r>
            <w:r w:rsidRPr="000A6FC3">
              <w:rPr>
                <w:rFonts w:eastAsia="Aptos"/>
                <w:sz w:val="18"/>
                <w:szCs w:val="18"/>
                <w:lang w:val="en-ID" w:eastAsia="en-PH"/>
              </w:rPr>
              <w:lastRenderedPageBreak/>
              <w:t>increasing resource productivity, improving resource use efficiency, and ensuring the long-term sustainability of the country's fishery and aquatic resources;</w:t>
            </w:r>
          </w:p>
        </w:tc>
        <w:tc>
          <w:tcPr>
            <w:tcW w:w="2338" w:type="dxa"/>
            <w:vMerge w:val="restart"/>
            <w:tcBorders>
              <w:top w:val="single" w:sz="4" w:space="0" w:color="auto"/>
              <w:bottom w:val="single" w:sz="4" w:space="0" w:color="auto"/>
            </w:tcBorders>
          </w:tcPr>
          <w:p w14:paraId="28A75E5A" w14:textId="77777777" w:rsidR="000A6FC3" w:rsidRPr="000A6FC3" w:rsidRDefault="000A6FC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lastRenderedPageBreak/>
              <w:t xml:space="preserve">These mandates relate to the utilization and belatedly, the conservation and </w:t>
            </w:r>
            <w:r w:rsidRPr="000A6FC3">
              <w:rPr>
                <w:rFonts w:eastAsia="Aptos"/>
                <w:sz w:val="18"/>
                <w:szCs w:val="18"/>
                <w:lang w:val="en-ID" w:eastAsia="en-PH"/>
              </w:rPr>
              <w:lastRenderedPageBreak/>
              <w:t>management, of fisheries resources</w:t>
            </w:r>
          </w:p>
        </w:tc>
        <w:tc>
          <w:tcPr>
            <w:tcW w:w="2338" w:type="dxa"/>
            <w:tcBorders>
              <w:top w:val="single" w:sz="4" w:space="0" w:color="auto"/>
              <w:bottom w:val="single" w:sz="4" w:space="0" w:color="auto"/>
            </w:tcBorders>
          </w:tcPr>
          <w:p w14:paraId="1EDB1F0F" w14:textId="36BC4DCE" w:rsidR="000A6FC3" w:rsidRPr="000A6FC3" w:rsidRDefault="000A6FC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lastRenderedPageBreak/>
              <w:t>Sec. 65 (e), Fisheries Code, RA 8550</w:t>
            </w:r>
          </w:p>
        </w:tc>
      </w:tr>
      <w:tr w:rsidR="000A6FC3" w14:paraId="18E8D607" w14:textId="77777777" w:rsidTr="000A6FC3">
        <w:trPr>
          <w:trHeight w:val="1262"/>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nil"/>
            </w:tcBorders>
          </w:tcPr>
          <w:p w14:paraId="3CF9ED98" w14:textId="77777777" w:rsidR="000A6FC3" w:rsidRPr="000A6FC3" w:rsidRDefault="000A6FC3" w:rsidP="000A6FC3">
            <w:pPr>
              <w:spacing w:line="276" w:lineRule="auto"/>
              <w:ind w:firstLine="0"/>
              <w:jc w:val="center"/>
              <w:rPr>
                <w:rFonts w:eastAsia="Aptos"/>
                <w:sz w:val="18"/>
                <w:szCs w:val="18"/>
                <w:lang w:val="en-ID" w:eastAsia="en-PH"/>
              </w:rPr>
            </w:pPr>
          </w:p>
        </w:tc>
        <w:tc>
          <w:tcPr>
            <w:tcW w:w="2337" w:type="dxa"/>
            <w:tcBorders>
              <w:top w:val="single" w:sz="4" w:space="0" w:color="auto"/>
              <w:bottom w:val="single" w:sz="4" w:space="0" w:color="auto"/>
            </w:tcBorders>
          </w:tcPr>
          <w:p w14:paraId="5B1CB423" w14:textId="4E79E461" w:rsidR="000A6FC3" w:rsidRPr="000A6FC3" w:rsidRDefault="000A6FC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Provide extensive development support services in all aspects of fisheries production, processing and marketing;</w:t>
            </w:r>
          </w:p>
        </w:tc>
        <w:tc>
          <w:tcPr>
            <w:tcW w:w="2338" w:type="dxa"/>
            <w:vMerge/>
            <w:tcBorders>
              <w:top w:val="single" w:sz="4" w:space="0" w:color="auto"/>
              <w:bottom w:val="single" w:sz="4" w:space="0" w:color="auto"/>
            </w:tcBorders>
          </w:tcPr>
          <w:p w14:paraId="77378D56" w14:textId="77777777" w:rsidR="000A6FC3" w:rsidRPr="000A6FC3" w:rsidRDefault="000A6FC3" w:rsidP="000A6FC3">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4" w:space="0" w:color="auto"/>
            </w:tcBorders>
          </w:tcPr>
          <w:p w14:paraId="2936084A" w14:textId="775A66C0" w:rsidR="000A6FC3" w:rsidRPr="000A6FC3" w:rsidRDefault="000A6FC3" w:rsidP="000A6FC3">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65 (g), Fisheries Code, RA 8550</w:t>
            </w:r>
          </w:p>
        </w:tc>
      </w:tr>
      <w:tr w:rsidR="000A6FC3" w14:paraId="04710BA5" w14:textId="77777777" w:rsidTr="000A6FC3">
        <w:trPr>
          <w:cnfStyle w:val="000000100000" w:firstRow="0" w:lastRow="0" w:firstColumn="0" w:lastColumn="0" w:oddVBand="0" w:evenVBand="0" w:oddHBand="1" w:evenHBand="0" w:firstRowFirstColumn="0" w:firstRowLastColumn="0" w:lastRowFirstColumn="0" w:lastRowLastColumn="0"/>
          <w:trHeight w:val="1795"/>
        </w:trPr>
        <w:tc>
          <w:tcPr>
            <w:cnfStyle w:val="001000000000" w:firstRow="0" w:lastRow="0" w:firstColumn="1" w:lastColumn="0" w:oddVBand="0" w:evenVBand="0" w:oddHBand="0" w:evenHBand="0" w:firstRowFirstColumn="0" w:firstRowLastColumn="0" w:lastRowFirstColumn="0" w:lastRowLastColumn="0"/>
            <w:tcW w:w="2337" w:type="dxa"/>
            <w:vMerge/>
            <w:tcBorders>
              <w:top w:val="nil"/>
              <w:bottom w:val="single" w:sz="12" w:space="0" w:color="auto"/>
            </w:tcBorders>
          </w:tcPr>
          <w:p w14:paraId="37678789" w14:textId="77777777" w:rsidR="000A6FC3" w:rsidRPr="000A6FC3" w:rsidRDefault="000A6FC3" w:rsidP="000A6FC3">
            <w:pPr>
              <w:spacing w:line="276" w:lineRule="auto"/>
              <w:ind w:firstLine="0"/>
              <w:jc w:val="center"/>
              <w:rPr>
                <w:rFonts w:eastAsia="Aptos"/>
                <w:sz w:val="18"/>
                <w:szCs w:val="18"/>
                <w:lang w:val="en-ID" w:eastAsia="en-PH"/>
              </w:rPr>
            </w:pPr>
          </w:p>
        </w:tc>
        <w:tc>
          <w:tcPr>
            <w:tcW w:w="2337" w:type="dxa"/>
            <w:tcBorders>
              <w:top w:val="single" w:sz="4" w:space="0" w:color="auto"/>
              <w:bottom w:val="single" w:sz="12" w:space="0" w:color="auto"/>
            </w:tcBorders>
          </w:tcPr>
          <w:p w14:paraId="19C76711" w14:textId="088C1CD6" w:rsidR="000A6FC3" w:rsidRPr="000A6FC3" w:rsidRDefault="000A6FC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Formulate and implement rules and regulations for the conservation and management of straddling fish stocks, highly migratory fish stocks and threatened living marine resources</w:t>
            </w:r>
          </w:p>
        </w:tc>
        <w:tc>
          <w:tcPr>
            <w:tcW w:w="2338" w:type="dxa"/>
            <w:vMerge/>
            <w:tcBorders>
              <w:top w:val="single" w:sz="4" w:space="0" w:color="auto"/>
              <w:bottom w:val="single" w:sz="12" w:space="0" w:color="auto"/>
            </w:tcBorders>
          </w:tcPr>
          <w:p w14:paraId="11C9B7EB" w14:textId="77777777" w:rsidR="000A6FC3" w:rsidRPr="000A6FC3" w:rsidRDefault="000A6FC3" w:rsidP="000A6FC3">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p>
        </w:tc>
        <w:tc>
          <w:tcPr>
            <w:tcW w:w="2338" w:type="dxa"/>
            <w:tcBorders>
              <w:top w:val="single" w:sz="4" w:space="0" w:color="auto"/>
              <w:bottom w:val="single" w:sz="12" w:space="0" w:color="auto"/>
            </w:tcBorders>
          </w:tcPr>
          <w:p w14:paraId="02A16374" w14:textId="3FE427B0" w:rsidR="000A6FC3" w:rsidRPr="000A6FC3" w:rsidRDefault="000A6FC3" w:rsidP="000A6FC3">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sz w:val="18"/>
                <w:szCs w:val="18"/>
                <w:lang w:val="en-ID" w:eastAsia="en-PH"/>
              </w:rPr>
            </w:pPr>
            <w:r w:rsidRPr="000A6FC3">
              <w:rPr>
                <w:rFonts w:eastAsia="Aptos"/>
                <w:sz w:val="18"/>
                <w:szCs w:val="18"/>
                <w:lang w:val="en-ID" w:eastAsia="en-PH"/>
              </w:rPr>
              <w:t>Sec. 65 (r), Fisheries Code, as amended by RA 10654</w:t>
            </w:r>
          </w:p>
        </w:tc>
      </w:tr>
    </w:tbl>
    <w:p w14:paraId="43681C0B" w14:textId="0C08A672" w:rsidR="00E16870" w:rsidRDefault="000D52D7" w:rsidP="00E16870">
      <w:pPr>
        <w:ind w:firstLine="0"/>
        <w:rPr>
          <w:rFonts w:eastAsia="Aptos"/>
          <w:lang w:val="en-ID" w:eastAsia="en-PH"/>
        </w:rPr>
      </w:pPr>
      <w:r>
        <w:rPr>
          <w:rFonts w:eastAsia="Aptos"/>
          <w:lang w:val="en-ID" w:eastAsia="en-PH"/>
        </w:rPr>
        <w:br w:type="page"/>
      </w:r>
    </w:p>
    <w:p w14:paraId="0143BCC9" w14:textId="476DA950" w:rsidR="00984BA9" w:rsidRDefault="00F467CC" w:rsidP="00984BA9">
      <w:pPr>
        <w:pStyle w:val="Heading2"/>
        <w:spacing w:line="276" w:lineRule="auto"/>
        <w:jc w:val="center"/>
        <w:rPr>
          <w:rFonts w:eastAsia="Aptos"/>
          <w:lang w:val="en-ID" w:eastAsia="en-PH"/>
        </w:rPr>
      </w:pPr>
      <w:bookmarkStart w:id="21" w:name="_Toc215447070"/>
      <w:r>
        <w:rPr>
          <w:rFonts w:eastAsia="Aptos"/>
          <w:lang w:val="en-ID" w:eastAsia="en-PH"/>
        </w:rPr>
        <w:lastRenderedPageBreak/>
        <w:t>Annex</w:t>
      </w:r>
      <w:r w:rsidR="00984BA9">
        <w:rPr>
          <w:rFonts w:eastAsia="Aptos"/>
          <w:lang w:val="en-ID" w:eastAsia="en-PH"/>
        </w:rPr>
        <w:t xml:space="preserve"> 6.D. Legal and Institutional Mapping, and Stakeholders Related to Coastal and Marine Management</w:t>
      </w:r>
      <w:bookmarkEnd w:id="21"/>
    </w:p>
    <w:p w14:paraId="373E9727" w14:textId="45F6981C" w:rsidR="00984BA9" w:rsidRPr="00984BA9" w:rsidRDefault="00984BA9" w:rsidP="00984BA9">
      <w:pPr>
        <w:ind w:firstLine="0"/>
        <w:rPr>
          <w:rFonts w:eastAsia="Aptos"/>
          <w:b/>
          <w:bCs/>
          <w:sz w:val="18"/>
          <w:szCs w:val="18"/>
          <w:lang w:val="en-ID" w:eastAsia="en-PH"/>
        </w:rPr>
      </w:pPr>
      <w:r w:rsidRPr="000D52D7">
        <w:rPr>
          <w:rFonts w:eastAsia="Aptos"/>
          <w:b/>
          <w:bCs/>
          <w:sz w:val="18"/>
          <w:szCs w:val="18"/>
          <w:lang w:val="en-ID" w:eastAsia="en-PH"/>
        </w:rPr>
        <w:t>Table 6.D.1.</w:t>
      </w:r>
      <w:r w:rsidR="000D52D7" w:rsidRPr="000D52D7">
        <w:rPr>
          <w:rFonts w:eastAsia="Aptos"/>
          <w:b/>
          <w:bCs/>
          <w:sz w:val="18"/>
          <w:szCs w:val="18"/>
          <w:lang w:val="en-ID" w:eastAsia="en-PH"/>
        </w:rPr>
        <w:t xml:space="preserve"> </w:t>
      </w:r>
      <w:r w:rsidR="000D52D7" w:rsidRPr="000D52D7">
        <w:rPr>
          <w:rFonts w:eastAsia="Aptos"/>
          <w:sz w:val="18"/>
          <w:szCs w:val="18"/>
          <w:lang w:val="en-ID" w:eastAsia="en-PH"/>
        </w:rPr>
        <w:t>Qualitative observation on Stakeholders’ Coastal and Marine Management</w:t>
      </w:r>
    </w:p>
    <w:tbl>
      <w:tblPr>
        <w:tblStyle w:val="PlainTable2"/>
        <w:tblW w:w="0" w:type="auto"/>
        <w:tblLayout w:type="fixed"/>
        <w:tblLook w:val="04A0" w:firstRow="1" w:lastRow="0" w:firstColumn="1" w:lastColumn="0" w:noHBand="0" w:noVBand="1"/>
      </w:tblPr>
      <w:tblGrid>
        <w:gridCol w:w="1560"/>
        <w:gridCol w:w="873"/>
        <w:gridCol w:w="873"/>
        <w:gridCol w:w="873"/>
        <w:gridCol w:w="873"/>
        <w:gridCol w:w="873"/>
        <w:gridCol w:w="874"/>
        <w:gridCol w:w="2551"/>
      </w:tblGrid>
      <w:tr w:rsidR="006E0C88" w14:paraId="217B312E" w14:textId="77777777" w:rsidTr="006E0C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single" w:sz="12" w:space="0" w:color="auto"/>
              <w:bottom w:val="single" w:sz="12" w:space="0" w:color="auto"/>
            </w:tcBorders>
            <w:vAlign w:val="center"/>
          </w:tcPr>
          <w:p w14:paraId="496C79A6" w14:textId="6A83E905" w:rsidR="006E0C88" w:rsidRPr="006E0C88" w:rsidRDefault="00984BA9" w:rsidP="006E0C88">
            <w:pPr>
              <w:ind w:firstLine="0"/>
              <w:jc w:val="center"/>
              <w:rPr>
                <w:rFonts w:eastAsia="Aptos"/>
                <w:sz w:val="16"/>
                <w:szCs w:val="16"/>
                <w:lang w:val="en-ID" w:eastAsia="en-PH"/>
              </w:rPr>
            </w:pPr>
            <w:r w:rsidRPr="006E0C88">
              <w:rPr>
                <w:rFonts w:eastAsia="Aptos"/>
                <w:sz w:val="16"/>
                <w:szCs w:val="16"/>
                <w:lang w:val="en-ID" w:eastAsia="en-PH"/>
              </w:rPr>
              <w:t>Institution</w:t>
            </w:r>
          </w:p>
        </w:tc>
        <w:tc>
          <w:tcPr>
            <w:tcW w:w="873" w:type="dxa"/>
            <w:tcBorders>
              <w:top w:val="single" w:sz="12" w:space="0" w:color="auto"/>
              <w:bottom w:val="single" w:sz="12" w:space="0" w:color="auto"/>
            </w:tcBorders>
            <w:vAlign w:val="center"/>
          </w:tcPr>
          <w:p w14:paraId="6183BA15"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Fisheries &amp; Livelihoods</w:t>
            </w:r>
          </w:p>
        </w:tc>
        <w:tc>
          <w:tcPr>
            <w:tcW w:w="873" w:type="dxa"/>
            <w:tcBorders>
              <w:top w:val="single" w:sz="12" w:space="0" w:color="auto"/>
              <w:bottom w:val="single" w:sz="12" w:space="0" w:color="auto"/>
            </w:tcBorders>
            <w:vAlign w:val="center"/>
          </w:tcPr>
          <w:p w14:paraId="15869D3C"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Ecosystem-based Assessment/Marine Park Planning</w:t>
            </w:r>
          </w:p>
        </w:tc>
        <w:tc>
          <w:tcPr>
            <w:tcW w:w="873" w:type="dxa"/>
            <w:tcBorders>
              <w:top w:val="single" w:sz="12" w:space="0" w:color="auto"/>
              <w:bottom w:val="single" w:sz="12" w:space="0" w:color="auto"/>
            </w:tcBorders>
            <w:vAlign w:val="center"/>
          </w:tcPr>
          <w:p w14:paraId="684AC5F6"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Habitat</w:t>
            </w:r>
          </w:p>
        </w:tc>
        <w:tc>
          <w:tcPr>
            <w:tcW w:w="873" w:type="dxa"/>
            <w:tcBorders>
              <w:top w:val="single" w:sz="12" w:space="0" w:color="auto"/>
              <w:bottom w:val="single" w:sz="12" w:space="0" w:color="auto"/>
            </w:tcBorders>
            <w:vAlign w:val="center"/>
          </w:tcPr>
          <w:p w14:paraId="41AAEFED" w14:textId="77777777" w:rsidR="006E0C88"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Pollution/</w:t>
            </w:r>
          </w:p>
          <w:p w14:paraId="6F2902C7" w14:textId="10344E42" w:rsidR="00984BA9" w:rsidRPr="006E0C88" w:rsidRDefault="006E0C88"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N</w:t>
            </w:r>
            <w:r w:rsidR="00984BA9" w:rsidRPr="006E0C88">
              <w:rPr>
                <w:rFonts w:eastAsia="Aptos"/>
                <w:sz w:val="12"/>
                <w:szCs w:val="12"/>
                <w:lang w:val="en-ID" w:eastAsia="en-PH"/>
              </w:rPr>
              <w:t>utrients</w:t>
            </w:r>
          </w:p>
        </w:tc>
        <w:tc>
          <w:tcPr>
            <w:tcW w:w="873" w:type="dxa"/>
            <w:tcBorders>
              <w:top w:val="single" w:sz="12" w:space="0" w:color="auto"/>
              <w:bottom w:val="single" w:sz="12" w:space="0" w:color="auto"/>
            </w:tcBorders>
            <w:vAlign w:val="center"/>
          </w:tcPr>
          <w:p w14:paraId="135C6E9A"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Endangered Species</w:t>
            </w:r>
          </w:p>
        </w:tc>
        <w:tc>
          <w:tcPr>
            <w:tcW w:w="874" w:type="dxa"/>
            <w:tcBorders>
              <w:top w:val="single" w:sz="12" w:space="0" w:color="auto"/>
              <w:bottom w:val="single" w:sz="12" w:space="0" w:color="auto"/>
            </w:tcBorders>
            <w:vAlign w:val="center"/>
          </w:tcPr>
          <w:p w14:paraId="5C0BC968"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sz w:val="12"/>
                <w:szCs w:val="12"/>
                <w:lang w:val="en-ID" w:eastAsia="en-PH"/>
              </w:rPr>
            </w:pPr>
            <w:r w:rsidRPr="006E0C88">
              <w:rPr>
                <w:rFonts w:eastAsia="Aptos"/>
                <w:sz w:val="12"/>
                <w:szCs w:val="12"/>
                <w:lang w:val="en-ID" w:eastAsia="en-PH"/>
              </w:rPr>
              <w:t>Climate Change</w:t>
            </w:r>
          </w:p>
        </w:tc>
        <w:tc>
          <w:tcPr>
            <w:tcW w:w="2551" w:type="dxa"/>
            <w:tcBorders>
              <w:top w:val="single" w:sz="12" w:space="0" w:color="auto"/>
              <w:bottom w:val="single" w:sz="12" w:space="0" w:color="auto"/>
            </w:tcBorders>
            <w:vAlign w:val="center"/>
          </w:tcPr>
          <w:p w14:paraId="4B3A9537" w14:textId="77777777" w:rsidR="00984BA9" w:rsidRPr="006E0C88" w:rsidRDefault="00984BA9" w:rsidP="006E0C88">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6"/>
                <w:szCs w:val="16"/>
                <w:lang w:val="en-ID" w:eastAsia="en-PH"/>
              </w:rPr>
            </w:pPr>
            <w:r w:rsidRPr="006E0C88">
              <w:rPr>
                <w:rFonts w:eastAsia="Aptos"/>
                <w:sz w:val="16"/>
                <w:szCs w:val="16"/>
                <w:lang w:val="en-ID" w:eastAsia="en-PH"/>
              </w:rPr>
              <w:t>Qualitative Observations</w:t>
            </w:r>
          </w:p>
        </w:tc>
      </w:tr>
      <w:tr w:rsidR="00984BA9" w:rsidRPr="00DA2555" w14:paraId="49A42F48" w14:textId="77777777" w:rsidTr="006E0C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single" w:sz="12" w:space="0" w:color="auto"/>
            </w:tcBorders>
            <w:vAlign w:val="center"/>
          </w:tcPr>
          <w:p w14:paraId="0E1A6F28" w14:textId="24ACD376" w:rsidR="00984BA9" w:rsidRPr="006E0C88" w:rsidRDefault="00984BA9" w:rsidP="006E0C88">
            <w:pPr>
              <w:ind w:firstLine="0"/>
              <w:jc w:val="left"/>
              <w:rPr>
                <w:rFonts w:eastAsia="Aptos"/>
                <w:b w:val="0"/>
                <w:bCs w:val="0"/>
                <w:sz w:val="16"/>
                <w:szCs w:val="16"/>
                <w:lang w:val="en-ID" w:eastAsia="en-PH"/>
              </w:rPr>
            </w:pPr>
            <w:r w:rsidRPr="006E0C88">
              <w:rPr>
                <w:rFonts w:eastAsia="Aptos"/>
                <w:b w:val="0"/>
                <w:bCs w:val="0"/>
                <w:sz w:val="16"/>
                <w:szCs w:val="16"/>
                <w:lang w:val="en-ID" w:eastAsia="en-PH"/>
              </w:rPr>
              <w:t>Dep</w:t>
            </w:r>
            <w:r w:rsidR="00812EFF">
              <w:rPr>
                <w:rFonts w:eastAsia="Aptos"/>
                <w:b w:val="0"/>
                <w:bCs w:val="0"/>
                <w:sz w:val="16"/>
                <w:szCs w:val="16"/>
                <w:lang w:val="en-ID" w:eastAsia="en-PH"/>
              </w:rPr>
              <w:t>artmen</w:t>
            </w:r>
            <w:r w:rsidRPr="006E0C88">
              <w:rPr>
                <w:rFonts w:eastAsia="Aptos"/>
                <w:b w:val="0"/>
                <w:bCs w:val="0"/>
                <w:sz w:val="16"/>
                <w:szCs w:val="16"/>
                <w:lang w:val="en-ID" w:eastAsia="en-PH"/>
              </w:rPr>
              <w:t>t of Environment and Natural Resources (DENR)</w:t>
            </w:r>
          </w:p>
        </w:tc>
        <w:tc>
          <w:tcPr>
            <w:tcW w:w="873" w:type="dxa"/>
            <w:tcBorders>
              <w:top w:val="single" w:sz="12" w:space="0" w:color="auto"/>
            </w:tcBorders>
            <w:vAlign w:val="center"/>
          </w:tcPr>
          <w:p w14:paraId="1EA77306"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tcBorders>
              <w:top w:val="single" w:sz="12" w:space="0" w:color="auto"/>
            </w:tcBorders>
            <w:vAlign w:val="center"/>
          </w:tcPr>
          <w:p w14:paraId="72271EF6" w14:textId="64CF2CF9"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top w:val="single" w:sz="12" w:space="0" w:color="auto"/>
            </w:tcBorders>
            <w:vAlign w:val="center"/>
          </w:tcPr>
          <w:p w14:paraId="61DBA4FF"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tcBorders>
              <w:top w:val="single" w:sz="12" w:space="0" w:color="auto"/>
            </w:tcBorders>
            <w:vAlign w:val="center"/>
          </w:tcPr>
          <w:p w14:paraId="4255BE8D"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tcBorders>
              <w:top w:val="single" w:sz="12" w:space="0" w:color="auto"/>
            </w:tcBorders>
            <w:vAlign w:val="center"/>
          </w:tcPr>
          <w:p w14:paraId="6E7C00FC"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4" w:type="dxa"/>
            <w:tcBorders>
              <w:top w:val="single" w:sz="12" w:space="0" w:color="auto"/>
            </w:tcBorders>
            <w:vAlign w:val="center"/>
          </w:tcPr>
          <w:p w14:paraId="263EB49E"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p w14:paraId="4EA3C89F" w14:textId="7DB9A300"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2551" w:type="dxa"/>
            <w:tcBorders>
              <w:top w:val="single" w:sz="12" w:space="0" w:color="auto"/>
            </w:tcBorders>
            <w:vAlign w:val="center"/>
          </w:tcPr>
          <w:p w14:paraId="7C545094"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r>
      <w:tr w:rsidR="00984BA9" w:rsidRPr="00DA2555" w14:paraId="2B9EC4D4" w14:textId="77777777" w:rsidTr="006E0C88">
        <w:tc>
          <w:tcPr>
            <w:cnfStyle w:val="001000000000" w:firstRow="0" w:lastRow="0" w:firstColumn="1" w:lastColumn="0" w:oddVBand="0" w:evenVBand="0" w:oddHBand="0" w:evenHBand="0" w:firstRowFirstColumn="0" w:firstRowLastColumn="0" w:lastRowFirstColumn="0" w:lastRowLastColumn="0"/>
            <w:tcW w:w="1560" w:type="dxa"/>
            <w:vAlign w:val="center"/>
          </w:tcPr>
          <w:p w14:paraId="3AB6BE30" w14:textId="3367D890" w:rsidR="00984BA9" w:rsidRPr="006E0C88" w:rsidRDefault="00984BA9">
            <w:pPr>
              <w:pStyle w:val="ListParagraph"/>
              <w:numPr>
                <w:ilvl w:val="0"/>
                <w:numId w:val="73"/>
              </w:numPr>
              <w:jc w:val="left"/>
              <w:rPr>
                <w:rFonts w:eastAsia="Aptos"/>
                <w:b w:val="0"/>
                <w:bCs w:val="0"/>
                <w:sz w:val="16"/>
                <w:szCs w:val="16"/>
                <w:lang w:val="en-ID" w:eastAsia="en-PH"/>
              </w:rPr>
            </w:pPr>
            <w:r w:rsidRPr="006E0C88">
              <w:rPr>
                <w:rFonts w:eastAsia="Aptos"/>
                <w:b w:val="0"/>
                <w:bCs w:val="0"/>
                <w:sz w:val="14"/>
                <w:szCs w:val="14"/>
                <w:lang w:val="en-ID" w:eastAsia="en-PH"/>
              </w:rPr>
              <w:t>Environmental M</w:t>
            </w:r>
            <w:r w:rsidR="006E0C88" w:rsidRPr="006E0C88">
              <w:rPr>
                <w:rFonts w:eastAsia="Aptos"/>
                <w:b w:val="0"/>
                <w:bCs w:val="0"/>
                <w:sz w:val="14"/>
                <w:szCs w:val="14"/>
                <w:lang w:val="en-ID" w:eastAsia="en-PH"/>
              </w:rPr>
              <w:t>anagemen</w:t>
            </w:r>
            <w:r w:rsidRPr="006E0C88">
              <w:rPr>
                <w:rFonts w:eastAsia="Aptos"/>
                <w:b w:val="0"/>
                <w:bCs w:val="0"/>
                <w:sz w:val="14"/>
                <w:szCs w:val="14"/>
                <w:lang w:val="en-ID" w:eastAsia="en-PH"/>
              </w:rPr>
              <w:t>t Bureau (EMB)</w:t>
            </w:r>
          </w:p>
        </w:tc>
        <w:tc>
          <w:tcPr>
            <w:tcW w:w="873" w:type="dxa"/>
            <w:vAlign w:val="center"/>
          </w:tcPr>
          <w:p w14:paraId="0FAB19E6"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320D3398"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3F811A0C"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2D91BA19" w14:textId="454801FC"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4A9D25FA"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4" w:type="dxa"/>
            <w:vAlign w:val="center"/>
          </w:tcPr>
          <w:p w14:paraId="09C6B9F2"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2551" w:type="dxa"/>
            <w:vAlign w:val="center"/>
          </w:tcPr>
          <w:p w14:paraId="27D82F64" w14:textId="52551C62"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There are clearly delineated areas of influence and competence of the various DENR bureaus</w:t>
            </w:r>
          </w:p>
        </w:tc>
      </w:tr>
      <w:tr w:rsidR="00984BA9" w:rsidRPr="00DA2555" w14:paraId="07B7EEDA" w14:textId="77777777" w:rsidTr="006E0C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04F1C705" w14:textId="77777777" w:rsidR="00984BA9" w:rsidRPr="006E0C88" w:rsidRDefault="00984BA9">
            <w:pPr>
              <w:pStyle w:val="ListParagraph"/>
              <w:numPr>
                <w:ilvl w:val="0"/>
                <w:numId w:val="73"/>
              </w:numPr>
              <w:jc w:val="left"/>
              <w:rPr>
                <w:rFonts w:eastAsia="Aptos"/>
                <w:b w:val="0"/>
                <w:bCs w:val="0"/>
                <w:sz w:val="14"/>
                <w:szCs w:val="14"/>
                <w:lang w:val="en-ID" w:eastAsia="en-PH"/>
              </w:rPr>
            </w:pPr>
            <w:r w:rsidRPr="006E0C88">
              <w:rPr>
                <w:rFonts w:eastAsia="Aptos"/>
                <w:b w:val="0"/>
                <w:bCs w:val="0"/>
                <w:sz w:val="14"/>
                <w:szCs w:val="14"/>
                <w:lang w:val="en-ID" w:eastAsia="en-PH"/>
              </w:rPr>
              <w:t>Biodiversity Management Bureau (BMB)</w:t>
            </w:r>
          </w:p>
        </w:tc>
        <w:tc>
          <w:tcPr>
            <w:tcW w:w="873" w:type="dxa"/>
            <w:vAlign w:val="center"/>
          </w:tcPr>
          <w:p w14:paraId="4A6CC1AA" w14:textId="77777777" w:rsidR="006E0C88"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6"/>
                <w:szCs w:val="16"/>
                <w:lang w:val="en-ID" w:eastAsia="en-PH"/>
              </w:rPr>
            </w:pPr>
          </w:p>
        </w:tc>
        <w:tc>
          <w:tcPr>
            <w:tcW w:w="873" w:type="dxa"/>
            <w:vAlign w:val="center"/>
          </w:tcPr>
          <w:p w14:paraId="2F32A431" w14:textId="43BFB7EB"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0EAB5486" w14:textId="5E6905E7"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5DD65419"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196D2DE1" w14:textId="3C9826A4"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4" w:type="dxa"/>
            <w:vAlign w:val="center"/>
          </w:tcPr>
          <w:p w14:paraId="0C85D78D"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2551" w:type="dxa"/>
            <w:vAlign w:val="center"/>
          </w:tcPr>
          <w:p w14:paraId="05AAE24A"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There are clearly delineated areas of influence and competence of the various DENR bureaus</w:t>
            </w:r>
          </w:p>
        </w:tc>
      </w:tr>
      <w:tr w:rsidR="00984BA9" w:rsidRPr="00DA2555" w14:paraId="4AE835B1" w14:textId="77777777" w:rsidTr="006E0C88">
        <w:tc>
          <w:tcPr>
            <w:cnfStyle w:val="001000000000" w:firstRow="0" w:lastRow="0" w:firstColumn="1" w:lastColumn="0" w:oddVBand="0" w:evenVBand="0" w:oddHBand="0" w:evenHBand="0" w:firstRowFirstColumn="0" w:firstRowLastColumn="0" w:lastRowFirstColumn="0" w:lastRowLastColumn="0"/>
            <w:tcW w:w="1560" w:type="dxa"/>
            <w:vAlign w:val="center"/>
          </w:tcPr>
          <w:p w14:paraId="3652DCFD" w14:textId="77777777" w:rsidR="00984BA9" w:rsidRPr="006E0C88" w:rsidRDefault="00984BA9">
            <w:pPr>
              <w:pStyle w:val="ListParagraph"/>
              <w:numPr>
                <w:ilvl w:val="0"/>
                <w:numId w:val="73"/>
              </w:numPr>
              <w:jc w:val="left"/>
              <w:rPr>
                <w:rFonts w:eastAsia="Aptos"/>
                <w:b w:val="0"/>
                <w:bCs w:val="0"/>
                <w:sz w:val="14"/>
                <w:szCs w:val="14"/>
                <w:lang w:val="en-ID" w:eastAsia="en-PH"/>
              </w:rPr>
            </w:pPr>
            <w:r w:rsidRPr="006E0C88">
              <w:rPr>
                <w:rFonts w:eastAsia="Aptos"/>
                <w:b w:val="0"/>
                <w:bCs w:val="0"/>
                <w:sz w:val="14"/>
                <w:szCs w:val="14"/>
                <w:lang w:val="en-ID" w:eastAsia="en-PH"/>
              </w:rPr>
              <w:t>Bureau of Fisheries and Aquatic Resources (BFAR)</w:t>
            </w:r>
          </w:p>
        </w:tc>
        <w:tc>
          <w:tcPr>
            <w:tcW w:w="873" w:type="dxa"/>
            <w:vAlign w:val="center"/>
          </w:tcPr>
          <w:p w14:paraId="38C28527" w14:textId="5956059E"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56481F86" w14:textId="4EBEC65E"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vAlign w:val="center"/>
          </w:tcPr>
          <w:p w14:paraId="6D439DA6"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5603CDDC"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p w14:paraId="6AFD41C4"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p w14:paraId="10D0FC09"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p w14:paraId="3C619440"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873" w:type="dxa"/>
            <w:vAlign w:val="center"/>
          </w:tcPr>
          <w:p w14:paraId="0224617F" w14:textId="6DA4F036"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4" w:type="dxa"/>
            <w:vAlign w:val="center"/>
          </w:tcPr>
          <w:p w14:paraId="48BCF371"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p>
        </w:tc>
        <w:tc>
          <w:tcPr>
            <w:tcW w:w="2551" w:type="dxa"/>
            <w:vAlign w:val="center"/>
          </w:tcPr>
          <w:p w14:paraId="13D419A3"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Because of RA 10654, BFAR’s mandate went beyond pursuit of fisheries and livelihood</w:t>
            </w:r>
          </w:p>
        </w:tc>
      </w:tr>
      <w:tr w:rsidR="00984BA9" w:rsidRPr="00DA2555" w14:paraId="1DBCA41B" w14:textId="77777777" w:rsidTr="006E0C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vAlign w:val="center"/>
          </w:tcPr>
          <w:p w14:paraId="496098F9" w14:textId="77777777" w:rsidR="00984BA9" w:rsidRPr="006E0C88" w:rsidRDefault="00984BA9" w:rsidP="006E0C88">
            <w:pPr>
              <w:ind w:firstLine="0"/>
              <w:jc w:val="left"/>
              <w:rPr>
                <w:rFonts w:eastAsia="Aptos"/>
                <w:b w:val="0"/>
                <w:bCs w:val="0"/>
                <w:sz w:val="16"/>
                <w:szCs w:val="16"/>
                <w:lang w:val="en-ID" w:eastAsia="en-PH"/>
              </w:rPr>
            </w:pPr>
            <w:r w:rsidRPr="006E0C88">
              <w:rPr>
                <w:rFonts w:eastAsia="Aptos"/>
                <w:b w:val="0"/>
                <w:bCs w:val="0"/>
                <w:sz w:val="16"/>
                <w:szCs w:val="16"/>
                <w:lang w:val="en-ID" w:eastAsia="en-PH"/>
              </w:rPr>
              <w:t>Climate Change Commission</w:t>
            </w:r>
          </w:p>
        </w:tc>
        <w:tc>
          <w:tcPr>
            <w:tcW w:w="873" w:type="dxa"/>
            <w:vAlign w:val="center"/>
          </w:tcPr>
          <w:p w14:paraId="19D961D9"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438B900F"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5C225B33"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2D11A5DF" w14:textId="77777777" w:rsidR="00984BA9" w:rsidRPr="006E0C88" w:rsidRDefault="00984BA9" w:rsidP="006E0C88">
            <w:pPr>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3" w:type="dxa"/>
            <w:vAlign w:val="center"/>
          </w:tcPr>
          <w:p w14:paraId="19151689"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p>
        </w:tc>
        <w:tc>
          <w:tcPr>
            <w:tcW w:w="874" w:type="dxa"/>
            <w:vAlign w:val="center"/>
          </w:tcPr>
          <w:p w14:paraId="590E33ED" w14:textId="1A142F7A" w:rsidR="00984BA9" w:rsidRPr="006E0C88" w:rsidRDefault="006E0C88"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6"/>
                <w:szCs w:val="16"/>
                <w:lang w:val="en-ID" w:eastAsia="en-PH"/>
              </w:rPr>
            </w:pPr>
            <w:r>
              <w:rPr>
                <w:rFonts w:eastAsia="Aptos"/>
                <w:b/>
                <w:bCs/>
                <w:sz w:val="16"/>
                <w:szCs w:val="16"/>
                <w:lang w:val="en-ID" w:eastAsia="en-PH"/>
              </w:rPr>
              <w:t>x</w:t>
            </w:r>
          </w:p>
        </w:tc>
        <w:tc>
          <w:tcPr>
            <w:tcW w:w="2551" w:type="dxa"/>
            <w:vAlign w:val="center"/>
          </w:tcPr>
          <w:p w14:paraId="10EAE0BE" w14:textId="77777777" w:rsidR="00984BA9" w:rsidRPr="006E0C88" w:rsidRDefault="00984BA9" w:rsidP="006E0C88">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all aspects of coastal and marine management may also be addressed in the pursuit of climate change adaptation policies and measures</w:t>
            </w:r>
          </w:p>
        </w:tc>
      </w:tr>
      <w:tr w:rsidR="00984BA9" w:rsidRPr="00DA2555" w14:paraId="33ADDA89" w14:textId="77777777" w:rsidTr="006E0C88">
        <w:tc>
          <w:tcPr>
            <w:cnfStyle w:val="001000000000" w:firstRow="0" w:lastRow="0" w:firstColumn="1" w:lastColumn="0" w:oddVBand="0" w:evenVBand="0" w:oddHBand="0" w:evenHBand="0" w:firstRowFirstColumn="0" w:firstRowLastColumn="0" w:lastRowFirstColumn="0" w:lastRowLastColumn="0"/>
            <w:tcW w:w="1560" w:type="dxa"/>
            <w:tcBorders>
              <w:bottom w:val="single" w:sz="12" w:space="0" w:color="auto"/>
            </w:tcBorders>
            <w:vAlign w:val="center"/>
          </w:tcPr>
          <w:p w14:paraId="68F0536F" w14:textId="77777777" w:rsidR="00984BA9" w:rsidRPr="00812EFF" w:rsidRDefault="00984BA9" w:rsidP="006E0C88">
            <w:pPr>
              <w:ind w:firstLine="0"/>
              <w:jc w:val="left"/>
              <w:rPr>
                <w:rFonts w:eastAsia="Aptos"/>
                <w:sz w:val="16"/>
                <w:szCs w:val="16"/>
                <w:lang w:val="en-ID" w:eastAsia="en-PH"/>
              </w:rPr>
            </w:pPr>
            <w:r w:rsidRPr="00812EFF">
              <w:rPr>
                <w:rFonts w:eastAsia="Aptos"/>
                <w:sz w:val="16"/>
                <w:szCs w:val="16"/>
                <w:lang w:val="en-ID" w:eastAsia="en-PH"/>
              </w:rPr>
              <w:t>NGOs</w:t>
            </w:r>
          </w:p>
          <w:p w14:paraId="66BDA8EE" w14:textId="7F283690" w:rsidR="00984BA9" w:rsidRPr="00812EFF" w:rsidRDefault="00984BA9">
            <w:pPr>
              <w:pStyle w:val="ListParagraph"/>
              <w:numPr>
                <w:ilvl w:val="0"/>
                <w:numId w:val="73"/>
              </w:numPr>
              <w:jc w:val="left"/>
              <w:rPr>
                <w:rFonts w:eastAsia="Aptos"/>
                <w:b w:val="0"/>
                <w:bCs w:val="0"/>
                <w:sz w:val="12"/>
                <w:szCs w:val="12"/>
                <w:lang w:val="en-ID" w:eastAsia="en-PH"/>
              </w:rPr>
            </w:pPr>
            <w:r w:rsidRPr="00812EFF">
              <w:rPr>
                <w:rFonts w:eastAsia="Aptos"/>
                <w:b w:val="0"/>
                <w:bCs w:val="0"/>
                <w:sz w:val="12"/>
                <w:szCs w:val="12"/>
                <w:lang w:val="en-ID" w:eastAsia="en-PH"/>
              </w:rPr>
              <w:t>NGOs for Fisheries Reform</w:t>
            </w:r>
          </w:p>
          <w:p w14:paraId="1506A9F9" w14:textId="175CA50C" w:rsidR="00984BA9" w:rsidRPr="00812EFF" w:rsidRDefault="00984BA9">
            <w:pPr>
              <w:pStyle w:val="ListParagraph"/>
              <w:numPr>
                <w:ilvl w:val="0"/>
                <w:numId w:val="73"/>
              </w:numPr>
              <w:jc w:val="left"/>
              <w:rPr>
                <w:rFonts w:eastAsia="Aptos"/>
                <w:sz w:val="16"/>
                <w:szCs w:val="16"/>
                <w:lang w:val="en-ID" w:eastAsia="en-PH"/>
              </w:rPr>
            </w:pPr>
            <w:r w:rsidRPr="00812EFF">
              <w:rPr>
                <w:rFonts w:eastAsia="Aptos"/>
                <w:b w:val="0"/>
                <w:bCs w:val="0"/>
                <w:sz w:val="12"/>
                <w:szCs w:val="12"/>
                <w:lang w:val="en-ID" w:eastAsia="en-PH"/>
              </w:rPr>
              <w:t>PAMALAK</w:t>
            </w:r>
            <w:r w:rsidR="00812EFF" w:rsidRPr="00812EFF">
              <w:rPr>
                <w:rFonts w:eastAsia="Aptos"/>
                <w:b w:val="0"/>
                <w:bCs w:val="0"/>
                <w:sz w:val="12"/>
                <w:szCs w:val="12"/>
                <w:lang w:val="en-ID" w:eastAsia="en-PH"/>
              </w:rPr>
              <w:t>A</w:t>
            </w:r>
            <w:r w:rsidRPr="00812EFF">
              <w:rPr>
                <w:rFonts w:eastAsia="Aptos"/>
                <w:b w:val="0"/>
                <w:bCs w:val="0"/>
                <w:sz w:val="12"/>
                <w:szCs w:val="12"/>
                <w:lang w:val="en-ID" w:eastAsia="en-PH"/>
              </w:rPr>
              <w:t>YA-</w:t>
            </w:r>
            <w:proofErr w:type="spellStart"/>
            <w:r w:rsidRPr="00812EFF">
              <w:rPr>
                <w:rFonts w:eastAsia="Aptos"/>
                <w:b w:val="0"/>
                <w:bCs w:val="0"/>
                <w:sz w:val="12"/>
                <w:szCs w:val="12"/>
                <w:lang w:val="en-ID" w:eastAsia="en-PH"/>
              </w:rPr>
              <w:t>Pilipinas</w:t>
            </w:r>
            <w:proofErr w:type="spellEnd"/>
          </w:p>
        </w:tc>
        <w:tc>
          <w:tcPr>
            <w:tcW w:w="873" w:type="dxa"/>
            <w:tcBorders>
              <w:bottom w:val="single" w:sz="12" w:space="0" w:color="auto"/>
            </w:tcBorders>
            <w:vAlign w:val="center"/>
          </w:tcPr>
          <w:p w14:paraId="3BB3846F" w14:textId="388AE34B"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bottom w:val="single" w:sz="12" w:space="0" w:color="auto"/>
            </w:tcBorders>
            <w:vAlign w:val="center"/>
          </w:tcPr>
          <w:p w14:paraId="70EC5B08"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bottom w:val="single" w:sz="12" w:space="0" w:color="auto"/>
            </w:tcBorders>
            <w:vAlign w:val="center"/>
          </w:tcPr>
          <w:p w14:paraId="366D3167" w14:textId="34D05CF5"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bottom w:val="single" w:sz="12" w:space="0" w:color="auto"/>
            </w:tcBorders>
            <w:vAlign w:val="center"/>
          </w:tcPr>
          <w:p w14:paraId="160CFAB0" w14:textId="09A90924" w:rsidR="00984BA9" w:rsidRPr="006E0C88" w:rsidRDefault="006E0C88"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3" w:type="dxa"/>
            <w:tcBorders>
              <w:bottom w:val="single" w:sz="12" w:space="0" w:color="auto"/>
            </w:tcBorders>
            <w:vAlign w:val="center"/>
          </w:tcPr>
          <w:p w14:paraId="0AF9E33E"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874" w:type="dxa"/>
            <w:tcBorders>
              <w:bottom w:val="single" w:sz="12" w:space="0" w:color="auto"/>
            </w:tcBorders>
            <w:vAlign w:val="center"/>
          </w:tcPr>
          <w:p w14:paraId="2F8F88EE" w14:textId="77777777"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6"/>
                <w:szCs w:val="16"/>
                <w:lang w:val="en-ID" w:eastAsia="en-PH"/>
              </w:rPr>
            </w:pPr>
            <w:r w:rsidRPr="006E0C88">
              <w:rPr>
                <w:rFonts w:eastAsia="Aptos"/>
                <w:b/>
                <w:bCs/>
                <w:sz w:val="16"/>
                <w:szCs w:val="16"/>
                <w:lang w:val="en-ID" w:eastAsia="en-PH"/>
              </w:rPr>
              <w:t>x</w:t>
            </w:r>
          </w:p>
        </w:tc>
        <w:tc>
          <w:tcPr>
            <w:tcW w:w="2551" w:type="dxa"/>
            <w:tcBorders>
              <w:bottom w:val="single" w:sz="12" w:space="0" w:color="auto"/>
            </w:tcBorders>
            <w:vAlign w:val="center"/>
          </w:tcPr>
          <w:p w14:paraId="3084F046" w14:textId="31EBDDC3" w:rsidR="00984BA9" w:rsidRPr="006E0C88" w:rsidRDefault="00984BA9" w:rsidP="006E0C88">
            <w:pPr>
              <w:ind w:firstLine="0"/>
              <w:jc w:val="center"/>
              <w:cnfStyle w:val="000000000000" w:firstRow="0" w:lastRow="0" w:firstColumn="0" w:lastColumn="0" w:oddVBand="0" w:evenVBand="0" w:oddHBand="0" w:evenHBand="0" w:firstRowFirstColumn="0" w:firstRowLastColumn="0" w:lastRowFirstColumn="0" w:lastRowLastColumn="0"/>
              <w:rPr>
                <w:rFonts w:eastAsia="Aptos"/>
                <w:sz w:val="16"/>
                <w:szCs w:val="16"/>
                <w:lang w:val="en-ID" w:eastAsia="en-PH"/>
              </w:rPr>
            </w:pPr>
            <w:r w:rsidRPr="006E0C88">
              <w:rPr>
                <w:rFonts w:eastAsia="Aptos"/>
                <w:sz w:val="16"/>
                <w:szCs w:val="16"/>
                <w:lang w:val="en-ID" w:eastAsia="en-PH"/>
              </w:rPr>
              <w:t>These NGOs are advocacy organizations, they whenever they will secure funding for certain tasks, they will enter those areas of influence and advocacy</w:t>
            </w:r>
          </w:p>
          <w:p w14:paraId="770270CA" w14:textId="77777777" w:rsidR="00984BA9" w:rsidRPr="006E0C88" w:rsidRDefault="00984BA9" w:rsidP="006E0C88">
            <w:pPr>
              <w:jc w:val="center"/>
              <w:cnfStyle w:val="000000000000" w:firstRow="0" w:lastRow="0" w:firstColumn="0" w:lastColumn="0" w:oddVBand="0" w:evenVBand="0" w:oddHBand="0" w:evenHBand="0" w:firstRowFirstColumn="0" w:firstRowLastColumn="0" w:lastRowFirstColumn="0" w:lastRowLastColumn="0"/>
              <w:rPr>
                <w:rFonts w:eastAsia="Aptos"/>
                <w:sz w:val="16"/>
                <w:szCs w:val="16"/>
                <w:lang w:val="en-ID" w:eastAsia="en-PH"/>
              </w:rPr>
            </w:pPr>
          </w:p>
        </w:tc>
      </w:tr>
    </w:tbl>
    <w:p w14:paraId="42E42B24" w14:textId="77777777" w:rsidR="00984BA9" w:rsidRDefault="00984BA9" w:rsidP="006E0C88">
      <w:pPr>
        <w:ind w:firstLine="0"/>
      </w:pPr>
    </w:p>
    <w:p w14:paraId="1483382F" w14:textId="090F1FD8" w:rsidR="00984BA9" w:rsidRDefault="000D52D7" w:rsidP="000D52D7">
      <w:r>
        <w:br w:type="page"/>
      </w:r>
    </w:p>
    <w:p w14:paraId="2483559F" w14:textId="5551E74F" w:rsidR="00E16870" w:rsidRDefault="00984BA9" w:rsidP="00984BA9">
      <w:pPr>
        <w:pStyle w:val="Heading2"/>
        <w:spacing w:before="240" w:line="278" w:lineRule="auto"/>
        <w:jc w:val="center"/>
      </w:pPr>
      <w:bookmarkStart w:id="22" w:name="_Toc215447071"/>
      <w:r>
        <w:lastRenderedPageBreak/>
        <w:t>A</w:t>
      </w:r>
      <w:r w:rsidR="00F467CC">
        <w:t>nnex</w:t>
      </w:r>
      <w:r>
        <w:t xml:space="preserve"> </w:t>
      </w:r>
      <w:r w:rsidR="00F467CC">
        <w:t>6.</w:t>
      </w:r>
      <w:r>
        <w:t>E. Regulation Group Based on Issues</w:t>
      </w:r>
      <w:bookmarkEnd w:id="22"/>
    </w:p>
    <w:p w14:paraId="34221DF5" w14:textId="5C18EC9C" w:rsidR="00984BA9" w:rsidRPr="00812EFF" w:rsidRDefault="00984BA9" w:rsidP="00984BA9">
      <w:pPr>
        <w:ind w:firstLine="0"/>
        <w:rPr>
          <w:b/>
          <w:bCs/>
          <w:sz w:val="18"/>
          <w:szCs w:val="18"/>
        </w:rPr>
      </w:pPr>
      <w:r w:rsidRPr="000D52D7">
        <w:rPr>
          <w:b/>
          <w:bCs/>
          <w:sz w:val="18"/>
          <w:szCs w:val="18"/>
        </w:rPr>
        <w:t>Table 6.E.1.</w:t>
      </w:r>
      <w:r w:rsidRPr="00812EFF">
        <w:rPr>
          <w:b/>
          <w:bCs/>
          <w:sz w:val="18"/>
          <w:szCs w:val="18"/>
        </w:rPr>
        <w:t xml:space="preserve"> </w:t>
      </w:r>
      <w:r w:rsidR="000D52D7" w:rsidRPr="000D52D7">
        <w:rPr>
          <w:sz w:val="18"/>
          <w:szCs w:val="18"/>
        </w:rPr>
        <w:t>Qualitative Observations on International Conventions, Regional Frameworks and Transboundary Agreements</w:t>
      </w:r>
    </w:p>
    <w:tbl>
      <w:tblPr>
        <w:tblStyle w:val="PlainTable2"/>
        <w:tblW w:w="0" w:type="auto"/>
        <w:jc w:val="center"/>
        <w:tblLayout w:type="fixed"/>
        <w:tblLook w:val="04A0" w:firstRow="1" w:lastRow="0" w:firstColumn="1" w:lastColumn="0" w:noHBand="0" w:noVBand="1"/>
      </w:tblPr>
      <w:tblGrid>
        <w:gridCol w:w="421"/>
        <w:gridCol w:w="1984"/>
        <w:gridCol w:w="905"/>
        <w:gridCol w:w="905"/>
        <w:gridCol w:w="905"/>
        <w:gridCol w:w="906"/>
        <w:gridCol w:w="2551"/>
      </w:tblGrid>
      <w:tr w:rsidR="00984BA9" w14:paraId="7683D79E" w14:textId="77777777" w:rsidTr="00F467C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12" w:space="0" w:color="auto"/>
              <w:bottom w:val="single" w:sz="12" w:space="0" w:color="auto"/>
            </w:tcBorders>
            <w:vAlign w:val="center"/>
          </w:tcPr>
          <w:p w14:paraId="1175CDCE" w14:textId="04A7B273" w:rsidR="00984BA9" w:rsidRPr="00812EFF" w:rsidRDefault="00984BA9" w:rsidP="00046103">
            <w:pPr>
              <w:ind w:firstLine="0"/>
              <w:jc w:val="center"/>
              <w:rPr>
                <w:rFonts w:eastAsia="Aptos"/>
                <w:b w:val="0"/>
                <w:bCs w:val="0"/>
                <w:sz w:val="14"/>
                <w:szCs w:val="14"/>
                <w:lang w:val="en-ID" w:eastAsia="en-PH"/>
              </w:rPr>
            </w:pPr>
            <w:r w:rsidRPr="00812EFF">
              <w:rPr>
                <w:rFonts w:eastAsia="Aptos"/>
                <w:sz w:val="14"/>
                <w:szCs w:val="14"/>
                <w:lang w:val="en-ID" w:eastAsia="en-PH"/>
              </w:rPr>
              <w:t>No</w:t>
            </w:r>
          </w:p>
        </w:tc>
        <w:tc>
          <w:tcPr>
            <w:tcW w:w="1984" w:type="dxa"/>
            <w:tcBorders>
              <w:top w:val="single" w:sz="12" w:space="0" w:color="auto"/>
              <w:bottom w:val="single" w:sz="12" w:space="0" w:color="auto"/>
            </w:tcBorders>
            <w:vAlign w:val="center"/>
          </w:tcPr>
          <w:p w14:paraId="6F652396" w14:textId="3339F1C4"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 xml:space="preserve">International Conventions, Regional Agreements, Transboundary Agreements, Laws </w:t>
            </w:r>
            <w:r w:rsidR="00046103">
              <w:rPr>
                <w:rFonts w:eastAsia="Aptos"/>
                <w:sz w:val="14"/>
                <w:szCs w:val="14"/>
                <w:lang w:val="en-ID" w:eastAsia="en-PH"/>
              </w:rPr>
              <w:t>a</w:t>
            </w:r>
            <w:r w:rsidRPr="00812EFF">
              <w:rPr>
                <w:rFonts w:eastAsia="Aptos"/>
                <w:sz w:val="14"/>
                <w:szCs w:val="14"/>
                <w:lang w:val="en-ID" w:eastAsia="en-PH"/>
              </w:rPr>
              <w:t>nd Regulation, Plans and Action Plans</w:t>
            </w:r>
          </w:p>
        </w:tc>
        <w:tc>
          <w:tcPr>
            <w:tcW w:w="905" w:type="dxa"/>
            <w:tcBorders>
              <w:top w:val="single" w:sz="12" w:space="0" w:color="auto"/>
              <w:bottom w:val="single" w:sz="12" w:space="0" w:color="auto"/>
            </w:tcBorders>
            <w:vAlign w:val="center"/>
          </w:tcPr>
          <w:p w14:paraId="161323D6" w14:textId="60F1AE96"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Biological Resources/Ecosystems</w:t>
            </w:r>
          </w:p>
        </w:tc>
        <w:tc>
          <w:tcPr>
            <w:tcW w:w="905" w:type="dxa"/>
            <w:tcBorders>
              <w:top w:val="single" w:sz="12" w:space="0" w:color="auto"/>
              <w:bottom w:val="single" w:sz="12" w:space="0" w:color="auto"/>
            </w:tcBorders>
            <w:vAlign w:val="center"/>
          </w:tcPr>
          <w:p w14:paraId="77528368" w14:textId="77777777"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Pollution</w:t>
            </w:r>
          </w:p>
        </w:tc>
        <w:tc>
          <w:tcPr>
            <w:tcW w:w="905" w:type="dxa"/>
            <w:tcBorders>
              <w:top w:val="single" w:sz="12" w:space="0" w:color="auto"/>
              <w:bottom w:val="single" w:sz="12" w:space="0" w:color="auto"/>
            </w:tcBorders>
            <w:vAlign w:val="center"/>
          </w:tcPr>
          <w:p w14:paraId="3388359A" w14:textId="77777777"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Fisheries</w:t>
            </w:r>
          </w:p>
        </w:tc>
        <w:tc>
          <w:tcPr>
            <w:tcW w:w="906" w:type="dxa"/>
            <w:tcBorders>
              <w:top w:val="single" w:sz="12" w:space="0" w:color="auto"/>
              <w:bottom w:val="single" w:sz="12" w:space="0" w:color="auto"/>
            </w:tcBorders>
            <w:vAlign w:val="center"/>
          </w:tcPr>
          <w:p w14:paraId="0B7D2280" w14:textId="77777777"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Climate Change</w:t>
            </w:r>
          </w:p>
        </w:tc>
        <w:tc>
          <w:tcPr>
            <w:tcW w:w="2551" w:type="dxa"/>
            <w:tcBorders>
              <w:top w:val="single" w:sz="12" w:space="0" w:color="auto"/>
              <w:bottom w:val="single" w:sz="12" w:space="0" w:color="auto"/>
            </w:tcBorders>
            <w:vAlign w:val="center"/>
          </w:tcPr>
          <w:p w14:paraId="5AA13BE6" w14:textId="77777777" w:rsidR="00984BA9" w:rsidRPr="00812EFF" w:rsidRDefault="00984BA9" w:rsidP="00046103">
            <w:pPr>
              <w:ind w:firstLine="0"/>
              <w:jc w:val="center"/>
              <w:cnfStyle w:val="100000000000" w:firstRow="1" w:lastRow="0" w:firstColumn="0" w:lastColumn="0" w:oddVBand="0" w:evenVBand="0" w:oddHBand="0" w:evenHBand="0" w:firstRowFirstColumn="0" w:firstRowLastColumn="0" w:lastRowFirstColumn="0" w:lastRowLastColumn="0"/>
              <w:rPr>
                <w:rFonts w:eastAsia="Aptos"/>
                <w:b w:val="0"/>
                <w:bCs w:val="0"/>
                <w:sz w:val="14"/>
                <w:szCs w:val="14"/>
                <w:lang w:val="en-ID" w:eastAsia="en-PH"/>
              </w:rPr>
            </w:pPr>
            <w:r w:rsidRPr="00812EFF">
              <w:rPr>
                <w:rFonts w:eastAsia="Aptos"/>
                <w:sz w:val="14"/>
                <w:szCs w:val="14"/>
                <w:lang w:val="en-ID" w:eastAsia="en-PH"/>
              </w:rPr>
              <w:t>Qualitative Observations</w:t>
            </w:r>
          </w:p>
        </w:tc>
      </w:tr>
      <w:tr w:rsidR="00984BA9" w14:paraId="3FDA2124"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12" w:space="0" w:color="auto"/>
              <w:bottom w:val="single" w:sz="4" w:space="0" w:color="auto"/>
            </w:tcBorders>
          </w:tcPr>
          <w:p w14:paraId="3AF3CC46"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12" w:space="0" w:color="auto"/>
              <w:bottom w:val="single" w:sz="4" w:space="0" w:color="auto"/>
            </w:tcBorders>
            <w:vAlign w:val="center"/>
          </w:tcPr>
          <w:p w14:paraId="35F06748"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International Conventions</w:t>
            </w:r>
          </w:p>
        </w:tc>
        <w:tc>
          <w:tcPr>
            <w:tcW w:w="905" w:type="dxa"/>
            <w:tcBorders>
              <w:top w:val="single" w:sz="12" w:space="0" w:color="auto"/>
              <w:bottom w:val="single" w:sz="4" w:space="0" w:color="auto"/>
            </w:tcBorders>
          </w:tcPr>
          <w:p w14:paraId="62B7046E" w14:textId="77777777" w:rsidR="00984BA9" w:rsidRPr="00812EFF" w:rsidRDefault="00984BA9" w:rsidP="00812EFF">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12" w:space="0" w:color="auto"/>
              <w:bottom w:val="single" w:sz="4" w:space="0" w:color="auto"/>
            </w:tcBorders>
          </w:tcPr>
          <w:p w14:paraId="2231D08C" w14:textId="77777777" w:rsidR="00984BA9" w:rsidRPr="00812EFF" w:rsidRDefault="00984BA9" w:rsidP="00812EFF">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12" w:space="0" w:color="auto"/>
              <w:bottom w:val="single" w:sz="4" w:space="0" w:color="auto"/>
            </w:tcBorders>
          </w:tcPr>
          <w:p w14:paraId="6C1A4381" w14:textId="77777777" w:rsidR="00984BA9" w:rsidRPr="00812EFF" w:rsidRDefault="00984BA9" w:rsidP="00812EFF">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single" w:sz="12" w:space="0" w:color="auto"/>
              <w:bottom w:val="single" w:sz="4" w:space="0" w:color="auto"/>
            </w:tcBorders>
          </w:tcPr>
          <w:p w14:paraId="469C91FE" w14:textId="77777777" w:rsidR="00984BA9" w:rsidRPr="00812EFF" w:rsidRDefault="00984BA9" w:rsidP="00812EFF">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single" w:sz="12" w:space="0" w:color="auto"/>
              <w:bottom w:val="single" w:sz="4" w:space="0" w:color="auto"/>
            </w:tcBorders>
          </w:tcPr>
          <w:p w14:paraId="7F9986ED" w14:textId="77777777" w:rsidR="00984BA9" w:rsidRPr="00812EFF" w:rsidRDefault="00984BA9" w:rsidP="00812EFF">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5221005D"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nil"/>
            </w:tcBorders>
          </w:tcPr>
          <w:p w14:paraId="2E364369"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72C4EB1C"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UNCLOS</w:t>
            </w:r>
          </w:p>
        </w:tc>
        <w:tc>
          <w:tcPr>
            <w:tcW w:w="905" w:type="dxa"/>
            <w:tcBorders>
              <w:top w:val="single" w:sz="4" w:space="0" w:color="auto"/>
              <w:bottom w:val="single" w:sz="4" w:space="0" w:color="auto"/>
            </w:tcBorders>
            <w:vAlign w:val="center"/>
          </w:tcPr>
          <w:p w14:paraId="077C747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4C8C538B"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E6DC753"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14848E1A"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3C4C31D8"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Sec. 56 now implemented through RA 12064</w:t>
            </w:r>
          </w:p>
        </w:tc>
      </w:tr>
      <w:tr w:rsidR="00984BA9" w14:paraId="04603E8D"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5717C1E8"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4576BE1E"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UNCLOS Agreement on Part XI</w:t>
            </w:r>
          </w:p>
        </w:tc>
        <w:tc>
          <w:tcPr>
            <w:tcW w:w="905" w:type="dxa"/>
            <w:tcBorders>
              <w:top w:val="single" w:sz="4" w:space="0" w:color="auto"/>
              <w:bottom w:val="single" w:sz="4" w:space="0" w:color="auto"/>
            </w:tcBorders>
            <w:vAlign w:val="center"/>
          </w:tcPr>
          <w:p w14:paraId="776860C2"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7A54E6D6"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628A365" w14:textId="611A904B"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001112B7"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2A07B2B9"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1C0C6FD7"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7B4C5214"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39F5C593"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UNCLOS Fish Stocks Agreement</w:t>
            </w:r>
          </w:p>
        </w:tc>
        <w:tc>
          <w:tcPr>
            <w:tcW w:w="905" w:type="dxa"/>
            <w:tcBorders>
              <w:top w:val="single" w:sz="4" w:space="0" w:color="auto"/>
              <w:bottom w:val="single" w:sz="4" w:space="0" w:color="auto"/>
            </w:tcBorders>
            <w:vAlign w:val="center"/>
          </w:tcPr>
          <w:p w14:paraId="24A9591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0FCAB1A7"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6E0E0A4A" w14:textId="699A9272" w:rsidR="00984BA9" w:rsidRPr="00812EFF" w:rsidRDefault="00812EFF"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2BADA2AF"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3F46D95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03AB2207"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242B5C68"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nil"/>
            </w:tcBorders>
            <w:vAlign w:val="center"/>
          </w:tcPr>
          <w:p w14:paraId="2E84B855"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FAO Compliance Agreement</w:t>
            </w:r>
          </w:p>
        </w:tc>
        <w:tc>
          <w:tcPr>
            <w:tcW w:w="905" w:type="dxa"/>
            <w:tcBorders>
              <w:top w:val="single" w:sz="4" w:space="0" w:color="auto"/>
              <w:bottom w:val="nil"/>
            </w:tcBorders>
            <w:vAlign w:val="center"/>
          </w:tcPr>
          <w:p w14:paraId="34A05159"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nil"/>
            </w:tcBorders>
            <w:vAlign w:val="center"/>
          </w:tcPr>
          <w:p w14:paraId="055D8D37"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nil"/>
            </w:tcBorders>
            <w:vAlign w:val="center"/>
          </w:tcPr>
          <w:p w14:paraId="70FF2E33"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nil"/>
            </w:tcBorders>
            <w:vAlign w:val="center"/>
          </w:tcPr>
          <w:p w14:paraId="089C55B7"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nil"/>
            </w:tcBorders>
            <w:vAlign w:val="center"/>
          </w:tcPr>
          <w:p w14:paraId="7090F245"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2E9B10F9"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57451BD1" w14:textId="77777777" w:rsidR="00984BA9" w:rsidRPr="00812EFF" w:rsidRDefault="00984BA9" w:rsidP="00812EFF">
            <w:pPr>
              <w:jc w:val="center"/>
              <w:rPr>
                <w:rFonts w:eastAsia="Aptos"/>
                <w:b w:val="0"/>
                <w:bCs w:val="0"/>
                <w:sz w:val="14"/>
                <w:szCs w:val="14"/>
                <w:lang w:val="en-ID" w:eastAsia="en-PH"/>
              </w:rPr>
            </w:pPr>
          </w:p>
        </w:tc>
        <w:tc>
          <w:tcPr>
            <w:tcW w:w="1984" w:type="dxa"/>
            <w:tcBorders>
              <w:top w:val="nil"/>
              <w:bottom w:val="single" w:sz="4" w:space="0" w:color="auto"/>
            </w:tcBorders>
            <w:vAlign w:val="center"/>
          </w:tcPr>
          <w:p w14:paraId="11490063"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FAO Agreement on Port State Measures</w:t>
            </w:r>
          </w:p>
        </w:tc>
        <w:tc>
          <w:tcPr>
            <w:tcW w:w="905" w:type="dxa"/>
            <w:tcBorders>
              <w:top w:val="nil"/>
              <w:bottom w:val="single" w:sz="4" w:space="0" w:color="auto"/>
            </w:tcBorders>
            <w:vAlign w:val="center"/>
          </w:tcPr>
          <w:p w14:paraId="38A0992D"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04212A9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076AC0A4"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nil"/>
              <w:bottom w:val="single" w:sz="4" w:space="0" w:color="auto"/>
            </w:tcBorders>
            <w:vAlign w:val="center"/>
          </w:tcPr>
          <w:p w14:paraId="256CFD64"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nil"/>
              <w:bottom w:val="single" w:sz="4" w:space="0" w:color="auto"/>
            </w:tcBorders>
            <w:vAlign w:val="center"/>
          </w:tcPr>
          <w:p w14:paraId="6141A67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2F6ADE5D"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0DE6E4B8"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6DE12C86"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Convention on Biological Diversity</w:t>
            </w:r>
          </w:p>
        </w:tc>
        <w:tc>
          <w:tcPr>
            <w:tcW w:w="905" w:type="dxa"/>
            <w:tcBorders>
              <w:top w:val="single" w:sz="4" w:space="0" w:color="auto"/>
              <w:bottom w:val="single" w:sz="4" w:space="0" w:color="auto"/>
            </w:tcBorders>
            <w:vAlign w:val="center"/>
          </w:tcPr>
          <w:p w14:paraId="72760E08"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4" w:space="0" w:color="auto"/>
            </w:tcBorders>
            <w:vAlign w:val="center"/>
          </w:tcPr>
          <w:p w14:paraId="360544C3"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4" w:space="0" w:color="auto"/>
            </w:tcBorders>
            <w:vAlign w:val="center"/>
          </w:tcPr>
          <w:p w14:paraId="032BD06C" w14:textId="127F11FA"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42E78212"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4675C748"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Through the KMGBF, CBD lets states address a broader set of issues</w:t>
            </w:r>
          </w:p>
        </w:tc>
      </w:tr>
      <w:tr w:rsidR="00984BA9" w14:paraId="5109F3AD"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31E15B05"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2D6DA25D"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World Trade Organization</w:t>
            </w:r>
          </w:p>
        </w:tc>
        <w:tc>
          <w:tcPr>
            <w:tcW w:w="905" w:type="dxa"/>
            <w:tcBorders>
              <w:top w:val="single" w:sz="4" w:space="0" w:color="auto"/>
              <w:bottom w:val="single" w:sz="4" w:space="0" w:color="auto"/>
            </w:tcBorders>
            <w:vAlign w:val="center"/>
          </w:tcPr>
          <w:p w14:paraId="61FA919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64AF41F6"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28275DA" w14:textId="73D8E507" w:rsidR="00984BA9" w:rsidRPr="00812EFF" w:rsidRDefault="00812EFF"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51EFECDC"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7C5E8464"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1E5758CA"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05D61DBA"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023F0EF0"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UNFCCC</w:t>
            </w:r>
          </w:p>
        </w:tc>
        <w:tc>
          <w:tcPr>
            <w:tcW w:w="905" w:type="dxa"/>
            <w:tcBorders>
              <w:top w:val="single" w:sz="4" w:space="0" w:color="auto"/>
              <w:bottom w:val="single" w:sz="4" w:space="0" w:color="auto"/>
            </w:tcBorders>
            <w:vAlign w:val="center"/>
          </w:tcPr>
          <w:p w14:paraId="482CC0AA"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77E80B6E"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1C0B6B5B"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7D224737"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2712FBEC"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34E42413"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single" w:sz="4" w:space="0" w:color="auto"/>
            </w:tcBorders>
          </w:tcPr>
          <w:p w14:paraId="17F5FEDF"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533F8169"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Paris Agreement</w:t>
            </w:r>
          </w:p>
        </w:tc>
        <w:tc>
          <w:tcPr>
            <w:tcW w:w="905" w:type="dxa"/>
            <w:tcBorders>
              <w:top w:val="single" w:sz="4" w:space="0" w:color="auto"/>
              <w:bottom w:val="single" w:sz="4" w:space="0" w:color="auto"/>
            </w:tcBorders>
            <w:vAlign w:val="center"/>
          </w:tcPr>
          <w:p w14:paraId="46546F2A"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03965D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503C85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1D28602F"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30FEAA9D"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046103" w:rsidRPr="000C6DA7" w14:paraId="36AA05C0"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tcBorders>
          </w:tcPr>
          <w:p w14:paraId="29DBA48D" w14:textId="77777777" w:rsidR="00046103" w:rsidRPr="00812EFF" w:rsidRDefault="00046103" w:rsidP="00812EFF">
            <w:pPr>
              <w:jc w:val="center"/>
              <w:rPr>
                <w:rFonts w:eastAsia="Aptos"/>
                <w:b w:val="0"/>
                <w:bCs w:val="0"/>
                <w:sz w:val="14"/>
                <w:szCs w:val="14"/>
                <w:lang w:val="en-ID" w:eastAsia="en-PH"/>
              </w:rPr>
            </w:pPr>
          </w:p>
        </w:tc>
        <w:tc>
          <w:tcPr>
            <w:tcW w:w="2889" w:type="dxa"/>
            <w:gridSpan w:val="2"/>
            <w:tcBorders>
              <w:top w:val="single" w:sz="4" w:space="0" w:color="auto"/>
              <w:bottom w:val="single" w:sz="4" w:space="0" w:color="auto"/>
            </w:tcBorders>
            <w:vAlign w:val="center"/>
          </w:tcPr>
          <w:p w14:paraId="638D2658" w14:textId="4E346A91" w:rsidR="00046103" w:rsidRPr="00812EFF" w:rsidRDefault="00046103" w:rsidP="00046103">
            <w:pPr>
              <w:ind w:firstLine="0"/>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046103">
              <w:rPr>
                <w:rFonts w:eastAsia="Aptos"/>
                <w:b/>
                <w:bCs/>
                <w:sz w:val="14"/>
                <w:szCs w:val="14"/>
                <w:lang w:val="en-ID" w:eastAsia="en-PH"/>
              </w:rPr>
              <w:t>Regional Frameworks/Declarations</w:t>
            </w:r>
          </w:p>
        </w:tc>
        <w:tc>
          <w:tcPr>
            <w:tcW w:w="905" w:type="dxa"/>
            <w:tcBorders>
              <w:top w:val="single" w:sz="4" w:space="0" w:color="auto"/>
              <w:bottom w:val="single" w:sz="4" w:space="0" w:color="auto"/>
            </w:tcBorders>
            <w:vAlign w:val="center"/>
          </w:tcPr>
          <w:p w14:paraId="3904ECF0" w14:textId="77777777" w:rsidR="00046103" w:rsidRPr="00812EFF" w:rsidRDefault="00046103"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0D028D68" w14:textId="77777777" w:rsidR="00046103" w:rsidRPr="00812EFF" w:rsidRDefault="00046103"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35F77692" w14:textId="77777777" w:rsidR="00046103" w:rsidRPr="00812EFF" w:rsidRDefault="00046103"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718C83D2" w14:textId="77777777" w:rsidR="00046103" w:rsidRPr="00812EFF" w:rsidRDefault="00046103"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5CC1CDF2"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nil"/>
            </w:tcBorders>
          </w:tcPr>
          <w:p w14:paraId="33AB7755"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nil"/>
            </w:tcBorders>
            <w:vAlign w:val="center"/>
          </w:tcPr>
          <w:p w14:paraId="540DD6E3"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ASEAN Leaders’ Declaration on the Blue Economy</w:t>
            </w:r>
          </w:p>
        </w:tc>
        <w:tc>
          <w:tcPr>
            <w:tcW w:w="905" w:type="dxa"/>
            <w:tcBorders>
              <w:top w:val="single" w:sz="4" w:space="0" w:color="auto"/>
              <w:bottom w:val="nil"/>
            </w:tcBorders>
            <w:vAlign w:val="center"/>
          </w:tcPr>
          <w:p w14:paraId="31F9A898"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nil"/>
            </w:tcBorders>
            <w:vAlign w:val="center"/>
          </w:tcPr>
          <w:p w14:paraId="51C598CC"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nil"/>
            </w:tcBorders>
            <w:vAlign w:val="center"/>
          </w:tcPr>
          <w:p w14:paraId="2483B230" w14:textId="745A91B9" w:rsidR="00984BA9" w:rsidRPr="00812EFF" w:rsidRDefault="00812EFF"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nil"/>
            </w:tcBorders>
            <w:vAlign w:val="center"/>
          </w:tcPr>
          <w:p w14:paraId="6B579A60" w14:textId="37FC8D4B" w:rsidR="00984BA9" w:rsidRPr="00812EFF" w:rsidRDefault="00984BA9" w:rsidP="00046103">
            <w:pPr>
              <w:tabs>
                <w:tab w:val="center" w:pos="677"/>
              </w:tabs>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nil"/>
            </w:tcBorders>
            <w:vAlign w:val="center"/>
          </w:tcPr>
          <w:p w14:paraId="1ACA44E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27321E8D"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single" w:sz="4" w:space="0" w:color="auto"/>
            </w:tcBorders>
          </w:tcPr>
          <w:p w14:paraId="1206A511" w14:textId="77777777" w:rsidR="00984BA9" w:rsidRPr="00812EFF" w:rsidRDefault="00984BA9" w:rsidP="00812EFF">
            <w:pPr>
              <w:jc w:val="center"/>
              <w:rPr>
                <w:rFonts w:eastAsia="Aptos"/>
                <w:b w:val="0"/>
                <w:bCs w:val="0"/>
                <w:sz w:val="14"/>
                <w:szCs w:val="14"/>
                <w:lang w:val="en-ID" w:eastAsia="en-PH"/>
              </w:rPr>
            </w:pPr>
          </w:p>
        </w:tc>
        <w:tc>
          <w:tcPr>
            <w:tcW w:w="1984" w:type="dxa"/>
            <w:tcBorders>
              <w:top w:val="nil"/>
              <w:bottom w:val="single" w:sz="4" w:space="0" w:color="auto"/>
            </w:tcBorders>
            <w:vAlign w:val="center"/>
          </w:tcPr>
          <w:p w14:paraId="23F74316" w14:textId="77777777" w:rsidR="00984BA9" w:rsidRPr="00812EFF" w:rsidRDefault="00984BA9" w:rsidP="00046103">
            <w:pPr>
              <w:jc w:val="left"/>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5FD56886"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1917CC1A"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40FDB8BE"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6" w:type="dxa"/>
            <w:tcBorders>
              <w:top w:val="nil"/>
              <w:bottom w:val="single" w:sz="4" w:space="0" w:color="auto"/>
            </w:tcBorders>
            <w:vAlign w:val="center"/>
          </w:tcPr>
          <w:p w14:paraId="60A52CCF"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nil"/>
              <w:bottom w:val="single" w:sz="4" w:space="0" w:color="auto"/>
            </w:tcBorders>
            <w:vAlign w:val="center"/>
          </w:tcPr>
          <w:p w14:paraId="3BB4EE98"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3180B0A4"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tcBorders>
          </w:tcPr>
          <w:p w14:paraId="48CADF30"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29E117B8"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Transboundary Agreements</w:t>
            </w:r>
          </w:p>
        </w:tc>
        <w:tc>
          <w:tcPr>
            <w:tcW w:w="905" w:type="dxa"/>
            <w:tcBorders>
              <w:top w:val="single" w:sz="4" w:space="0" w:color="auto"/>
              <w:bottom w:val="single" w:sz="4" w:space="0" w:color="auto"/>
            </w:tcBorders>
            <w:vAlign w:val="center"/>
          </w:tcPr>
          <w:p w14:paraId="3B57BB2C"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FB44BD8"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2CE7489"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35598828"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46C93EF2"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459FFE08"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nil"/>
            </w:tcBorders>
          </w:tcPr>
          <w:p w14:paraId="31055E8B"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3608C19B"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COBSEA</w:t>
            </w:r>
          </w:p>
        </w:tc>
        <w:tc>
          <w:tcPr>
            <w:tcW w:w="905" w:type="dxa"/>
            <w:tcBorders>
              <w:top w:val="single" w:sz="4" w:space="0" w:color="auto"/>
              <w:bottom w:val="single" w:sz="4" w:space="0" w:color="auto"/>
            </w:tcBorders>
            <w:vAlign w:val="center"/>
          </w:tcPr>
          <w:p w14:paraId="08F81940"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30ED59BC"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1C983E97" w14:textId="20352402"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17A5F0AA"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540E5A03"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05262289"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25E143B0"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4DEE750D"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PEMSEA</w:t>
            </w:r>
          </w:p>
        </w:tc>
        <w:tc>
          <w:tcPr>
            <w:tcW w:w="905" w:type="dxa"/>
            <w:tcBorders>
              <w:top w:val="single" w:sz="4" w:space="0" w:color="auto"/>
              <w:bottom w:val="single" w:sz="4" w:space="0" w:color="auto"/>
            </w:tcBorders>
            <w:vAlign w:val="center"/>
          </w:tcPr>
          <w:p w14:paraId="500D63D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CBB1893"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0AA9C77" w14:textId="421FF244" w:rsidR="00984BA9" w:rsidRPr="00812EFF" w:rsidRDefault="00812EFF"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4C414BA2"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7FFF6DD9"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63F2A065"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single" w:sz="4" w:space="0" w:color="auto"/>
            </w:tcBorders>
          </w:tcPr>
          <w:p w14:paraId="23078942"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7329783F"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CTI-CFF</w:t>
            </w:r>
          </w:p>
        </w:tc>
        <w:tc>
          <w:tcPr>
            <w:tcW w:w="905" w:type="dxa"/>
            <w:tcBorders>
              <w:top w:val="single" w:sz="4" w:space="0" w:color="auto"/>
              <w:bottom w:val="single" w:sz="4" w:space="0" w:color="auto"/>
            </w:tcBorders>
            <w:vAlign w:val="center"/>
          </w:tcPr>
          <w:p w14:paraId="18F70FD6"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59273D76"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516DC4F6" w14:textId="6A096934"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7B29FD30"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14E302E4"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r>
      <w:tr w:rsidR="00984BA9" w14:paraId="6ED3928C"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tcBorders>
          </w:tcPr>
          <w:p w14:paraId="6E002C0A" w14:textId="77777777" w:rsidR="00984BA9" w:rsidRPr="00812EFF" w:rsidRDefault="00984BA9" w:rsidP="00812EFF">
            <w:pPr>
              <w:ind w:firstLine="0"/>
              <w:jc w:val="center"/>
              <w:rPr>
                <w:rFonts w:eastAsia="Aptos"/>
                <w:b w:val="0"/>
                <w:bCs w:val="0"/>
                <w:sz w:val="14"/>
                <w:szCs w:val="14"/>
                <w:lang w:val="en-ID" w:eastAsia="en-PH"/>
              </w:rPr>
            </w:pPr>
            <w:r w:rsidRPr="00812EFF">
              <w:rPr>
                <w:rFonts w:eastAsia="Aptos"/>
                <w:sz w:val="14"/>
                <w:szCs w:val="14"/>
                <w:lang w:val="en-ID" w:eastAsia="en-PH"/>
              </w:rPr>
              <w:t>A</w:t>
            </w:r>
          </w:p>
        </w:tc>
        <w:tc>
          <w:tcPr>
            <w:tcW w:w="1984" w:type="dxa"/>
            <w:tcBorders>
              <w:top w:val="single" w:sz="4" w:space="0" w:color="auto"/>
              <w:bottom w:val="single" w:sz="4" w:space="0" w:color="auto"/>
            </w:tcBorders>
            <w:vAlign w:val="center"/>
          </w:tcPr>
          <w:p w14:paraId="17A6644F" w14:textId="77777777" w:rsidR="00984BA9" w:rsidRPr="00812EFF" w:rsidRDefault="00984BA9" w:rsidP="00046103">
            <w:pPr>
              <w:ind w:firstLine="0"/>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Laws and Regulations</w:t>
            </w:r>
          </w:p>
        </w:tc>
        <w:tc>
          <w:tcPr>
            <w:tcW w:w="905" w:type="dxa"/>
            <w:tcBorders>
              <w:top w:val="single" w:sz="4" w:space="0" w:color="auto"/>
              <w:bottom w:val="single" w:sz="4" w:space="0" w:color="auto"/>
            </w:tcBorders>
            <w:vAlign w:val="center"/>
          </w:tcPr>
          <w:p w14:paraId="6562FB18"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147C41A"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593AE10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42D6A8BF"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401488DE"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4C84F683"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nil"/>
            </w:tcBorders>
          </w:tcPr>
          <w:p w14:paraId="45AA0643"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4" w:space="0" w:color="auto"/>
            </w:tcBorders>
            <w:vAlign w:val="center"/>
          </w:tcPr>
          <w:p w14:paraId="26BF067E"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Executive Order No. 533 on ICM</w:t>
            </w:r>
          </w:p>
        </w:tc>
        <w:tc>
          <w:tcPr>
            <w:tcW w:w="905" w:type="dxa"/>
            <w:tcBorders>
              <w:top w:val="single" w:sz="4" w:space="0" w:color="auto"/>
              <w:bottom w:val="single" w:sz="4" w:space="0" w:color="auto"/>
            </w:tcBorders>
            <w:vAlign w:val="center"/>
          </w:tcPr>
          <w:p w14:paraId="0968D490"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4" w:space="0" w:color="auto"/>
            </w:tcBorders>
            <w:vAlign w:val="center"/>
          </w:tcPr>
          <w:p w14:paraId="15AF420D"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4" w:space="0" w:color="auto"/>
            </w:tcBorders>
            <w:vAlign w:val="center"/>
          </w:tcPr>
          <w:p w14:paraId="7F85A6DD" w14:textId="115569A7"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4" w:space="0" w:color="auto"/>
            </w:tcBorders>
            <w:vAlign w:val="center"/>
          </w:tcPr>
          <w:p w14:paraId="455F6AB0" w14:textId="1ADE58B7" w:rsidR="00812EFF"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4" w:space="0" w:color="auto"/>
            </w:tcBorders>
            <w:vAlign w:val="center"/>
          </w:tcPr>
          <w:p w14:paraId="788CCC42"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The EO addresses the inter-linkages among associated watersheds, estuaries and wetlands, and coastal seas, by all relevant national and local agencies.</w:t>
            </w:r>
          </w:p>
        </w:tc>
      </w:tr>
      <w:tr w:rsidR="00984BA9" w14:paraId="37243F48"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23F1E738"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nil"/>
            </w:tcBorders>
            <w:vAlign w:val="center"/>
          </w:tcPr>
          <w:p w14:paraId="12400AD7" w14:textId="77777777" w:rsidR="00984BA9" w:rsidRPr="00812EFF" w:rsidRDefault="00984BA9" w:rsidP="00046103">
            <w:pPr>
              <w:ind w:firstLine="0"/>
              <w:jc w:val="left"/>
              <w:cnfStyle w:val="000000000000" w:firstRow="0" w:lastRow="0" w:firstColumn="0" w:lastColumn="0" w:oddVBand="0" w:evenVBand="0" w:oddHBand="0"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Clean Water Act</w:t>
            </w:r>
          </w:p>
        </w:tc>
        <w:tc>
          <w:tcPr>
            <w:tcW w:w="905" w:type="dxa"/>
            <w:tcBorders>
              <w:top w:val="single" w:sz="4" w:space="0" w:color="auto"/>
              <w:bottom w:val="nil"/>
            </w:tcBorders>
            <w:vAlign w:val="center"/>
          </w:tcPr>
          <w:p w14:paraId="3DEC962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nil"/>
            </w:tcBorders>
            <w:vAlign w:val="center"/>
          </w:tcPr>
          <w:p w14:paraId="3848100F" w14:textId="77777777" w:rsidR="00984BA9" w:rsidRPr="00812EFF" w:rsidRDefault="00984BA9" w:rsidP="00046103">
            <w:pPr>
              <w:ind w:firstLine="0"/>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nil"/>
            </w:tcBorders>
            <w:vAlign w:val="center"/>
          </w:tcPr>
          <w:p w14:paraId="3F9CDF66"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nil"/>
            </w:tcBorders>
            <w:vAlign w:val="center"/>
          </w:tcPr>
          <w:p w14:paraId="00331EA1"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nil"/>
            </w:tcBorders>
            <w:vAlign w:val="center"/>
          </w:tcPr>
          <w:p w14:paraId="442AC068"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22DB2C68"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bottom w:val="nil"/>
            </w:tcBorders>
          </w:tcPr>
          <w:p w14:paraId="049C8BCB" w14:textId="77777777" w:rsidR="00984BA9" w:rsidRPr="00812EFF" w:rsidRDefault="00984BA9" w:rsidP="00812EFF">
            <w:pPr>
              <w:jc w:val="center"/>
              <w:rPr>
                <w:rFonts w:eastAsia="Aptos"/>
                <w:b w:val="0"/>
                <w:bCs w:val="0"/>
                <w:sz w:val="14"/>
                <w:szCs w:val="14"/>
                <w:lang w:val="en-ID" w:eastAsia="en-PH"/>
              </w:rPr>
            </w:pPr>
          </w:p>
        </w:tc>
        <w:tc>
          <w:tcPr>
            <w:tcW w:w="1984" w:type="dxa"/>
            <w:tcBorders>
              <w:top w:val="nil"/>
              <w:bottom w:val="single" w:sz="4" w:space="0" w:color="auto"/>
            </w:tcBorders>
            <w:vAlign w:val="center"/>
          </w:tcPr>
          <w:p w14:paraId="04ABAE09"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FAO 263, series of 2019</w:t>
            </w:r>
          </w:p>
        </w:tc>
        <w:tc>
          <w:tcPr>
            <w:tcW w:w="905" w:type="dxa"/>
            <w:tcBorders>
              <w:top w:val="nil"/>
              <w:bottom w:val="single" w:sz="4" w:space="0" w:color="auto"/>
            </w:tcBorders>
            <w:vAlign w:val="center"/>
          </w:tcPr>
          <w:p w14:paraId="49404717"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nil"/>
              <w:bottom w:val="single" w:sz="4" w:space="0" w:color="auto"/>
            </w:tcBorders>
            <w:vAlign w:val="center"/>
          </w:tcPr>
          <w:p w14:paraId="41F4238F"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905" w:type="dxa"/>
            <w:tcBorders>
              <w:top w:val="nil"/>
              <w:bottom w:val="single" w:sz="4" w:space="0" w:color="auto"/>
            </w:tcBorders>
            <w:vAlign w:val="center"/>
          </w:tcPr>
          <w:p w14:paraId="4E04F57F" w14:textId="16C8B425"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nil"/>
              <w:bottom w:val="single" w:sz="4" w:space="0" w:color="auto"/>
            </w:tcBorders>
            <w:vAlign w:val="center"/>
          </w:tcPr>
          <w:p w14:paraId="2F4AED18" w14:textId="77777777" w:rsidR="00984BA9" w:rsidRPr="00812EFF" w:rsidRDefault="00984BA9" w:rsidP="00046103">
            <w:pPr>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p>
        </w:tc>
        <w:tc>
          <w:tcPr>
            <w:tcW w:w="2551" w:type="dxa"/>
            <w:tcBorders>
              <w:top w:val="nil"/>
              <w:bottom w:val="single" w:sz="4" w:space="0" w:color="auto"/>
            </w:tcBorders>
            <w:vAlign w:val="center"/>
          </w:tcPr>
          <w:p w14:paraId="68767108"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Institutionalizes the ecosystem approach to fisheries management (EAFM) that balance ecological well-being with human and societal well-being</w:t>
            </w:r>
          </w:p>
        </w:tc>
      </w:tr>
      <w:tr w:rsidR="00984BA9" w14:paraId="1414C2C4" w14:textId="77777777" w:rsidTr="00F467CC">
        <w:trPr>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tcBorders>
          </w:tcPr>
          <w:p w14:paraId="792F0518" w14:textId="77777777" w:rsidR="00984BA9" w:rsidRPr="00812EFF" w:rsidRDefault="00984BA9" w:rsidP="00812EFF">
            <w:pPr>
              <w:ind w:firstLine="0"/>
              <w:jc w:val="center"/>
              <w:rPr>
                <w:rFonts w:eastAsia="Aptos"/>
                <w:b w:val="0"/>
                <w:bCs w:val="0"/>
                <w:sz w:val="14"/>
                <w:szCs w:val="14"/>
                <w:lang w:val="en-ID" w:eastAsia="en-PH"/>
              </w:rPr>
            </w:pPr>
            <w:r w:rsidRPr="00812EFF">
              <w:rPr>
                <w:rFonts w:eastAsia="Aptos"/>
                <w:sz w:val="14"/>
                <w:szCs w:val="14"/>
                <w:lang w:val="en-ID" w:eastAsia="en-PH"/>
              </w:rPr>
              <w:t>B</w:t>
            </w:r>
          </w:p>
        </w:tc>
        <w:tc>
          <w:tcPr>
            <w:tcW w:w="1984" w:type="dxa"/>
            <w:tcBorders>
              <w:top w:val="single" w:sz="4" w:space="0" w:color="auto"/>
              <w:bottom w:val="single" w:sz="4" w:space="0" w:color="auto"/>
            </w:tcBorders>
            <w:vAlign w:val="center"/>
          </w:tcPr>
          <w:p w14:paraId="1BE35A30" w14:textId="77777777" w:rsidR="00984BA9" w:rsidRPr="00812EFF" w:rsidRDefault="00984BA9" w:rsidP="00046103">
            <w:pPr>
              <w:ind w:firstLine="0"/>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Plans and Action Plans</w:t>
            </w:r>
          </w:p>
        </w:tc>
        <w:tc>
          <w:tcPr>
            <w:tcW w:w="905" w:type="dxa"/>
            <w:tcBorders>
              <w:top w:val="single" w:sz="4" w:space="0" w:color="auto"/>
              <w:bottom w:val="single" w:sz="4" w:space="0" w:color="auto"/>
            </w:tcBorders>
            <w:vAlign w:val="center"/>
          </w:tcPr>
          <w:p w14:paraId="7C07AFA3"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4DE9F600"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5" w:type="dxa"/>
            <w:tcBorders>
              <w:top w:val="single" w:sz="4" w:space="0" w:color="auto"/>
              <w:bottom w:val="single" w:sz="4" w:space="0" w:color="auto"/>
            </w:tcBorders>
            <w:vAlign w:val="center"/>
          </w:tcPr>
          <w:p w14:paraId="238F4C8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906" w:type="dxa"/>
            <w:tcBorders>
              <w:top w:val="single" w:sz="4" w:space="0" w:color="auto"/>
              <w:bottom w:val="single" w:sz="4" w:space="0" w:color="auto"/>
            </w:tcBorders>
            <w:vAlign w:val="center"/>
          </w:tcPr>
          <w:p w14:paraId="4B776115"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c>
          <w:tcPr>
            <w:tcW w:w="2551" w:type="dxa"/>
            <w:tcBorders>
              <w:top w:val="single" w:sz="4" w:space="0" w:color="auto"/>
              <w:bottom w:val="single" w:sz="4" w:space="0" w:color="auto"/>
            </w:tcBorders>
            <w:vAlign w:val="center"/>
          </w:tcPr>
          <w:p w14:paraId="3DD44982" w14:textId="77777777" w:rsidR="00984BA9" w:rsidRPr="00812EFF" w:rsidRDefault="00984BA9" w:rsidP="00046103">
            <w:pPr>
              <w:jc w:val="center"/>
              <w:cnfStyle w:val="000000000000" w:firstRow="0" w:lastRow="0" w:firstColumn="0" w:lastColumn="0" w:oddVBand="0" w:evenVBand="0" w:oddHBand="0" w:evenHBand="0" w:firstRowFirstColumn="0" w:firstRowLastColumn="0" w:lastRowFirstColumn="0" w:lastRowLastColumn="0"/>
              <w:rPr>
                <w:rFonts w:eastAsia="Aptos"/>
                <w:b/>
                <w:bCs/>
                <w:sz w:val="14"/>
                <w:szCs w:val="14"/>
                <w:lang w:val="en-ID" w:eastAsia="en-PH"/>
              </w:rPr>
            </w:pPr>
          </w:p>
        </w:tc>
      </w:tr>
      <w:tr w:rsidR="00984BA9" w14:paraId="7E009BCD" w14:textId="77777777" w:rsidTr="00F467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12" w:space="0" w:color="auto"/>
            </w:tcBorders>
          </w:tcPr>
          <w:p w14:paraId="7B809811" w14:textId="77777777" w:rsidR="00984BA9" w:rsidRPr="00812EFF" w:rsidRDefault="00984BA9" w:rsidP="00812EFF">
            <w:pPr>
              <w:jc w:val="center"/>
              <w:rPr>
                <w:rFonts w:eastAsia="Aptos"/>
                <w:b w:val="0"/>
                <w:bCs w:val="0"/>
                <w:sz w:val="14"/>
                <w:szCs w:val="14"/>
                <w:lang w:val="en-ID" w:eastAsia="en-PH"/>
              </w:rPr>
            </w:pPr>
          </w:p>
        </w:tc>
        <w:tc>
          <w:tcPr>
            <w:tcW w:w="1984" w:type="dxa"/>
            <w:tcBorders>
              <w:top w:val="single" w:sz="4" w:space="0" w:color="auto"/>
              <w:bottom w:val="single" w:sz="12" w:space="0" w:color="auto"/>
            </w:tcBorders>
            <w:vAlign w:val="center"/>
          </w:tcPr>
          <w:p w14:paraId="0F56AD3B" w14:textId="77777777" w:rsidR="00984BA9" w:rsidRPr="00812EFF" w:rsidRDefault="00984BA9" w:rsidP="00046103">
            <w:pPr>
              <w:ind w:firstLine="0"/>
              <w:jc w:val="left"/>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PBSAP</w:t>
            </w:r>
          </w:p>
        </w:tc>
        <w:tc>
          <w:tcPr>
            <w:tcW w:w="905" w:type="dxa"/>
            <w:tcBorders>
              <w:top w:val="single" w:sz="4" w:space="0" w:color="auto"/>
              <w:bottom w:val="single" w:sz="12" w:space="0" w:color="auto"/>
            </w:tcBorders>
            <w:vAlign w:val="center"/>
          </w:tcPr>
          <w:p w14:paraId="0B405706"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12" w:space="0" w:color="auto"/>
            </w:tcBorders>
            <w:vAlign w:val="center"/>
          </w:tcPr>
          <w:p w14:paraId="3E574990"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905" w:type="dxa"/>
            <w:tcBorders>
              <w:top w:val="single" w:sz="4" w:space="0" w:color="auto"/>
              <w:bottom w:val="single" w:sz="12" w:space="0" w:color="auto"/>
            </w:tcBorders>
            <w:vAlign w:val="center"/>
          </w:tcPr>
          <w:p w14:paraId="35ADDE9F" w14:textId="052A0444" w:rsidR="00984BA9" w:rsidRPr="00812EFF" w:rsidRDefault="00812EFF"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Pr>
                <w:rFonts w:eastAsia="Aptos"/>
                <w:b/>
                <w:bCs/>
                <w:sz w:val="14"/>
                <w:szCs w:val="14"/>
                <w:lang w:val="en-ID" w:eastAsia="en-PH"/>
              </w:rPr>
              <w:t>x</w:t>
            </w:r>
          </w:p>
        </w:tc>
        <w:tc>
          <w:tcPr>
            <w:tcW w:w="906" w:type="dxa"/>
            <w:tcBorders>
              <w:top w:val="single" w:sz="4" w:space="0" w:color="auto"/>
              <w:bottom w:val="single" w:sz="12" w:space="0" w:color="auto"/>
            </w:tcBorders>
            <w:vAlign w:val="center"/>
          </w:tcPr>
          <w:p w14:paraId="6A425446"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b/>
                <w:bCs/>
                <w:sz w:val="14"/>
                <w:szCs w:val="14"/>
                <w:lang w:val="en-ID" w:eastAsia="en-PH"/>
              </w:rPr>
            </w:pPr>
            <w:r w:rsidRPr="00812EFF">
              <w:rPr>
                <w:rFonts w:eastAsia="Aptos"/>
                <w:b/>
                <w:bCs/>
                <w:sz w:val="14"/>
                <w:szCs w:val="14"/>
                <w:lang w:val="en-ID" w:eastAsia="en-PH"/>
              </w:rPr>
              <w:t>x</w:t>
            </w:r>
          </w:p>
        </w:tc>
        <w:tc>
          <w:tcPr>
            <w:tcW w:w="2551" w:type="dxa"/>
            <w:tcBorders>
              <w:top w:val="single" w:sz="4" w:space="0" w:color="auto"/>
              <w:bottom w:val="single" w:sz="12" w:space="0" w:color="auto"/>
            </w:tcBorders>
            <w:vAlign w:val="center"/>
          </w:tcPr>
          <w:p w14:paraId="0DA7EB75" w14:textId="77777777" w:rsidR="00984BA9" w:rsidRPr="00812EFF" w:rsidRDefault="00984BA9" w:rsidP="00046103">
            <w:pPr>
              <w:ind w:firstLine="0"/>
              <w:jc w:val="center"/>
              <w:cnfStyle w:val="000000100000" w:firstRow="0" w:lastRow="0" w:firstColumn="0" w:lastColumn="0" w:oddVBand="0" w:evenVBand="0" w:oddHBand="1" w:evenHBand="0" w:firstRowFirstColumn="0" w:firstRowLastColumn="0" w:lastRowFirstColumn="0" w:lastRowLastColumn="0"/>
              <w:rPr>
                <w:rFonts w:eastAsia="Aptos"/>
                <w:sz w:val="14"/>
                <w:szCs w:val="14"/>
                <w:lang w:val="en-ID" w:eastAsia="en-PH"/>
              </w:rPr>
            </w:pPr>
            <w:r w:rsidRPr="00812EFF">
              <w:rPr>
                <w:rFonts w:eastAsia="Aptos"/>
                <w:sz w:val="14"/>
                <w:szCs w:val="14"/>
                <w:lang w:val="en-ID" w:eastAsia="en-PH"/>
              </w:rPr>
              <w:t>The targets of KMGBF addresses all these concerns</w:t>
            </w:r>
          </w:p>
        </w:tc>
      </w:tr>
    </w:tbl>
    <w:p w14:paraId="1844AD80" w14:textId="1DC0C492" w:rsidR="00984BA9" w:rsidRDefault="000D52D7" w:rsidP="00984BA9">
      <w:pPr>
        <w:ind w:firstLine="0"/>
      </w:pPr>
      <w:r>
        <w:br w:type="page"/>
      </w:r>
    </w:p>
    <w:p w14:paraId="06D3C72A" w14:textId="7DF41642" w:rsidR="00310D4D" w:rsidRDefault="00F467CC" w:rsidP="00F467CC">
      <w:pPr>
        <w:pStyle w:val="Heading2"/>
        <w:jc w:val="center"/>
      </w:pPr>
      <w:bookmarkStart w:id="23" w:name="_Toc215447072"/>
      <w:r>
        <w:lastRenderedPageBreak/>
        <w:t>Annex 6.F. Coastal and Marine Management Budgetary Allocations</w:t>
      </w:r>
      <w:bookmarkEnd w:id="23"/>
    </w:p>
    <w:p w14:paraId="1AE05573" w14:textId="7CE8CBE6" w:rsidR="00F467CC" w:rsidRPr="00F467CC" w:rsidRDefault="00F467CC" w:rsidP="00F467CC">
      <w:pPr>
        <w:ind w:firstLine="0"/>
        <w:rPr>
          <w:sz w:val="18"/>
          <w:szCs w:val="18"/>
        </w:rPr>
      </w:pPr>
      <w:r w:rsidRPr="00F467CC">
        <w:rPr>
          <w:b/>
          <w:bCs/>
          <w:sz w:val="18"/>
          <w:szCs w:val="18"/>
        </w:rPr>
        <w:t>Table 6.F.1</w:t>
      </w:r>
      <w:r>
        <w:rPr>
          <w:b/>
          <w:bCs/>
          <w:sz w:val="18"/>
          <w:szCs w:val="18"/>
        </w:rPr>
        <w:t>.</w:t>
      </w:r>
      <w:r w:rsidRPr="00F467CC">
        <w:rPr>
          <w:sz w:val="18"/>
          <w:szCs w:val="18"/>
        </w:rPr>
        <w:t xml:space="preserve"> Coastal and Marine Budgetary Allocations for BFAR and DENR (GAA, 2016-2025)</w:t>
      </w:r>
    </w:p>
    <w:tbl>
      <w:tblPr>
        <w:tblStyle w:val="PlainTable2"/>
        <w:tblW w:w="0" w:type="auto"/>
        <w:tblLayout w:type="fixed"/>
        <w:tblLook w:val="04A0" w:firstRow="1" w:lastRow="0" w:firstColumn="1" w:lastColumn="0" w:noHBand="0" w:noVBand="1"/>
      </w:tblPr>
      <w:tblGrid>
        <w:gridCol w:w="963"/>
        <w:gridCol w:w="839"/>
        <w:gridCol w:w="840"/>
        <w:gridCol w:w="840"/>
        <w:gridCol w:w="839"/>
        <w:gridCol w:w="840"/>
        <w:gridCol w:w="840"/>
        <w:gridCol w:w="839"/>
        <w:gridCol w:w="840"/>
        <w:gridCol w:w="840"/>
        <w:gridCol w:w="840"/>
      </w:tblGrid>
      <w:tr w:rsidR="00F467CC" w:rsidRPr="00F467CC" w14:paraId="2F6A3530" w14:textId="77777777" w:rsidTr="001502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 w:type="dxa"/>
            <w:tcBorders>
              <w:top w:val="single" w:sz="12" w:space="0" w:color="auto"/>
              <w:bottom w:val="single" w:sz="12" w:space="0" w:color="auto"/>
            </w:tcBorders>
          </w:tcPr>
          <w:p w14:paraId="4C271C17" w14:textId="77777777" w:rsidR="00F467CC" w:rsidRPr="00F467CC" w:rsidRDefault="00F467CC" w:rsidP="00F467CC">
            <w:pPr>
              <w:spacing w:line="276" w:lineRule="auto"/>
              <w:ind w:firstLine="0"/>
              <w:jc w:val="center"/>
              <w:rPr>
                <w:rFonts w:eastAsia="Aptos"/>
                <w:iCs/>
                <w:color w:val="000000"/>
                <w:sz w:val="14"/>
                <w:szCs w:val="14"/>
                <w:lang w:val="en-ID" w:eastAsia="en-PH"/>
              </w:rPr>
            </w:pPr>
          </w:p>
        </w:tc>
        <w:tc>
          <w:tcPr>
            <w:tcW w:w="839" w:type="dxa"/>
            <w:tcBorders>
              <w:top w:val="single" w:sz="12" w:space="0" w:color="auto"/>
              <w:bottom w:val="single" w:sz="12" w:space="0" w:color="auto"/>
            </w:tcBorders>
            <w:vAlign w:val="center"/>
          </w:tcPr>
          <w:p w14:paraId="136D72E1"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2016</w:t>
            </w:r>
          </w:p>
        </w:tc>
        <w:tc>
          <w:tcPr>
            <w:tcW w:w="840" w:type="dxa"/>
            <w:tcBorders>
              <w:top w:val="single" w:sz="12" w:space="0" w:color="auto"/>
              <w:bottom w:val="single" w:sz="12" w:space="0" w:color="auto"/>
            </w:tcBorders>
            <w:vAlign w:val="center"/>
          </w:tcPr>
          <w:p w14:paraId="68DCD104"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2017</w:t>
            </w:r>
          </w:p>
        </w:tc>
        <w:tc>
          <w:tcPr>
            <w:tcW w:w="840" w:type="dxa"/>
            <w:tcBorders>
              <w:top w:val="single" w:sz="12" w:space="0" w:color="auto"/>
              <w:bottom w:val="single" w:sz="12" w:space="0" w:color="auto"/>
            </w:tcBorders>
            <w:vAlign w:val="center"/>
          </w:tcPr>
          <w:p w14:paraId="7A4B77E4"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2018</w:t>
            </w:r>
          </w:p>
        </w:tc>
        <w:tc>
          <w:tcPr>
            <w:tcW w:w="839" w:type="dxa"/>
            <w:tcBorders>
              <w:top w:val="single" w:sz="12" w:space="0" w:color="auto"/>
              <w:bottom w:val="single" w:sz="12" w:space="0" w:color="auto"/>
            </w:tcBorders>
            <w:vAlign w:val="center"/>
          </w:tcPr>
          <w:p w14:paraId="3C43662E"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2019</w:t>
            </w:r>
          </w:p>
        </w:tc>
        <w:tc>
          <w:tcPr>
            <w:tcW w:w="840" w:type="dxa"/>
            <w:tcBorders>
              <w:top w:val="single" w:sz="12" w:space="0" w:color="auto"/>
              <w:bottom w:val="single" w:sz="12" w:space="0" w:color="auto"/>
            </w:tcBorders>
            <w:vAlign w:val="center"/>
          </w:tcPr>
          <w:p w14:paraId="00B3D266"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2020</w:t>
            </w:r>
          </w:p>
        </w:tc>
        <w:tc>
          <w:tcPr>
            <w:tcW w:w="840" w:type="dxa"/>
            <w:tcBorders>
              <w:top w:val="single" w:sz="12" w:space="0" w:color="auto"/>
              <w:bottom w:val="single" w:sz="12" w:space="0" w:color="auto"/>
            </w:tcBorders>
            <w:vAlign w:val="center"/>
          </w:tcPr>
          <w:p w14:paraId="0D9B44CF"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2021</w:t>
            </w:r>
          </w:p>
        </w:tc>
        <w:tc>
          <w:tcPr>
            <w:tcW w:w="839" w:type="dxa"/>
            <w:tcBorders>
              <w:top w:val="single" w:sz="12" w:space="0" w:color="auto"/>
              <w:bottom w:val="single" w:sz="12" w:space="0" w:color="auto"/>
            </w:tcBorders>
            <w:vAlign w:val="center"/>
          </w:tcPr>
          <w:p w14:paraId="18AB840E"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2022</w:t>
            </w:r>
          </w:p>
        </w:tc>
        <w:tc>
          <w:tcPr>
            <w:tcW w:w="840" w:type="dxa"/>
            <w:tcBorders>
              <w:top w:val="single" w:sz="12" w:space="0" w:color="auto"/>
              <w:bottom w:val="single" w:sz="12" w:space="0" w:color="auto"/>
            </w:tcBorders>
            <w:vAlign w:val="center"/>
          </w:tcPr>
          <w:p w14:paraId="06F5DDAD"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2023</w:t>
            </w:r>
          </w:p>
        </w:tc>
        <w:tc>
          <w:tcPr>
            <w:tcW w:w="840" w:type="dxa"/>
            <w:tcBorders>
              <w:top w:val="single" w:sz="12" w:space="0" w:color="auto"/>
              <w:bottom w:val="single" w:sz="12" w:space="0" w:color="auto"/>
            </w:tcBorders>
            <w:vAlign w:val="center"/>
          </w:tcPr>
          <w:p w14:paraId="2145E3BE"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2024</w:t>
            </w:r>
          </w:p>
        </w:tc>
        <w:tc>
          <w:tcPr>
            <w:tcW w:w="840" w:type="dxa"/>
            <w:tcBorders>
              <w:top w:val="single" w:sz="12" w:space="0" w:color="auto"/>
              <w:bottom w:val="single" w:sz="12" w:space="0" w:color="auto"/>
            </w:tcBorders>
            <w:vAlign w:val="center"/>
          </w:tcPr>
          <w:p w14:paraId="113EC076" w14:textId="77777777" w:rsidR="00F467CC" w:rsidRPr="00F467CC" w:rsidRDefault="00F467CC" w:rsidP="00F467C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2025</w:t>
            </w:r>
          </w:p>
        </w:tc>
      </w:tr>
      <w:tr w:rsidR="00F467CC" w:rsidRPr="00F467CC" w14:paraId="5DF7D97C"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 w:type="dxa"/>
            <w:tcBorders>
              <w:top w:val="single" w:sz="12" w:space="0" w:color="auto"/>
            </w:tcBorders>
          </w:tcPr>
          <w:p w14:paraId="18874B1E" w14:textId="77777777" w:rsidR="00F467CC" w:rsidRPr="00F467CC" w:rsidRDefault="00F467CC" w:rsidP="00F467CC">
            <w:pPr>
              <w:spacing w:line="276" w:lineRule="auto"/>
              <w:ind w:firstLine="0"/>
              <w:jc w:val="center"/>
              <w:rPr>
                <w:rFonts w:eastAsia="Aptos"/>
                <w:iCs/>
                <w:color w:val="000000"/>
                <w:sz w:val="14"/>
                <w:szCs w:val="14"/>
                <w:lang w:val="en-ID" w:eastAsia="en-PH"/>
              </w:rPr>
            </w:pPr>
            <w:r w:rsidRPr="00F467CC">
              <w:rPr>
                <w:rFonts w:eastAsia="Aptos"/>
                <w:iCs/>
                <w:color w:val="000000"/>
                <w:sz w:val="14"/>
                <w:szCs w:val="14"/>
                <w:lang w:val="en-ID" w:eastAsia="en-PH"/>
              </w:rPr>
              <w:t>BFAR</w:t>
            </w:r>
          </w:p>
        </w:tc>
        <w:tc>
          <w:tcPr>
            <w:tcW w:w="839" w:type="dxa"/>
            <w:tcBorders>
              <w:top w:val="single" w:sz="12" w:space="0" w:color="auto"/>
            </w:tcBorders>
            <w:vAlign w:val="center"/>
          </w:tcPr>
          <w:p w14:paraId="19598379"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1A157251"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43CF55D8"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39" w:type="dxa"/>
            <w:tcBorders>
              <w:top w:val="single" w:sz="12" w:space="0" w:color="auto"/>
            </w:tcBorders>
            <w:vAlign w:val="center"/>
          </w:tcPr>
          <w:p w14:paraId="041D1B72"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6BB2A9A5"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402318DA"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39" w:type="dxa"/>
            <w:tcBorders>
              <w:top w:val="single" w:sz="12" w:space="0" w:color="auto"/>
            </w:tcBorders>
            <w:vAlign w:val="center"/>
          </w:tcPr>
          <w:p w14:paraId="1D7D2B0E"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65E972FA"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47ECD82E"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tcBorders>
              <w:top w:val="single" w:sz="12" w:space="0" w:color="auto"/>
            </w:tcBorders>
            <w:vAlign w:val="center"/>
          </w:tcPr>
          <w:p w14:paraId="642E441C"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r>
      <w:tr w:rsidR="00F467CC" w:rsidRPr="00F467CC" w14:paraId="71A385AA" w14:textId="77777777" w:rsidTr="001502EA">
        <w:tc>
          <w:tcPr>
            <w:cnfStyle w:val="001000000000" w:firstRow="0" w:lastRow="0" w:firstColumn="1" w:lastColumn="0" w:oddVBand="0" w:evenVBand="0" w:oddHBand="0" w:evenHBand="0" w:firstRowFirstColumn="0" w:firstRowLastColumn="0" w:lastRowFirstColumn="0" w:lastRowLastColumn="0"/>
            <w:tcW w:w="963" w:type="dxa"/>
          </w:tcPr>
          <w:p w14:paraId="085F58CB" w14:textId="2283C488" w:rsidR="00F467CC" w:rsidRPr="00F467CC" w:rsidRDefault="00F467CC" w:rsidP="00F467CC">
            <w:pPr>
              <w:spacing w:line="276" w:lineRule="auto"/>
              <w:ind w:firstLine="0"/>
              <w:jc w:val="left"/>
              <w:rPr>
                <w:rFonts w:eastAsia="Aptos"/>
                <w:b w:val="0"/>
                <w:bCs w:val="0"/>
                <w:iCs/>
                <w:color w:val="000000"/>
                <w:sz w:val="14"/>
                <w:szCs w:val="14"/>
                <w:lang w:val="en-ID" w:eastAsia="en-PH"/>
              </w:rPr>
            </w:pPr>
            <w:r w:rsidRPr="00F467CC">
              <w:rPr>
                <w:rFonts w:eastAsia="Aptos"/>
                <w:b w:val="0"/>
                <w:bCs w:val="0"/>
                <w:iCs/>
                <w:color w:val="000000"/>
                <w:sz w:val="14"/>
                <w:szCs w:val="14"/>
                <w:lang w:val="en-ID" w:eastAsia="en-PH"/>
              </w:rPr>
              <w:t>Coastal and inland fisheries resource management plans</w:t>
            </w:r>
          </w:p>
        </w:tc>
        <w:tc>
          <w:tcPr>
            <w:tcW w:w="839" w:type="dxa"/>
            <w:vAlign w:val="center"/>
          </w:tcPr>
          <w:p w14:paraId="4CDE290E" w14:textId="69688995"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290.1 M</w:t>
            </w:r>
          </w:p>
        </w:tc>
        <w:tc>
          <w:tcPr>
            <w:tcW w:w="840" w:type="dxa"/>
            <w:vAlign w:val="center"/>
          </w:tcPr>
          <w:p w14:paraId="1D574F9C" w14:textId="1E02F653"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151.05 M</w:t>
            </w:r>
          </w:p>
        </w:tc>
        <w:tc>
          <w:tcPr>
            <w:tcW w:w="840" w:type="dxa"/>
            <w:vAlign w:val="center"/>
          </w:tcPr>
          <w:p w14:paraId="4225840F" w14:textId="46391C1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534.5 M</w:t>
            </w:r>
          </w:p>
        </w:tc>
        <w:tc>
          <w:tcPr>
            <w:tcW w:w="839" w:type="dxa"/>
            <w:vAlign w:val="center"/>
          </w:tcPr>
          <w:p w14:paraId="48BA3E02" w14:textId="4320B63F"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453.2 M</w:t>
            </w:r>
          </w:p>
        </w:tc>
        <w:tc>
          <w:tcPr>
            <w:tcW w:w="840" w:type="dxa"/>
            <w:vAlign w:val="center"/>
          </w:tcPr>
          <w:p w14:paraId="3C606170" w14:textId="58FC5F95"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680.7 M</w:t>
            </w:r>
          </w:p>
        </w:tc>
        <w:tc>
          <w:tcPr>
            <w:tcW w:w="840" w:type="dxa"/>
            <w:vAlign w:val="center"/>
          </w:tcPr>
          <w:p w14:paraId="483D1B18" w14:textId="0784AB23"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483.8 M</w:t>
            </w:r>
          </w:p>
        </w:tc>
        <w:tc>
          <w:tcPr>
            <w:tcW w:w="839" w:type="dxa"/>
            <w:vAlign w:val="center"/>
          </w:tcPr>
          <w:p w14:paraId="5D7A7F64" w14:textId="3241178F"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487.1 M</w:t>
            </w:r>
          </w:p>
        </w:tc>
        <w:tc>
          <w:tcPr>
            <w:tcW w:w="840" w:type="dxa"/>
            <w:vAlign w:val="center"/>
          </w:tcPr>
          <w:p w14:paraId="2FFB0938" w14:textId="592361FC"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459.2 M</w:t>
            </w:r>
          </w:p>
        </w:tc>
        <w:tc>
          <w:tcPr>
            <w:tcW w:w="840" w:type="dxa"/>
            <w:vAlign w:val="center"/>
          </w:tcPr>
          <w:p w14:paraId="5117BB3F" w14:textId="3D72F882"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553.2M</w:t>
            </w:r>
          </w:p>
        </w:tc>
        <w:tc>
          <w:tcPr>
            <w:tcW w:w="840" w:type="dxa"/>
            <w:vAlign w:val="center"/>
          </w:tcPr>
          <w:p w14:paraId="783057C1" w14:textId="7EB465A5"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477.8 M</w:t>
            </w:r>
          </w:p>
        </w:tc>
      </w:tr>
      <w:tr w:rsidR="00F467CC" w:rsidRPr="00F467CC" w14:paraId="5AB59CC4"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 w:type="dxa"/>
          </w:tcPr>
          <w:p w14:paraId="294BC305" w14:textId="3B79E6BF" w:rsidR="00F467CC" w:rsidRPr="00F467CC" w:rsidRDefault="00F467CC" w:rsidP="00F467CC">
            <w:pPr>
              <w:spacing w:line="276" w:lineRule="auto"/>
              <w:ind w:firstLine="0"/>
              <w:jc w:val="left"/>
              <w:rPr>
                <w:rFonts w:eastAsia="Aptos"/>
                <w:b w:val="0"/>
                <w:bCs w:val="0"/>
                <w:iCs/>
                <w:color w:val="000000"/>
                <w:sz w:val="14"/>
                <w:szCs w:val="14"/>
                <w:lang w:val="en-ID" w:eastAsia="en-PH"/>
              </w:rPr>
            </w:pPr>
            <w:r w:rsidRPr="00F467CC">
              <w:rPr>
                <w:rFonts w:eastAsia="Aptos"/>
                <w:b w:val="0"/>
                <w:bCs w:val="0"/>
                <w:iCs/>
                <w:color w:val="000000"/>
                <w:sz w:val="14"/>
                <w:szCs w:val="14"/>
                <w:lang w:val="en-ID" w:eastAsia="en-PH"/>
              </w:rPr>
              <w:t>Coastal and inland fisheries resource rehabilitation and development</w:t>
            </w:r>
          </w:p>
        </w:tc>
        <w:tc>
          <w:tcPr>
            <w:tcW w:w="839" w:type="dxa"/>
            <w:vAlign w:val="center"/>
          </w:tcPr>
          <w:p w14:paraId="49938D7B" w14:textId="037FC12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112.7 M</w:t>
            </w:r>
          </w:p>
        </w:tc>
        <w:tc>
          <w:tcPr>
            <w:tcW w:w="840" w:type="dxa"/>
            <w:vAlign w:val="center"/>
          </w:tcPr>
          <w:p w14:paraId="3CA796CE" w14:textId="57B51CD3"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304.05M</w:t>
            </w:r>
          </w:p>
        </w:tc>
        <w:tc>
          <w:tcPr>
            <w:tcW w:w="840" w:type="dxa"/>
            <w:vAlign w:val="center"/>
          </w:tcPr>
          <w:p w14:paraId="3710A609" w14:textId="7E968ED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26 M (</w:t>
            </w:r>
            <w:proofErr w:type="spellStart"/>
            <w:r w:rsidRPr="00F467CC">
              <w:rPr>
                <w:rFonts w:eastAsia="Aptos"/>
                <w:iCs/>
                <w:color w:val="000000"/>
                <w:sz w:val="14"/>
                <w:szCs w:val="14"/>
                <w:lang w:val="en-ID" w:eastAsia="en-PH"/>
              </w:rPr>
              <w:t>Oplan</w:t>
            </w:r>
            <w:proofErr w:type="spellEnd"/>
            <w:r w:rsidRPr="00F467CC">
              <w:rPr>
                <w:rFonts w:eastAsia="Aptos"/>
                <w:iCs/>
                <w:color w:val="000000"/>
                <w:sz w:val="14"/>
                <w:szCs w:val="14"/>
                <w:lang w:val="en-ID" w:eastAsia="en-PH"/>
              </w:rPr>
              <w:t xml:space="preserve"> Sagip </w:t>
            </w:r>
            <w:proofErr w:type="spellStart"/>
            <w:r w:rsidRPr="00F467CC">
              <w:rPr>
                <w:rFonts w:eastAsia="Aptos"/>
                <w:iCs/>
                <w:color w:val="000000"/>
                <w:sz w:val="14"/>
                <w:szCs w:val="14"/>
                <w:lang w:val="en-ID" w:eastAsia="en-PH"/>
              </w:rPr>
              <w:t>Ludong</w:t>
            </w:r>
            <w:proofErr w:type="spellEnd"/>
            <w:r w:rsidRPr="00F467CC">
              <w:rPr>
                <w:rFonts w:eastAsia="Aptos"/>
                <w:iCs/>
                <w:color w:val="000000"/>
                <w:sz w:val="14"/>
                <w:szCs w:val="14"/>
                <w:lang w:val="en-ID" w:eastAsia="en-PH"/>
              </w:rPr>
              <w:t xml:space="preserve"> Project)</w:t>
            </w:r>
          </w:p>
        </w:tc>
        <w:tc>
          <w:tcPr>
            <w:tcW w:w="839" w:type="dxa"/>
            <w:vAlign w:val="center"/>
          </w:tcPr>
          <w:p w14:paraId="14BE6CCE"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vAlign w:val="center"/>
          </w:tcPr>
          <w:p w14:paraId="6860E3E4"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vAlign w:val="center"/>
          </w:tcPr>
          <w:p w14:paraId="68137F7D" w14:textId="07E64CF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30</w:t>
            </w:r>
            <w:r>
              <w:rPr>
                <w:rFonts w:eastAsia="Aptos"/>
                <w:iCs/>
                <w:color w:val="000000"/>
                <w:sz w:val="14"/>
                <w:szCs w:val="14"/>
                <w:lang w:val="en-ID" w:eastAsia="en-PH"/>
              </w:rPr>
              <w:t xml:space="preserve"> </w:t>
            </w:r>
            <w:r w:rsidRPr="00F467CC">
              <w:rPr>
                <w:rFonts w:eastAsia="Aptos"/>
                <w:iCs/>
                <w:color w:val="000000"/>
                <w:sz w:val="14"/>
                <w:szCs w:val="14"/>
                <w:lang w:val="en-ID" w:eastAsia="en-PH"/>
              </w:rPr>
              <w:t>M</w:t>
            </w:r>
            <w:r>
              <w:rPr>
                <w:rFonts w:eastAsia="Aptos"/>
                <w:iCs/>
                <w:color w:val="000000"/>
                <w:sz w:val="14"/>
                <w:szCs w:val="14"/>
                <w:lang w:val="en-ID" w:eastAsia="en-PH"/>
              </w:rPr>
              <w:t xml:space="preserve"> </w:t>
            </w:r>
            <w:r w:rsidRPr="00F467CC">
              <w:rPr>
                <w:rFonts w:eastAsia="Aptos"/>
                <w:iCs/>
                <w:color w:val="000000"/>
                <w:sz w:val="14"/>
                <w:szCs w:val="14"/>
                <w:lang w:val="en-ID" w:eastAsia="en-PH"/>
              </w:rPr>
              <w:t>(Operationalization of FMAs Program)</w:t>
            </w:r>
          </w:p>
        </w:tc>
        <w:tc>
          <w:tcPr>
            <w:tcW w:w="839" w:type="dxa"/>
            <w:vAlign w:val="center"/>
          </w:tcPr>
          <w:p w14:paraId="4F0EBA32" w14:textId="362B547E"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10M</w:t>
            </w:r>
          </w:p>
          <w:p w14:paraId="0309FD90"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(FMAs</w:t>
            </w:r>
          </w:p>
          <w:p w14:paraId="31513848"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val="en-ID" w:eastAsia="en-PH"/>
              </w:rPr>
              <w:t>Program)</w:t>
            </w:r>
          </w:p>
        </w:tc>
        <w:tc>
          <w:tcPr>
            <w:tcW w:w="840" w:type="dxa"/>
            <w:vAlign w:val="center"/>
          </w:tcPr>
          <w:p w14:paraId="6BD0718B" w14:textId="3755296F"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11.132M</w:t>
            </w:r>
          </w:p>
          <w:p w14:paraId="36A0CC1F"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2"/>
                <w:szCs w:val="12"/>
                <w:lang w:val="en-ID" w:eastAsia="en-PH"/>
              </w:rPr>
            </w:pPr>
            <w:r w:rsidRPr="00F467CC">
              <w:rPr>
                <w:rFonts w:eastAsia="Aptos"/>
                <w:iCs/>
                <w:color w:val="000000"/>
                <w:sz w:val="12"/>
                <w:szCs w:val="12"/>
                <w:lang w:val="en-ID" w:eastAsia="en-PH"/>
              </w:rPr>
              <w:t>(</w:t>
            </w:r>
            <w:proofErr w:type="spellStart"/>
            <w:r w:rsidRPr="00F467CC">
              <w:rPr>
                <w:rFonts w:eastAsia="Aptos"/>
                <w:iCs/>
                <w:color w:val="000000"/>
                <w:sz w:val="12"/>
                <w:szCs w:val="12"/>
                <w:lang w:val="en-ID" w:eastAsia="en-PH"/>
              </w:rPr>
              <w:t>FishCORE</w:t>
            </w:r>
            <w:proofErr w:type="spellEnd"/>
          </w:p>
          <w:p w14:paraId="51C38705"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2"/>
                <w:szCs w:val="12"/>
                <w:lang w:val="en-ID" w:eastAsia="en-PH"/>
              </w:rPr>
              <w:t>Project)</w:t>
            </w:r>
          </w:p>
        </w:tc>
        <w:tc>
          <w:tcPr>
            <w:tcW w:w="840" w:type="dxa"/>
            <w:vAlign w:val="center"/>
          </w:tcPr>
          <w:p w14:paraId="551FA8C7"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c>
          <w:tcPr>
            <w:tcW w:w="840" w:type="dxa"/>
            <w:vAlign w:val="center"/>
          </w:tcPr>
          <w:p w14:paraId="3A9AAB97" w14:textId="77777777"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p>
        </w:tc>
      </w:tr>
      <w:tr w:rsidR="00F467CC" w:rsidRPr="00F467CC" w14:paraId="0E6755B8" w14:textId="77777777" w:rsidTr="001502EA">
        <w:tc>
          <w:tcPr>
            <w:cnfStyle w:val="001000000000" w:firstRow="0" w:lastRow="0" w:firstColumn="1" w:lastColumn="0" w:oddVBand="0" w:evenVBand="0" w:oddHBand="0" w:evenHBand="0" w:firstRowFirstColumn="0" w:firstRowLastColumn="0" w:lastRowFirstColumn="0" w:lastRowLastColumn="0"/>
            <w:tcW w:w="963" w:type="dxa"/>
            <w:tcBorders>
              <w:bottom w:val="single" w:sz="4" w:space="0" w:color="7F7F7F" w:themeColor="text1" w:themeTint="80"/>
            </w:tcBorders>
          </w:tcPr>
          <w:p w14:paraId="044BEE0A" w14:textId="77777777" w:rsidR="00F467CC" w:rsidRPr="00F467CC" w:rsidRDefault="00F467CC" w:rsidP="00F467CC">
            <w:pPr>
              <w:spacing w:line="276" w:lineRule="auto"/>
              <w:ind w:firstLine="0"/>
              <w:jc w:val="center"/>
              <w:rPr>
                <w:rFonts w:eastAsia="Aptos"/>
                <w:iCs/>
                <w:color w:val="000000"/>
                <w:sz w:val="14"/>
                <w:szCs w:val="14"/>
                <w:lang w:val="en-ID" w:eastAsia="en-PH"/>
              </w:rPr>
            </w:pPr>
            <w:r w:rsidRPr="00F467CC">
              <w:rPr>
                <w:rFonts w:eastAsia="Aptos"/>
                <w:iCs/>
                <w:color w:val="000000"/>
                <w:sz w:val="14"/>
                <w:szCs w:val="14"/>
                <w:lang w:val="en-ID" w:eastAsia="en-PH"/>
              </w:rPr>
              <w:t>DENR</w:t>
            </w:r>
          </w:p>
        </w:tc>
        <w:tc>
          <w:tcPr>
            <w:tcW w:w="839" w:type="dxa"/>
            <w:tcBorders>
              <w:bottom w:val="single" w:sz="4" w:space="0" w:color="7F7F7F" w:themeColor="text1" w:themeTint="80"/>
            </w:tcBorders>
            <w:vAlign w:val="center"/>
          </w:tcPr>
          <w:p w14:paraId="6FF79925"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08BB2465"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0E6FE53A"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39" w:type="dxa"/>
            <w:tcBorders>
              <w:bottom w:val="single" w:sz="4" w:space="0" w:color="7F7F7F" w:themeColor="text1" w:themeTint="80"/>
            </w:tcBorders>
            <w:vAlign w:val="center"/>
          </w:tcPr>
          <w:p w14:paraId="75B98DD3"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6A82DAD9"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3912B922"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39" w:type="dxa"/>
            <w:tcBorders>
              <w:bottom w:val="single" w:sz="4" w:space="0" w:color="7F7F7F" w:themeColor="text1" w:themeTint="80"/>
            </w:tcBorders>
            <w:vAlign w:val="center"/>
          </w:tcPr>
          <w:p w14:paraId="1E552253"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43127CE1"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374D9C74"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c>
          <w:tcPr>
            <w:tcW w:w="840" w:type="dxa"/>
            <w:tcBorders>
              <w:bottom w:val="single" w:sz="4" w:space="0" w:color="7F7F7F" w:themeColor="text1" w:themeTint="80"/>
            </w:tcBorders>
            <w:vAlign w:val="center"/>
          </w:tcPr>
          <w:p w14:paraId="3777EA61" w14:textId="77777777" w:rsidR="00F467CC" w:rsidRPr="00F467CC" w:rsidRDefault="00F467CC" w:rsidP="00F467C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Aptos"/>
                <w:iCs/>
                <w:color w:val="000000"/>
                <w:sz w:val="14"/>
                <w:szCs w:val="14"/>
                <w:lang w:val="en-ID" w:eastAsia="en-PH"/>
              </w:rPr>
            </w:pPr>
          </w:p>
        </w:tc>
      </w:tr>
      <w:tr w:rsidR="00F467CC" w:rsidRPr="00F467CC" w14:paraId="27EC436D"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 w:type="dxa"/>
            <w:tcBorders>
              <w:bottom w:val="single" w:sz="12" w:space="0" w:color="auto"/>
            </w:tcBorders>
          </w:tcPr>
          <w:p w14:paraId="2D503C73" w14:textId="77777777" w:rsidR="00F467CC" w:rsidRPr="00F467CC" w:rsidRDefault="00F467CC" w:rsidP="00F467CC">
            <w:pPr>
              <w:spacing w:line="276" w:lineRule="auto"/>
              <w:ind w:firstLine="0"/>
              <w:jc w:val="left"/>
              <w:rPr>
                <w:rFonts w:eastAsia="Aptos"/>
                <w:b w:val="0"/>
                <w:bCs w:val="0"/>
                <w:iCs/>
                <w:color w:val="000000"/>
                <w:sz w:val="14"/>
                <w:szCs w:val="14"/>
                <w:lang w:val="en-ID" w:eastAsia="en-PH"/>
              </w:rPr>
            </w:pPr>
            <w:r w:rsidRPr="00F467CC">
              <w:rPr>
                <w:rFonts w:eastAsia="Aptos"/>
                <w:b w:val="0"/>
                <w:bCs w:val="0"/>
                <w:iCs/>
                <w:color w:val="000000"/>
                <w:sz w:val="14"/>
                <w:szCs w:val="14"/>
                <w:lang w:val="en-ID" w:eastAsia="en-PH"/>
              </w:rPr>
              <w:t>Coastal and marine resources management</w:t>
            </w:r>
          </w:p>
        </w:tc>
        <w:tc>
          <w:tcPr>
            <w:tcW w:w="839" w:type="dxa"/>
            <w:tcBorders>
              <w:bottom w:val="single" w:sz="12" w:space="0" w:color="auto"/>
            </w:tcBorders>
            <w:vAlign w:val="center"/>
          </w:tcPr>
          <w:p w14:paraId="7A2BE1FD" w14:textId="3B80D061"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1.521 B</w:t>
            </w:r>
          </w:p>
        </w:tc>
        <w:tc>
          <w:tcPr>
            <w:tcW w:w="840" w:type="dxa"/>
            <w:tcBorders>
              <w:bottom w:val="single" w:sz="12" w:space="0" w:color="auto"/>
            </w:tcBorders>
            <w:vAlign w:val="center"/>
          </w:tcPr>
          <w:p w14:paraId="3A1C6975" w14:textId="6B334D6A"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2.000B</w:t>
            </w:r>
          </w:p>
        </w:tc>
        <w:tc>
          <w:tcPr>
            <w:tcW w:w="840" w:type="dxa"/>
            <w:tcBorders>
              <w:bottom w:val="single" w:sz="12" w:space="0" w:color="auto"/>
            </w:tcBorders>
            <w:vAlign w:val="center"/>
          </w:tcPr>
          <w:p w14:paraId="6818BCE3" w14:textId="698D423F"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400.3 M</w:t>
            </w:r>
          </w:p>
        </w:tc>
        <w:tc>
          <w:tcPr>
            <w:tcW w:w="839" w:type="dxa"/>
            <w:tcBorders>
              <w:bottom w:val="single" w:sz="12" w:space="0" w:color="auto"/>
            </w:tcBorders>
            <w:vAlign w:val="center"/>
          </w:tcPr>
          <w:p w14:paraId="36A611D5" w14:textId="57C6FA7E"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 xml:space="preserve"> 388.5 M</w:t>
            </w:r>
          </w:p>
        </w:tc>
        <w:tc>
          <w:tcPr>
            <w:tcW w:w="840" w:type="dxa"/>
            <w:tcBorders>
              <w:bottom w:val="single" w:sz="12" w:space="0" w:color="auto"/>
            </w:tcBorders>
            <w:vAlign w:val="center"/>
          </w:tcPr>
          <w:p w14:paraId="4D8D8DCC" w14:textId="6C7DC20B"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243.8M</w:t>
            </w:r>
          </w:p>
        </w:tc>
        <w:tc>
          <w:tcPr>
            <w:tcW w:w="840" w:type="dxa"/>
            <w:tcBorders>
              <w:bottom w:val="single" w:sz="12" w:space="0" w:color="auto"/>
            </w:tcBorders>
            <w:vAlign w:val="center"/>
          </w:tcPr>
          <w:p w14:paraId="042CCEEB" w14:textId="6A4ECF9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248.3 M</w:t>
            </w:r>
          </w:p>
        </w:tc>
        <w:tc>
          <w:tcPr>
            <w:tcW w:w="839" w:type="dxa"/>
            <w:tcBorders>
              <w:bottom w:val="single" w:sz="12" w:space="0" w:color="auto"/>
            </w:tcBorders>
            <w:vAlign w:val="center"/>
          </w:tcPr>
          <w:p w14:paraId="2652CDF8" w14:textId="5457498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271.8 M</w:t>
            </w:r>
          </w:p>
        </w:tc>
        <w:tc>
          <w:tcPr>
            <w:tcW w:w="840" w:type="dxa"/>
            <w:tcBorders>
              <w:bottom w:val="single" w:sz="12" w:space="0" w:color="auto"/>
            </w:tcBorders>
            <w:vAlign w:val="center"/>
          </w:tcPr>
          <w:p w14:paraId="13943539" w14:textId="36577604"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246.1 M</w:t>
            </w:r>
          </w:p>
        </w:tc>
        <w:tc>
          <w:tcPr>
            <w:tcW w:w="840" w:type="dxa"/>
            <w:tcBorders>
              <w:bottom w:val="single" w:sz="12" w:space="0" w:color="auto"/>
            </w:tcBorders>
            <w:vAlign w:val="center"/>
          </w:tcPr>
          <w:p w14:paraId="71CB19B9" w14:textId="1577C920"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216.6</w:t>
            </w:r>
          </w:p>
        </w:tc>
        <w:tc>
          <w:tcPr>
            <w:tcW w:w="840" w:type="dxa"/>
            <w:tcBorders>
              <w:bottom w:val="single" w:sz="12" w:space="0" w:color="auto"/>
            </w:tcBorders>
            <w:vAlign w:val="center"/>
          </w:tcPr>
          <w:p w14:paraId="71DF8B34" w14:textId="69AC63A6" w:rsidR="00F467CC" w:rsidRPr="00F467CC" w:rsidRDefault="00F467CC" w:rsidP="00F467C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Aptos"/>
                <w:iCs/>
                <w:color w:val="000000"/>
                <w:sz w:val="14"/>
                <w:szCs w:val="14"/>
                <w:lang w:val="en-ID" w:eastAsia="en-PH"/>
              </w:rPr>
            </w:pPr>
            <w:r w:rsidRPr="00F467CC">
              <w:rPr>
                <w:rFonts w:eastAsia="Aptos"/>
                <w:iCs/>
                <w:color w:val="000000"/>
                <w:sz w:val="14"/>
                <w:szCs w:val="14"/>
                <w:lang w:eastAsia="en-PH"/>
              </w:rPr>
              <w:t>₱</w:t>
            </w:r>
            <w:r w:rsidRPr="00F467CC">
              <w:rPr>
                <w:rFonts w:eastAsia="Aptos"/>
                <w:iCs/>
                <w:color w:val="000000"/>
                <w:sz w:val="14"/>
                <w:szCs w:val="14"/>
                <w:lang w:val="en-ID" w:eastAsia="en-PH"/>
              </w:rPr>
              <w:t>292.5M</w:t>
            </w:r>
          </w:p>
        </w:tc>
      </w:tr>
    </w:tbl>
    <w:p w14:paraId="23B41ED7" w14:textId="500FF1F3" w:rsidR="0074667F" w:rsidRDefault="0074667F" w:rsidP="0074667F">
      <w:pPr>
        <w:spacing w:before="240" w:line="278" w:lineRule="auto"/>
        <w:ind w:firstLine="0"/>
        <w:rPr>
          <w:sz w:val="18"/>
          <w:szCs w:val="18"/>
        </w:rPr>
      </w:pPr>
      <w:r w:rsidRPr="0074667F">
        <w:rPr>
          <w:b/>
          <w:bCs/>
          <w:sz w:val="18"/>
          <w:szCs w:val="18"/>
        </w:rPr>
        <w:t>Table 6.F.2.</w:t>
      </w:r>
      <w:r w:rsidRPr="0074667F">
        <w:rPr>
          <w:sz w:val="18"/>
          <w:szCs w:val="18"/>
        </w:rPr>
        <w:t xml:space="preserve"> Good Governance Assessment</w:t>
      </w:r>
    </w:p>
    <w:tbl>
      <w:tblPr>
        <w:tblStyle w:val="PlainTable2"/>
        <w:tblW w:w="8788" w:type="dxa"/>
        <w:jc w:val="center"/>
        <w:tblLayout w:type="fixed"/>
        <w:tblLook w:val="0400" w:firstRow="0" w:lastRow="0" w:firstColumn="0" w:lastColumn="0" w:noHBand="0" w:noVBand="1"/>
      </w:tblPr>
      <w:tblGrid>
        <w:gridCol w:w="1417"/>
        <w:gridCol w:w="2410"/>
        <w:gridCol w:w="2126"/>
        <w:gridCol w:w="2835"/>
      </w:tblGrid>
      <w:tr w:rsidR="0074667F" w:rsidRPr="0074667F" w14:paraId="128BA2CE" w14:textId="77777777" w:rsidTr="000D52D7">
        <w:trPr>
          <w:cnfStyle w:val="000000100000" w:firstRow="0" w:lastRow="0" w:firstColumn="0" w:lastColumn="0" w:oddVBand="0" w:evenVBand="0" w:oddHBand="1" w:evenHBand="0" w:firstRowFirstColumn="0" w:firstRowLastColumn="0" w:lastRowFirstColumn="0" w:lastRowLastColumn="0"/>
          <w:jc w:val="center"/>
        </w:trPr>
        <w:tc>
          <w:tcPr>
            <w:tcW w:w="1417" w:type="dxa"/>
            <w:tcBorders>
              <w:top w:val="single" w:sz="12" w:space="0" w:color="auto"/>
              <w:bottom w:val="single" w:sz="12" w:space="0" w:color="auto"/>
            </w:tcBorders>
          </w:tcPr>
          <w:p w14:paraId="4841A59D" w14:textId="77777777" w:rsidR="0074667F" w:rsidRPr="0074667F" w:rsidRDefault="0074667F" w:rsidP="0074667F">
            <w:pPr>
              <w:spacing w:before="120" w:after="120"/>
              <w:ind w:firstLine="0"/>
              <w:jc w:val="center"/>
              <w:rPr>
                <w:rFonts w:eastAsia="Aptos"/>
                <w:b/>
                <w:color w:val="auto"/>
                <w:sz w:val="18"/>
                <w:szCs w:val="18"/>
                <w:lang w:val="en-ID" w:eastAsia="en-PH"/>
              </w:rPr>
            </w:pPr>
            <w:r w:rsidRPr="0074667F">
              <w:rPr>
                <w:rFonts w:eastAsia="Aptos"/>
                <w:b/>
                <w:color w:val="auto"/>
                <w:sz w:val="18"/>
                <w:szCs w:val="18"/>
                <w:lang w:val="en-ID" w:eastAsia="en-PH"/>
              </w:rPr>
              <w:t>Category</w:t>
            </w:r>
          </w:p>
        </w:tc>
        <w:tc>
          <w:tcPr>
            <w:tcW w:w="2410" w:type="dxa"/>
            <w:tcBorders>
              <w:top w:val="single" w:sz="12" w:space="0" w:color="auto"/>
              <w:bottom w:val="single" w:sz="12" w:space="0" w:color="auto"/>
            </w:tcBorders>
          </w:tcPr>
          <w:p w14:paraId="197B62D0" w14:textId="77777777" w:rsidR="0074667F" w:rsidRPr="0074667F" w:rsidRDefault="0074667F" w:rsidP="0074667F">
            <w:pPr>
              <w:spacing w:before="120" w:after="120"/>
              <w:ind w:firstLine="0"/>
              <w:jc w:val="center"/>
              <w:rPr>
                <w:rFonts w:eastAsia="Aptos"/>
                <w:b/>
                <w:color w:val="auto"/>
                <w:sz w:val="18"/>
                <w:szCs w:val="18"/>
                <w:lang w:val="en-ID" w:eastAsia="en-PH"/>
              </w:rPr>
            </w:pPr>
            <w:r w:rsidRPr="0074667F">
              <w:rPr>
                <w:rFonts w:eastAsia="Aptos"/>
                <w:b/>
                <w:color w:val="auto"/>
                <w:sz w:val="18"/>
                <w:szCs w:val="18"/>
                <w:lang w:val="en-ID" w:eastAsia="en-PH"/>
              </w:rPr>
              <w:t>Sub-category indicators</w:t>
            </w:r>
          </w:p>
        </w:tc>
        <w:tc>
          <w:tcPr>
            <w:tcW w:w="2126" w:type="dxa"/>
            <w:tcBorders>
              <w:top w:val="single" w:sz="12" w:space="0" w:color="auto"/>
              <w:bottom w:val="single" w:sz="12" w:space="0" w:color="auto"/>
            </w:tcBorders>
          </w:tcPr>
          <w:p w14:paraId="2D8A72D2" w14:textId="77777777" w:rsidR="0074667F" w:rsidRPr="0074667F" w:rsidRDefault="0074667F" w:rsidP="0074667F">
            <w:pPr>
              <w:spacing w:before="120" w:after="120"/>
              <w:ind w:firstLine="0"/>
              <w:jc w:val="center"/>
              <w:rPr>
                <w:rFonts w:eastAsia="Aptos"/>
                <w:b/>
                <w:color w:val="auto"/>
                <w:sz w:val="18"/>
                <w:szCs w:val="18"/>
                <w:lang w:val="en-ID" w:eastAsia="en-PH"/>
              </w:rPr>
            </w:pPr>
            <w:r w:rsidRPr="0074667F">
              <w:rPr>
                <w:rFonts w:eastAsia="Aptos"/>
                <w:b/>
                <w:color w:val="auto"/>
                <w:sz w:val="18"/>
                <w:szCs w:val="18"/>
                <w:lang w:val="en-ID" w:eastAsia="en-PH"/>
              </w:rPr>
              <w:t>Evidence</w:t>
            </w:r>
          </w:p>
        </w:tc>
        <w:tc>
          <w:tcPr>
            <w:tcW w:w="2835" w:type="dxa"/>
            <w:tcBorders>
              <w:top w:val="single" w:sz="12" w:space="0" w:color="auto"/>
              <w:bottom w:val="single" w:sz="12" w:space="0" w:color="auto"/>
            </w:tcBorders>
          </w:tcPr>
          <w:p w14:paraId="3363B10A" w14:textId="77777777" w:rsidR="0074667F" w:rsidRPr="0074667F" w:rsidRDefault="0074667F" w:rsidP="0074667F">
            <w:pPr>
              <w:spacing w:before="120" w:after="120"/>
              <w:ind w:firstLine="0"/>
              <w:jc w:val="center"/>
              <w:rPr>
                <w:rFonts w:eastAsia="Aptos"/>
                <w:b/>
                <w:color w:val="auto"/>
                <w:sz w:val="18"/>
                <w:szCs w:val="18"/>
                <w:lang w:val="en-ID" w:eastAsia="en-PH"/>
              </w:rPr>
            </w:pPr>
            <w:r w:rsidRPr="0074667F">
              <w:rPr>
                <w:rFonts w:eastAsia="Aptos"/>
                <w:b/>
                <w:color w:val="auto"/>
                <w:sz w:val="18"/>
                <w:szCs w:val="18"/>
                <w:lang w:val="en-ID" w:eastAsia="en-PH"/>
              </w:rPr>
              <w:t>Assessment</w:t>
            </w:r>
          </w:p>
        </w:tc>
      </w:tr>
      <w:tr w:rsidR="0074667F" w:rsidRPr="0074667F" w14:paraId="02359366" w14:textId="77777777" w:rsidTr="000D52D7">
        <w:trPr>
          <w:trHeight w:val="452"/>
          <w:jc w:val="center"/>
        </w:trPr>
        <w:tc>
          <w:tcPr>
            <w:tcW w:w="1417" w:type="dxa"/>
            <w:vMerge w:val="restart"/>
            <w:tcBorders>
              <w:top w:val="single" w:sz="12" w:space="0" w:color="auto"/>
              <w:bottom w:val="single" w:sz="12" w:space="0" w:color="auto"/>
            </w:tcBorders>
            <w:vAlign w:val="center"/>
          </w:tcPr>
          <w:p w14:paraId="70F5A564" w14:textId="77777777" w:rsidR="0074667F" w:rsidRDefault="0074667F" w:rsidP="001502EA">
            <w:pPr>
              <w:spacing w:before="120" w:after="120"/>
              <w:ind w:firstLine="0"/>
              <w:jc w:val="center"/>
              <w:rPr>
                <w:rFonts w:eastAsia="Aptos"/>
                <w:bCs/>
                <w:color w:val="auto"/>
                <w:sz w:val="18"/>
                <w:szCs w:val="18"/>
                <w:lang w:val="en-ID" w:eastAsia="en-PH"/>
              </w:rPr>
            </w:pPr>
            <w:r w:rsidRPr="0074667F">
              <w:rPr>
                <w:rFonts w:eastAsia="Aptos"/>
                <w:bCs/>
                <w:color w:val="auto"/>
                <w:sz w:val="18"/>
                <w:szCs w:val="18"/>
                <w:lang w:val="en-ID" w:eastAsia="en-PH"/>
              </w:rPr>
              <w:t>Governance Architecture</w:t>
            </w:r>
          </w:p>
          <w:p w14:paraId="430CE499" w14:textId="77777777" w:rsidR="001502EA" w:rsidRDefault="001502EA" w:rsidP="001502EA">
            <w:pPr>
              <w:rPr>
                <w:rFonts w:eastAsia="Aptos"/>
                <w:bCs/>
                <w:color w:val="auto"/>
                <w:sz w:val="18"/>
                <w:szCs w:val="18"/>
                <w:lang w:val="en-ID" w:eastAsia="en-PH"/>
              </w:rPr>
            </w:pPr>
          </w:p>
          <w:p w14:paraId="11F167F8" w14:textId="5820EE12" w:rsidR="001502EA" w:rsidRPr="0074667F" w:rsidRDefault="001502EA" w:rsidP="001502EA">
            <w:pPr>
              <w:rPr>
                <w:rFonts w:eastAsia="Aptos"/>
                <w:sz w:val="18"/>
                <w:szCs w:val="18"/>
                <w:lang w:val="en-ID" w:eastAsia="en-PH"/>
              </w:rPr>
            </w:pPr>
          </w:p>
        </w:tc>
        <w:tc>
          <w:tcPr>
            <w:tcW w:w="2410" w:type="dxa"/>
            <w:tcBorders>
              <w:top w:val="single" w:sz="12" w:space="0" w:color="auto"/>
              <w:bottom w:val="nil"/>
            </w:tcBorders>
          </w:tcPr>
          <w:p w14:paraId="1A94007B" w14:textId="62937497" w:rsidR="0074667F" w:rsidRPr="0074667F" w:rsidRDefault="0074667F" w:rsidP="0074667F">
            <w:pPr>
              <w:spacing w:before="120" w:after="120"/>
              <w:ind w:firstLine="0"/>
              <w:jc w:val="center"/>
              <w:rPr>
                <w:rFonts w:eastAsia="Aptos"/>
                <w:color w:val="auto"/>
                <w:sz w:val="18"/>
                <w:szCs w:val="18"/>
                <w:lang w:val="en-ID" w:eastAsia="en-PH"/>
              </w:rPr>
            </w:pPr>
            <w:r w:rsidRPr="0074667F">
              <w:rPr>
                <w:rFonts w:eastAsia="Aptos"/>
                <w:color w:val="auto"/>
                <w:sz w:val="18"/>
                <w:szCs w:val="18"/>
                <w:lang w:val="en-ID" w:eastAsia="en-PH"/>
              </w:rPr>
              <w:t>Existence and structure of institutions</w:t>
            </w:r>
          </w:p>
        </w:tc>
        <w:tc>
          <w:tcPr>
            <w:tcW w:w="2126" w:type="dxa"/>
            <w:vMerge w:val="restart"/>
            <w:tcBorders>
              <w:top w:val="single" w:sz="12" w:space="0" w:color="auto"/>
              <w:bottom w:val="nil"/>
            </w:tcBorders>
          </w:tcPr>
          <w:p w14:paraId="130A1D32" w14:textId="2768047E" w:rsidR="001502EA" w:rsidRPr="0074667F" w:rsidRDefault="0074667F" w:rsidP="001502EA">
            <w:pPr>
              <w:spacing w:before="120" w:after="120"/>
              <w:ind w:firstLine="0"/>
              <w:jc w:val="left"/>
              <w:rPr>
                <w:rFonts w:eastAsia="Aptos"/>
                <w:color w:val="auto"/>
                <w:sz w:val="18"/>
                <w:szCs w:val="18"/>
                <w:lang w:val="en-ID" w:eastAsia="en-PH"/>
              </w:rPr>
            </w:pPr>
            <w:r w:rsidRPr="0074667F">
              <w:rPr>
                <w:rFonts w:eastAsia="Aptos"/>
                <w:color w:val="auto"/>
                <w:sz w:val="18"/>
                <w:szCs w:val="18"/>
                <w:lang w:val="en-ID" w:eastAsia="en-PH"/>
              </w:rPr>
              <w:t>What institutional arrangements are in place for governance?</w:t>
            </w:r>
          </w:p>
        </w:tc>
        <w:tc>
          <w:tcPr>
            <w:tcW w:w="2835" w:type="dxa"/>
            <w:tcBorders>
              <w:top w:val="single" w:sz="12" w:space="0" w:color="auto"/>
              <w:bottom w:val="nil"/>
            </w:tcBorders>
          </w:tcPr>
          <w:p w14:paraId="12F5FE9D" w14:textId="4DECBDA4"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WQMA Governing Board for clean water</w:t>
            </w:r>
          </w:p>
        </w:tc>
      </w:tr>
      <w:tr w:rsidR="0074667F" w:rsidRPr="0074667F" w14:paraId="1CBF7CCC" w14:textId="77777777" w:rsidTr="000D52D7">
        <w:trPr>
          <w:cnfStyle w:val="000000100000" w:firstRow="0" w:lastRow="0" w:firstColumn="0" w:lastColumn="0" w:oddVBand="0" w:evenVBand="0" w:oddHBand="1" w:evenHBand="0" w:firstRowFirstColumn="0" w:firstRowLastColumn="0" w:lastRowFirstColumn="0" w:lastRowLastColumn="0"/>
          <w:trHeight w:val="664"/>
          <w:jc w:val="center"/>
        </w:trPr>
        <w:tc>
          <w:tcPr>
            <w:tcW w:w="1417" w:type="dxa"/>
            <w:vMerge/>
            <w:tcBorders>
              <w:top w:val="single" w:sz="12" w:space="0" w:color="auto"/>
              <w:bottom w:val="single" w:sz="12" w:space="0" w:color="auto"/>
            </w:tcBorders>
          </w:tcPr>
          <w:p w14:paraId="14A77319"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tcBorders>
              <w:top w:val="nil"/>
              <w:bottom w:val="nil"/>
            </w:tcBorders>
            <w:vAlign w:val="center"/>
          </w:tcPr>
          <w:p w14:paraId="76F754AE" w14:textId="1489E553" w:rsidR="0074667F" w:rsidRPr="0074667F" w:rsidRDefault="0074667F" w:rsidP="001502EA">
            <w:pPr>
              <w:spacing w:before="120" w:after="120"/>
              <w:ind w:firstLine="0"/>
              <w:jc w:val="center"/>
              <w:rPr>
                <w:rFonts w:eastAsia="Aptos"/>
                <w:color w:val="auto"/>
                <w:sz w:val="18"/>
                <w:szCs w:val="18"/>
                <w:lang w:val="en-ID" w:eastAsia="en-PH"/>
              </w:rPr>
            </w:pPr>
            <w:r w:rsidRPr="0074667F">
              <w:rPr>
                <w:rFonts w:eastAsia="Aptos"/>
                <w:color w:val="auto"/>
                <w:sz w:val="18"/>
                <w:szCs w:val="18"/>
                <w:lang w:val="en-ID" w:eastAsia="en-PH"/>
              </w:rPr>
              <w:t>Agreements concluded</w:t>
            </w:r>
          </w:p>
        </w:tc>
        <w:tc>
          <w:tcPr>
            <w:tcW w:w="2126" w:type="dxa"/>
            <w:vMerge/>
            <w:tcBorders>
              <w:top w:val="nil"/>
              <w:bottom w:val="nil"/>
            </w:tcBorders>
          </w:tcPr>
          <w:p w14:paraId="097885CF"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835" w:type="dxa"/>
            <w:tcBorders>
              <w:top w:val="nil"/>
              <w:bottom w:val="nil"/>
            </w:tcBorders>
          </w:tcPr>
          <w:p w14:paraId="6FB20D92" w14:textId="3DC16C12"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Airshed Governing Board for air pollution</w:t>
            </w:r>
          </w:p>
        </w:tc>
      </w:tr>
      <w:tr w:rsidR="0074667F" w:rsidRPr="0074667F" w14:paraId="08F914D8" w14:textId="77777777" w:rsidTr="000D52D7">
        <w:trPr>
          <w:trHeight w:val="396"/>
          <w:jc w:val="center"/>
        </w:trPr>
        <w:tc>
          <w:tcPr>
            <w:tcW w:w="1417" w:type="dxa"/>
            <w:vMerge/>
            <w:tcBorders>
              <w:top w:val="single" w:sz="12" w:space="0" w:color="auto"/>
              <w:bottom w:val="single" w:sz="12" w:space="0" w:color="auto"/>
            </w:tcBorders>
          </w:tcPr>
          <w:p w14:paraId="7923612B"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tcBorders>
              <w:top w:val="nil"/>
              <w:bottom w:val="nil"/>
            </w:tcBorders>
            <w:vAlign w:val="center"/>
          </w:tcPr>
          <w:p w14:paraId="5D539E43" w14:textId="2B24E222" w:rsidR="0074667F" w:rsidRPr="0074667F" w:rsidRDefault="0074667F" w:rsidP="001502EA">
            <w:pPr>
              <w:spacing w:before="120" w:after="120"/>
              <w:ind w:firstLine="0"/>
              <w:jc w:val="center"/>
              <w:rPr>
                <w:rFonts w:eastAsia="Aptos"/>
                <w:color w:val="auto"/>
                <w:sz w:val="18"/>
                <w:szCs w:val="18"/>
                <w:lang w:val="en-ID" w:eastAsia="en-PH"/>
              </w:rPr>
            </w:pPr>
            <w:r w:rsidRPr="0074667F">
              <w:rPr>
                <w:rFonts w:eastAsia="Aptos"/>
                <w:color w:val="auto"/>
                <w:sz w:val="18"/>
                <w:szCs w:val="18"/>
                <w:lang w:val="en-ID" w:eastAsia="en-PH"/>
              </w:rPr>
              <w:t>Mechanisms for linking stages of the policy cycle</w:t>
            </w:r>
          </w:p>
        </w:tc>
        <w:tc>
          <w:tcPr>
            <w:tcW w:w="2126" w:type="dxa"/>
            <w:vMerge w:val="restart"/>
            <w:tcBorders>
              <w:top w:val="nil"/>
              <w:bottom w:val="nil"/>
            </w:tcBorders>
          </w:tcPr>
          <w:p w14:paraId="22416EF1" w14:textId="1DAF210B" w:rsidR="0074667F" w:rsidRPr="0074667F" w:rsidRDefault="0074667F" w:rsidP="000D52D7">
            <w:pPr>
              <w:spacing w:before="120" w:after="120"/>
              <w:ind w:firstLine="0"/>
              <w:jc w:val="left"/>
              <w:rPr>
                <w:rFonts w:eastAsia="Aptos"/>
                <w:color w:val="auto"/>
                <w:sz w:val="18"/>
                <w:szCs w:val="18"/>
                <w:lang w:val="en-ID" w:eastAsia="en-PH"/>
              </w:rPr>
            </w:pPr>
            <w:r w:rsidRPr="0074667F">
              <w:rPr>
                <w:rFonts w:eastAsia="Aptos"/>
                <w:color w:val="auto"/>
                <w:sz w:val="18"/>
                <w:szCs w:val="18"/>
                <w:lang w:val="en-ID" w:eastAsia="en-PH"/>
              </w:rPr>
              <w:t>Are they formal or informal?</w:t>
            </w:r>
          </w:p>
          <w:p w14:paraId="6BEB630D" w14:textId="77777777" w:rsidR="0074667F" w:rsidRPr="0074667F" w:rsidRDefault="0074667F" w:rsidP="0074667F">
            <w:pPr>
              <w:spacing w:before="120" w:after="120"/>
              <w:ind w:firstLine="0"/>
              <w:jc w:val="left"/>
              <w:rPr>
                <w:rFonts w:eastAsia="Aptos"/>
                <w:color w:val="auto"/>
                <w:sz w:val="18"/>
                <w:szCs w:val="18"/>
                <w:lang w:val="en-ID" w:eastAsia="en-PH"/>
              </w:rPr>
            </w:pPr>
          </w:p>
        </w:tc>
        <w:tc>
          <w:tcPr>
            <w:tcW w:w="2835" w:type="dxa"/>
            <w:tcBorders>
              <w:top w:val="nil"/>
              <w:bottom w:val="nil"/>
            </w:tcBorders>
          </w:tcPr>
          <w:p w14:paraId="4043ED72" w14:textId="0A22D4C1"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Established by provisions of the law</w:t>
            </w:r>
          </w:p>
        </w:tc>
      </w:tr>
      <w:tr w:rsidR="0074667F" w:rsidRPr="0074667F" w14:paraId="2E423D77" w14:textId="77777777" w:rsidTr="000D52D7">
        <w:trPr>
          <w:cnfStyle w:val="000000100000" w:firstRow="0" w:lastRow="0" w:firstColumn="0" w:lastColumn="0" w:oddVBand="0" w:evenVBand="0" w:oddHBand="1" w:evenHBand="0" w:firstRowFirstColumn="0" w:firstRowLastColumn="0" w:lastRowFirstColumn="0" w:lastRowLastColumn="0"/>
          <w:trHeight w:val="703"/>
          <w:jc w:val="center"/>
        </w:trPr>
        <w:tc>
          <w:tcPr>
            <w:tcW w:w="1417" w:type="dxa"/>
            <w:vMerge/>
            <w:tcBorders>
              <w:top w:val="single" w:sz="12" w:space="0" w:color="auto"/>
              <w:bottom w:val="single" w:sz="12" w:space="0" w:color="auto"/>
            </w:tcBorders>
          </w:tcPr>
          <w:p w14:paraId="56A1618F"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tcBorders>
              <w:top w:val="nil"/>
              <w:bottom w:val="nil"/>
            </w:tcBorders>
            <w:vAlign w:val="center"/>
          </w:tcPr>
          <w:p w14:paraId="0828828B" w14:textId="486301D6" w:rsidR="0074667F" w:rsidRPr="0074667F" w:rsidRDefault="0074667F" w:rsidP="001502EA">
            <w:pPr>
              <w:spacing w:before="120" w:after="120"/>
              <w:ind w:firstLine="0"/>
              <w:jc w:val="center"/>
              <w:rPr>
                <w:rFonts w:eastAsia="Aptos"/>
                <w:color w:val="auto"/>
                <w:sz w:val="18"/>
                <w:szCs w:val="18"/>
                <w:lang w:val="en-ID" w:eastAsia="en-PH"/>
              </w:rPr>
            </w:pPr>
            <w:r w:rsidRPr="0074667F">
              <w:rPr>
                <w:rFonts w:eastAsia="Aptos"/>
                <w:color w:val="auto"/>
                <w:sz w:val="18"/>
                <w:szCs w:val="18"/>
                <w:lang w:val="en-ID" w:eastAsia="en-PH"/>
              </w:rPr>
              <w:t>Mechanisms for integration</w:t>
            </w:r>
          </w:p>
        </w:tc>
        <w:tc>
          <w:tcPr>
            <w:tcW w:w="2126" w:type="dxa"/>
            <w:vMerge/>
            <w:tcBorders>
              <w:top w:val="nil"/>
              <w:bottom w:val="nil"/>
            </w:tcBorders>
          </w:tcPr>
          <w:p w14:paraId="1524CEF0"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835" w:type="dxa"/>
            <w:tcBorders>
              <w:top w:val="nil"/>
              <w:bottom w:val="nil"/>
            </w:tcBorders>
          </w:tcPr>
          <w:p w14:paraId="4CA2D5AD" w14:textId="77777777" w:rsidR="0074667F" w:rsidRPr="0074667F" w:rsidRDefault="0074667F">
            <w:pPr>
              <w:pStyle w:val="ListParagraph"/>
              <w:numPr>
                <w:ilvl w:val="0"/>
                <w:numId w:val="74"/>
              </w:numPr>
              <w:spacing w:before="120" w:after="120"/>
              <w:jc w:val="left"/>
              <w:rPr>
                <w:rFonts w:eastAsia="Aptos"/>
                <w:color w:val="auto"/>
                <w:sz w:val="18"/>
                <w:szCs w:val="18"/>
                <w:lang w:val="en-ID" w:eastAsia="en-PH"/>
              </w:rPr>
            </w:pPr>
            <w:r w:rsidRPr="0074667F">
              <w:rPr>
                <w:rFonts w:eastAsia="Aptos"/>
                <w:color w:val="auto"/>
                <w:sz w:val="18"/>
                <w:szCs w:val="18"/>
                <w:lang w:val="en-ID" w:eastAsia="en-PH"/>
              </w:rPr>
              <w:t>Sec. 5 RA 9275 for WQMA Governing Board</w:t>
            </w:r>
          </w:p>
          <w:p w14:paraId="402388C1" w14:textId="77777777" w:rsidR="0074667F" w:rsidRPr="0074667F" w:rsidRDefault="0074667F" w:rsidP="0074667F">
            <w:pPr>
              <w:spacing w:before="120" w:after="120"/>
              <w:ind w:firstLine="0"/>
              <w:jc w:val="left"/>
              <w:rPr>
                <w:rFonts w:eastAsia="Aptos"/>
                <w:color w:val="auto"/>
                <w:sz w:val="18"/>
                <w:szCs w:val="18"/>
                <w:lang w:val="en-ID" w:eastAsia="en-PH"/>
              </w:rPr>
            </w:pPr>
          </w:p>
        </w:tc>
      </w:tr>
      <w:tr w:rsidR="0074667F" w:rsidRPr="0074667F" w14:paraId="04E7C9AF" w14:textId="77777777" w:rsidTr="000D52D7">
        <w:trPr>
          <w:trHeight w:val="674"/>
          <w:jc w:val="center"/>
        </w:trPr>
        <w:tc>
          <w:tcPr>
            <w:tcW w:w="1417" w:type="dxa"/>
            <w:vMerge/>
            <w:tcBorders>
              <w:top w:val="single" w:sz="12" w:space="0" w:color="auto"/>
              <w:bottom w:val="single" w:sz="12" w:space="0" w:color="auto"/>
            </w:tcBorders>
          </w:tcPr>
          <w:p w14:paraId="3E3CC08B"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vMerge w:val="restart"/>
            <w:tcBorders>
              <w:top w:val="nil"/>
              <w:bottom w:val="single" w:sz="12" w:space="0" w:color="auto"/>
            </w:tcBorders>
          </w:tcPr>
          <w:p w14:paraId="3BB364D2"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126" w:type="dxa"/>
            <w:vMerge/>
            <w:tcBorders>
              <w:top w:val="nil"/>
              <w:bottom w:val="nil"/>
            </w:tcBorders>
          </w:tcPr>
          <w:p w14:paraId="6C2F9B56"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835" w:type="dxa"/>
            <w:tcBorders>
              <w:top w:val="nil"/>
              <w:bottom w:val="nil"/>
            </w:tcBorders>
          </w:tcPr>
          <w:p w14:paraId="200B4E92" w14:textId="77777777" w:rsidR="0074667F" w:rsidRPr="0074667F" w:rsidRDefault="0074667F">
            <w:pPr>
              <w:pStyle w:val="ListParagraph"/>
              <w:numPr>
                <w:ilvl w:val="0"/>
                <w:numId w:val="74"/>
              </w:numPr>
              <w:spacing w:before="120" w:after="120"/>
              <w:rPr>
                <w:rFonts w:eastAsia="Aptos"/>
                <w:color w:val="auto"/>
                <w:sz w:val="18"/>
                <w:szCs w:val="18"/>
                <w:lang w:val="en-ID" w:eastAsia="en-PH"/>
              </w:rPr>
            </w:pPr>
            <w:r w:rsidRPr="0074667F">
              <w:rPr>
                <w:rFonts w:eastAsia="Aptos"/>
                <w:color w:val="auto"/>
                <w:sz w:val="18"/>
                <w:szCs w:val="18"/>
                <w:lang w:val="en-ID" w:eastAsia="en-PH"/>
              </w:rPr>
              <w:t>Sec. 9, RA 8749 for the Airshed Governing Board</w:t>
            </w:r>
          </w:p>
          <w:p w14:paraId="79672448" w14:textId="77777777" w:rsidR="0074667F" w:rsidRPr="0074667F" w:rsidRDefault="0074667F" w:rsidP="0074667F">
            <w:pPr>
              <w:spacing w:before="120" w:after="120"/>
              <w:ind w:firstLine="0"/>
              <w:jc w:val="center"/>
              <w:rPr>
                <w:rFonts w:eastAsia="Aptos"/>
                <w:color w:val="auto"/>
                <w:sz w:val="18"/>
                <w:szCs w:val="18"/>
                <w:lang w:val="en-ID" w:eastAsia="en-PH"/>
              </w:rPr>
            </w:pPr>
          </w:p>
        </w:tc>
      </w:tr>
      <w:tr w:rsidR="0074667F" w:rsidRPr="0074667F" w14:paraId="2639155F" w14:textId="77777777" w:rsidTr="000D52D7">
        <w:trPr>
          <w:cnfStyle w:val="000000100000" w:firstRow="0" w:lastRow="0" w:firstColumn="0" w:lastColumn="0" w:oddVBand="0" w:evenVBand="0" w:oddHBand="1" w:evenHBand="0" w:firstRowFirstColumn="0" w:firstRowLastColumn="0" w:lastRowFirstColumn="0" w:lastRowLastColumn="0"/>
          <w:trHeight w:val="1123"/>
          <w:jc w:val="center"/>
        </w:trPr>
        <w:tc>
          <w:tcPr>
            <w:tcW w:w="1417" w:type="dxa"/>
            <w:vMerge/>
            <w:tcBorders>
              <w:top w:val="single" w:sz="12" w:space="0" w:color="auto"/>
              <w:bottom w:val="single" w:sz="12" w:space="0" w:color="auto"/>
            </w:tcBorders>
          </w:tcPr>
          <w:p w14:paraId="4B30E4DD"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vMerge/>
            <w:tcBorders>
              <w:bottom w:val="single" w:sz="12" w:space="0" w:color="auto"/>
            </w:tcBorders>
          </w:tcPr>
          <w:p w14:paraId="2DC8C528"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126" w:type="dxa"/>
            <w:tcBorders>
              <w:top w:val="nil"/>
              <w:bottom w:val="nil"/>
            </w:tcBorders>
          </w:tcPr>
          <w:p w14:paraId="0A406554" w14:textId="2F0BF293"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Do they cover the full set of key issues, and do they make clear where responsibilities for implementation lie.?</w:t>
            </w:r>
          </w:p>
        </w:tc>
        <w:tc>
          <w:tcPr>
            <w:tcW w:w="2835" w:type="dxa"/>
            <w:tcBorders>
              <w:top w:val="nil"/>
              <w:bottom w:val="nil"/>
            </w:tcBorders>
          </w:tcPr>
          <w:p w14:paraId="637BFA2A" w14:textId="532434D7" w:rsidR="0074667F" w:rsidRPr="0074667F" w:rsidRDefault="0074667F" w:rsidP="0074667F">
            <w:pPr>
              <w:spacing w:before="120" w:after="120"/>
              <w:ind w:firstLine="0"/>
              <w:contextualSpacing/>
              <w:rPr>
                <w:rFonts w:eastAsia="Aptos"/>
                <w:color w:val="auto"/>
                <w:sz w:val="18"/>
                <w:szCs w:val="18"/>
                <w:lang w:val="en-ID" w:eastAsia="en-PH"/>
              </w:rPr>
            </w:pPr>
            <w:r w:rsidRPr="0074667F">
              <w:rPr>
                <w:rFonts w:eastAsia="Aptos"/>
                <w:color w:val="auto"/>
                <w:sz w:val="18"/>
                <w:szCs w:val="18"/>
                <w:lang w:val="en-ID" w:eastAsia="en-PH"/>
              </w:rPr>
              <w:t>The laws identified sets out action plans that address all key issues, including where responsibilities are, particularly the local government units, the private sector and other government agencies</w:t>
            </w:r>
          </w:p>
        </w:tc>
      </w:tr>
      <w:tr w:rsidR="0074667F" w:rsidRPr="0074667F" w14:paraId="1135133F" w14:textId="77777777" w:rsidTr="000D52D7">
        <w:trPr>
          <w:trHeight w:val="1123"/>
          <w:jc w:val="center"/>
        </w:trPr>
        <w:tc>
          <w:tcPr>
            <w:tcW w:w="1417" w:type="dxa"/>
            <w:vMerge/>
            <w:tcBorders>
              <w:top w:val="single" w:sz="12" w:space="0" w:color="auto"/>
              <w:bottom w:val="single" w:sz="12" w:space="0" w:color="auto"/>
            </w:tcBorders>
          </w:tcPr>
          <w:p w14:paraId="76F59781"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vMerge/>
            <w:tcBorders>
              <w:top w:val="single" w:sz="4" w:space="0" w:color="7F7F7F" w:themeColor="text1" w:themeTint="80"/>
              <w:bottom w:val="single" w:sz="12" w:space="0" w:color="auto"/>
            </w:tcBorders>
          </w:tcPr>
          <w:p w14:paraId="46C22055"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126" w:type="dxa"/>
            <w:tcBorders>
              <w:top w:val="nil"/>
              <w:bottom w:val="nil"/>
            </w:tcBorders>
          </w:tcPr>
          <w:p w14:paraId="205F2915" w14:textId="7865BC67"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 xml:space="preserve">Is a policy cycle in place? </w:t>
            </w:r>
            <w:r w:rsidRPr="0074667F">
              <w:rPr>
                <w:rFonts w:eastAsia="Aptos"/>
                <w:b/>
                <w:bCs/>
                <w:color w:val="auto"/>
                <w:sz w:val="18"/>
                <w:szCs w:val="18"/>
                <w:u w:val="single"/>
                <w:lang w:val="en-ID" w:eastAsia="en-PH"/>
              </w:rPr>
              <w:t>five key stages</w:t>
            </w:r>
            <w:r w:rsidRPr="0074667F">
              <w:rPr>
                <w:rFonts w:eastAsia="Aptos"/>
                <w:color w:val="auto"/>
                <w:sz w:val="18"/>
                <w:szCs w:val="18"/>
                <w:lang w:val="en-ID" w:eastAsia="en-PH"/>
              </w:rPr>
              <w:t xml:space="preserve">: </w:t>
            </w:r>
            <w:bookmarkStart w:id="24" w:name="_Hlk207439070"/>
            <w:r w:rsidRPr="0074667F">
              <w:rPr>
                <w:rFonts w:eastAsia="Aptos"/>
                <w:color w:val="auto"/>
                <w:sz w:val="18"/>
                <w:szCs w:val="18"/>
                <w:lang w:val="en-ID" w:eastAsia="en-PH"/>
              </w:rPr>
              <w:t>data and information, formulation and provision of advice; decision-making; implementation; and review and evaluation of policy and implementation</w:t>
            </w:r>
            <w:bookmarkEnd w:id="24"/>
          </w:p>
        </w:tc>
        <w:tc>
          <w:tcPr>
            <w:tcW w:w="2835" w:type="dxa"/>
            <w:tcBorders>
              <w:top w:val="nil"/>
              <w:bottom w:val="nil"/>
            </w:tcBorders>
          </w:tcPr>
          <w:p w14:paraId="7DB7DA0D" w14:textId="139A0035"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Yes</w:t>
            </w:r>
            <w:r>
              <w:rPr>
                <w:rFonts w:eastAsia="Aptos"/>
                <w:color w:val="auto"/>
                <w:sz w:val="18"/>
                <w:szCs w:val="18"/>
                <w:lang w:val="en-ID" w:eastAsia="en-PH"/>
              </w:rPr>
              <w:t>,</w:t>
            </w:r>
            <w:r w:rsidRPr="0074667F">
              <w:rPr>
                <w:rFonts w:eastAsia="Aptos"/>
                <w:color w:val="auto"/>
                <w:sz w:val="18"/>
                <w:szCs w:val="18"/>
                <w:lang w:val="en-ID" w:eastAsia="en-PH"/>
              </w:rPr>
              <w:t xml:space="preserve"> and while it appears evaluation of the policy has not been covered, there’s a </w:t>
            </w:r>
            <w:r w:rsidRPr="0074667F">
              <w:rPr>
                <w:rFonts w:eastAsia="Aptos"/>
                <w:b/>
                <w:bCs/>
                <w:color w:val="auto"/>
                <w:sz w:val="18"/>
                <w:szCs w:val="18"/>
                <w:lang w:val="en-ID" w:eastAsia="en-PH"/>
              </w:rPr>
              <w:t>Joint Congressional Oversight Committe</w:t>
            </w:r>
            <w:r w:rsidRPr="0074667F">
              <w:rPr>
                <w:rFonts w:eastAsia="Aptos"/>
                <w:color w:val="auto"/>
                <w:sz w:val="18"/>
                <w:szCs w:val="18"/>
                <w:lang w:val="en-ID" w:eastAsia="en-PH"/>
              </w:rPr>
              <w:t xml:space="preserve">e for the Clean Water Act (sec. 33) and for the Clean Air Act (sec. 53) to monitor the implementation of the law and review its IRR. It appears though </w:t>
            </w:r>
            <w:r w:rsidRPr="0074667F">
              <w:rPr>
                <w:rFonts w:eastAsia="Aptos"/>
                <w:color w:val="auto"/>
                <w:sz w:val="18"/>
                <w:szCs w:val="18"/>
                <w:lang w:val="en-ID" w:eastAsia="en-PH"/>
              </w:rPr>
              <w:lastRenderedPageBreak/>
              <w:t>that the reports of these Committees are not available online.</w:t>
            </w:r>
          </w:p>
        </w:tc>
      </w:tr>
      <w:tr w:rsidR="0074667F" w:rsidRPr="0074667F" w14:paraId="611E59DD" w14:textId="77777777" w:rsidTr="000D52D7">
        <w:trPr>
          <w:cnfStyle w:val="000000100000" w:firstRow="0" w:lastRow="0" w:firstColumn="0" w:lastColumn="0" w:oddVBand="0" w:evenVBand="0" w:oddHBand="1" w:evenHBand="0" w:firstRowFirstColumn="0" w:firstRowLastColumn="0" w:lastRowFirstColumn="0" w:lastRowLastColumn="0"/>
          <w:trHeight w:val="1123"/>
          <w:jc w:val="center"/>
        </w:trPr>
        <w:tc>
          <w:tcPr>
            <w:tcW w:w="1417" w:type="dxa"/>
            <w:vMerge/>
            <w:tcBorders>
              <w:top w:val="single" w:sz="12" w:space="0" w:color="auto"/>
              <w:bottom w:val="single" w:sz="12" w:space="0" w:color="auto"/>
            </w:tcBorders>
          </w:tcPr>
          <w:p w14:paraId="3C30085E" w14:textId="77777777" w:rsidR="0074667F" w:rsidRPr="0074667F" w:rsidRDefault="0074667F" w:rsidP="0074667F">
            <w:pPr>
              <w:spacing w:before="120" w:after="120"/>
              <w:ind w:firstLine="0"/>
              <w:jc w:val="center"/>
              <w:rPr>
                <w:rFonts w:eastAsia="Aptos"/>
                <w:b/>
                <w:color w:val="auto"/>
                <w:sz w:val="18"/>
                <w:szCs w:val="18"/>
                <w:lang w:val="en-ID" w:eastAsia="en-PH"/>
              </w:rPr>
            </w:pPr>
          </w:p>
        </w:tc>
        <w:tc>
          <w:tcPr>
            <w:tcW w:w="2410" w:type="dxa"/>
            <w:vMerge/>
            <w:tcBorders>
              <w:bottom w:val="single" w:sz="12" w:space="0" w:color="auto"/>
            </w:tcBorders>
          </w:tcPr>
          <w:p w14:paraId="19BDC5A2" w14:textId="77777777" w:rsidR="0074667F" w:rsidRPr="0074667F" w:rsidRDefault="0074667F" w:rsidP="0074667F">
            <w:pPr>
              <w:spacing w:before="120" w:after="120"/>
              <w:ind w:firstLine="0"/>
              <w:jc w:val="center"/>
              <w:rPr>
                <w:rFonts w:eastAsia="Aptos"/>
                <w:color w:val="auto"/>
                <w:sz w:val="18"/>
                <w:szCs w:val="18"/>
                <w:lang w:val="en-ID" w:eastAsia="en-PH"/>
              </w:rPr>
            </w:pPr>
          </w:p>
        </w:tc>
        <w:tc>
          <w:tcPr>
            <w:tcW w:w="2126" w:type="dxa"/>
            <w:tcBorders>
              <w:top w:val="nil"/>
              <w:bottom w:val="single" w:sz="12" w:space="0" w:color="auto"/>
            </w:tcBorders>
          </w:tcPr>
          <w:p w14:paraId="20539645" w14:textId="428178E9"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Are there vertical and lateral linkages between levels; from local to global? E.g. NMC</w:t>
            </w:r>
          </w:p>
        </w:tc>
        <w:tc>
          <w:tcPr>
            <w:tcW w:w="2835" w:type="dxa"/>
            <w:tcBorders>
              <w:top w:val="nil"/>
              <w:bottom w:val="single" w:sz="12" w:space="0" w:color="auto"/>
            </w:tcBorders>
          </w:tcPr>
          <w:p w14:paraId="41B8944E" w14:textId="16069BBE" w:rsidR="0074667F" w:rsidRPr="0074667F" w:rsidRDefault="0074667F" w:rsidP="0074667F">
            <w:pPr>
              <w:spacing w:before="120" w:after="120"/>
              <w:ind w:firstLine="0"/>
              <w:rPr>
                <w:rFonts w:eastAsia="Aptos"/>
                <w:color w:val="auto"/>
                <w:sz w:val="18"/>
                <w:szCs w:val="18"/>
                <w:lang w:val="en-ID" w:eastAsia="en-PH"/>
              </w:rPr>
            </w:pPr>
            <w:r w:rsidRPr="0074667F">
              <w:rPr>
                <w:rFonts w:eastAsia="Aptos"/>
                <w:color w:val="auto"/>
                <w:sz w:val="18"/>
                <w:szCs w:val="18"/>
                <w:lang w:val="en-ID" w:eastAsia="en-PH"/>
              </w:rPr>
              <w:t xml:space="preserve">The DENR provides data to NEDA (now </w:t>
            </w:r>
            <w:proofErr w:type="spellStart"/>
            <w:r w:rsidRPr="0074667F">
              <w:rPr>
                <w:rFonts w:eastAsia="Aptos"/>
                <w:color w:val="auto"/>
                <w:sz w:val="18"/>
                <w:szCs w:val="18"/>
                <w:lang w:val="en-ID" w:eastAsia="en-PH"/>
              </w:rPr>
              <w:t>DEPDev</w:t>
            </w:r>
            <w:proofErr w:type="spellEnd"/>
            <w:r w:rsidRPr="0074667F">
              <w:rPr>
                <w:rFonts w:eastAsia="Aptos"/>
                <w:color w:val="auto"/>
                <w:sz w:val="18"/>
                <w:szCs w:val="18"/>
                <w:lang w:val="en-ID" w:eastAsia="en-PH"/>
              </w:rPr>
              <w:t>) for the latter’s regular Voluntary National Reports for the achievement of the SDGs.  Local bodies however are not directly connected to the bodies hearing these reports.</w:t>
            </w:r>
          </w:p>
        </w:tc>
      </w:tr>
    </w:tbl>
    <w:p w14:paraId="3DF8CCA1" w14:textId="77777777" w:rsidR="0074667F" w:rsidRDefault="0074667F" w:rsidP="0074667F">
      <w:pPr>
        <w:spacing w:line="278" w:lineRule="auto"/>
        <w:ind w:firstLine="0"/>
        <w:rPr>
          <w:sz w:val="18"/>
          <w:szCs w:val="18"/>
        </w:rPr>
      </w:pPr>
    </w:p>
    <w:p w14:paraId="44317D78" w14:textId="0BAE6C5F" w:rsidR="0074667F" w:rsidRDefault="001502EA" w:rsidP="001502EA">
      <w:pPr>
        <w:spacing w:before="240" w:line="278" w:lineRule="auto"/>
        <w:ind w:firstLine="0"/>
        <w:rPr>
          <w:sz w:val="18"/>
          <w:szCs w:val="18"/>
        </w:rPr>
      </w:pPr>
      <w:r w:rsidRPr="001502EA">
        <w:rPr>
          <w:b/>
          <w:bCs/>
          <w:sz w:val="18"/>
          <w:szCs w:val="18"/>
        </w:rPr>
        <w:t>Table 6.F.3.</w:t>
      </w:r>
      <w:r>
        <w:rPr>
          <w:sz w:val="18"/>
          <w:szCs w:val="18"/>
        </w:rPr>
        <w:t xml:space="preserve"> Assessment of Findings of Land-based Pollution Trends from Land-based Pollution Thematic Area</w:t>
      </w:r>
    </w:p>
    <w:tbl>
      <w:tblPr>
        <w:tblStyle w:val="PlainTable2"/>
        <w:tblW w:w="0" w:type="auto"/>
        <w:tblLook w:val="04A0" w:firstRow="1" w:lastRow="0" w:firstColumn="1" w:lastColumn="0" w:noHBand="0" w:noVBand="1"/>
      </w:tblPr>
      <w:tblGrid>
        <w:gridCol w:w="2835"/>
        <w:gridCol w:w="188"/>
        <w:gridCol w:w="3024"/>
        <w:gridCol w:w="252"/>
        <w:gridCol w:w="2772"/>
      </w:tblGrid>
      <w:tr w:rsidR="001502EA" w14:paraId="16D40A12" w14:textId="77777777" w:rsidTr="000D5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bottom w:val="single" w:sz="12" w:space="0" w:color="auto"/>
            </w:tcBorders>
          </w:tcPr>
          <w:p w14:paraId="64EF6520" w14:textId="77777777" w:rsidR="001502EA" w:rsidRPr="00171B07" w:rsidRDefault="001502EA" w:rsidP="001502EA">
            <w:pPr>
              <w:pStyle w:val="NoSpacing"/>
              <w:spacing w:line="276" w:lineRule="auto"/>
              <w:jc w:val="center"/>
              <w:rPr>
                <w:rFonts w:ascii="Times New Roman" w:hAnsi="Times New Roman" w:cs="Times New Roman"/>
                <w:sz w:val="18"/>
                <w:szCs w:val="18"/>
              </w:rPr>
            </w:pPr>
            <w:r w:rsidRPr="00171B07">
              <w:rPr>
                <w:rFonts w:ascii="Times New Roman" w:hAnsi="Times New Roman" w:cs="Times New Roman"/>
                <w:sz w:val="18"/>
                <w:szCs w:val="18"/>
              </w:rPr>
              <w:t>Land-based Pollution Item</w:t>
            </w:r>
          </w:p>
        </w:tc>
        <w:tc>
          <w:tcPr>
            <w:tcW w:w="3464" w:type="dxa"/>
            <w:gridSpan w:val="3"/>
            <w:tcBorders>
              <w:top w:val="single" w:sz="12" w:space="0" w:color="auto"/>
              <w:bottom w:val="single" w:sz="12" w:space="0" w:color="auto"/>
            </w:tcBorders>
          </w:tcPr>
          <w:p w14:paraId="4F076D3E" w14:textId="77777777" w:rsidR="001502EA" w:rsidRPr="00171B07" w:rsidRDefault="001502EA" w:rsidP="001502EA">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71B07">
              <w:rPr>
                <w:rFonts w:ascii="Times New Roman" w:hAnsi="Times New Roman" w:cs="Times New Roman"/>
                <w:sz w:val="18"/>
                <w:szCs w:val="18"/>
              </w:rPr>
              <w:t>General Findings</w:t>
            </w:r>
          </w:p>
        </w:tc>
        <w:tc>
          <w:tcPr>
            <w:tcW w:w="2772" w:type="dxa"/>
            <w:tcBorders>
              <w:top w:val="single" w:sz="12" w:space="0" w:color="auto"/>
              <w:bottom w:val="single" w:sz="12" w:space="0" w:color="auto"/>
            </w:tcBorders>
          </w:tcPr>
          <w:p w14:paraId="6AF6BD96" w14:textId="77777777" w:rsidR="001502EA" w:rsidRPr="00171B07" w:rsidRDefault="001502EA" w:rsidP="001502EA">
            <w:pPr>
              <w:pStyle w:val="NoSpacing"/>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171B07">
              <w:rPr>
                <w:rFonts w:ascii="Times New Roman" w:hAnsi="Times New Roman" w:cs="Times New Roman"/>
                <w:sz w:val="18"/>
                <w:szCs w:val="18"/>
              </w:rPr>
              <w:t>Assessment</w:t>
            </w:r>
          </w:p>
        </w:tc>
      </w:tr>
      <w:tr w:rsidR="001502EA" w14:paraId="5B12F070" w14:textId="77777777" w:rsidTr="000D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tcBorders>
          </w:tcPr>
          <w:p w14:paraId="6A80525B" w14:textId="6BB9ABC7"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Domestic Wastewater</w:t>
            </w:r>
          </w:p>
        </w:tc>
        <w:tc>
          <w:tcPr>
            <w:tcW w:w="3464" w:type="dxa"/>
            <w:gridSpan w:val="3"/>
            <w:tcBorders>
              <w:top w:val="single" w:sz="12" w:space="0" w:color="auto"/>
            </w:tcBorders>
          </w:tcPr>
          <w:p w14:paraId="57E45D86"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p>
        </w:tc>
        <w:tc>
          <w:tcPr>
            <w:tcW w:w="2772" w:type="dxa"/>
            <w:tcBorders>
              <w:top w:val="single" w:sz="12" w:space="0" w:color="auto"/>
            </w:tcBorders>
          </w:tcPr>
          <w:p w14:paraId="6EE4D02B"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0FB5ECFD" w14:textId="77777777" w:rsidTr="00171B07">
        <w:trPr>
          <w:trHeight w:val="1327"/>
        </w:trPr>
        <w:tc>
          <w:tcPr>
            <w:cnfStyle w:val="001000000000" w:firstRow="0" w:lastRow="0" w:firstColumn="1" w:lastColumn="0" w:oddVBand="0" w:evenVBand="0" w:oddHBand="0" w:evenHBand="0" w:firstRowFirstColumn="0" w:firstRowLastColumn="0" w:lastRowFirstColumn="0" w:lastRowLastColumn="0"/>
            <w:tcW w:w="3023" w:type="dxa"/>
            <w:gridSpan w:val="2"/>
            <w:vAlign w:val="center"/>
          </w:tcPr>
          <w:p w14:paraId="07F6922B" w14:textId="77777777" w:rsidR="001502EA" w:rsidRPr="00171B07" w:rsidRDefault="001502EA"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Sewerage and treatment</w:t>
            </w:r>
          </w:p>
          <w:p w14:paraId="62E51BB2" w14:textId="77777777" w:rsidR="001502EA" w:rsidRPr="00171B07" w:rsidRDefault="001502EA" w:rsidP="00171B07">
            <w:pPr>
              <w:spacing w:line="276" w:lineRule="auto"/>
              <w:ind w:firstLine="0"/>
              <w:jc w:val="left"/>
              <w:rPr>
                <w:b w:val="0"/>
                <w:bCs w:val="0"/>
                <w:sz w:val="16"/>
                <w:szCs w:val="16"/>
              </w:rPr>
            </w:pPr>
          </w:p>
        </w:tc>
        <w:tc>
          <w:tcPr>
            <w:tcW w:w="3024" w:type="dxa"/>
          </w:tcPr>
          <w:p w14:paraId="3E83D73D" w14:textId="718E36AF" w:rsidR="001502EA" w:rsidRPr="003B750E" w:rsidRDefault="003B750E">
            <w:pPr>
              <w:pStyle w:val="NoSpacing"/>
              <w:numPr>
                <w:ilvl w:val="0"/>
                <w:numId w:val="78"/>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16"/>
                <w:szCs w:val="16"/>
              </w:rPr>
            </w:pPr>
            <w:r>
              <w:rPr>
                <w:rFonts w:ascii="Times New Roman" w:eastAsia="Arial" w:hAnsi="Times New Roman" w:cs="Times New Roman"/>
                <w:sz w:val="16"/>
                <w:szCs w:val="16"/>
              </w:rPr>
              <w:t>L</w:t>
            </w:r>
            <w:r w:rsidR="001502EA" w:rsidRPr="001502EA">
              <w:rPr>
                <w:rFonts w:ascii="Times New Roman" w:eastAsia="Arial" w:hAnsi="Times New Roman" w:cs="Times New Roman"/>
                <w:sz w:val="16"/>
                <w:szCs w:val="16"/>
              </w:rPr>
              <w:t>ess than 15% of the Philippine population is connected to sewer systems and wastewater treatment facilities as of 2015</w:t>
            </w:r>
          </w:p>
        </w:tc>
        <w:tc>
          <w:tcPr>
            <w:tcW w:w="3024" w:type="dxa"/>
            <w:gridSpan w:val="2"/>
          </w:tcPr>
          <w:p w14:paraId="589CBAC5" w14:textId="5146244D" w:rsidR="001502EA" w:rsidRPr="003B750E" w:rsidRDefault="001502EA">
            <w:pPr>
              <w:pStyle w:val="NoSpacing"/>
              <w:numPr>
                <w:ilvl w:val="0"/>
                <w:numId w:val="78"/>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 xml:space="preserve">While there is no data per WQMA, the over-all trend shows the Clean Water Act’s various schemes are </w:t>
            </w:r>
            <w:r w:rsidRPr="001502EA">
              <w:rPr>
                <w:rFonts w:ascii="Times New Roman" w:hAnsi="Times New Roman" w:cs="Times New Roman"/>
                <w:b/>
                <w:bCs/>
                <w:sz w:val="16"/>
                <w:szCs w:val="16"/>
                <w:u w:val="single"/>
              </w:rPr>
              <w:t>largely ineffective</w:t>
            </w:r>
            <w:r w:rsidRPr="001502EA">
              <w:rPr>
                <w:rFonts w:ascii="Times New Roman" w:hAnsi="Times New Roman" w:cs="Times New Roman"/>
                <w:sz w:val="16"/>
                <w:szCs w:val="16"/>
              </w:rPr>
              <w:t xml:space="preserve"> in addressing these domestic wastewater items given the data provide</w:t>
            </w:r>
            <w:r w:rsidR="003B750E">
              <w:rPr>
                <w:rFonts w:ascii="Times New Roman" w:hAnsi="Times New Roman" w:cs="Times New Roman"/>
                <w:sz w:val="16"/>
                <w:szCs w:val="16"/>
              </w:rPr>
              <w:t>d</w:t>
            </w:r>
          </w:p>
        </w:tc>
      </w:tr>
      <w:tr w:rsidR="001502EA" w14:paraId="38090C4E" w14:textId="77777777" w:rsidTr="00171B07">
        <w:trPr>
          <w:cnfStyle w:val="000000100000" w:firstRow="0" w:lastRow="0" w:firstColumn="0" w:lastColumn="0" w:oddVBand="0" w:evenVBand="0" w:oddHBand="1" w:evenHBand="0" w:firstRowFirstColumn="0" w:firstRowLastColumn="0" w:lastRowFirstColumn="0" w:lastRowLastColumn="0"/>
          <w:trHeight w:val="1695"/>
        </w:trPr>
        <w:tc>
          <w:tcPr>
            <w:cnfStyle w:val="001000000000" w:firstRow="0" w:lastRow="0" w:firstColumn="1" w:lastColumn="0" w:oddVBand="0" w:evenVBand="0" w:oddHBand="0" w:evenHBand="0" w:firstRowFirstColumn="0" w:firstRowLastColumn="0" w:lastRowFirstColumn="0" w:lastRowLastColumn="0"/>
            <w:tcW w:w="3023" w:type="dxa"/>
            <w:gridSpan w:val="2"/>
            <w:vAlign w:val="center"/>
          </w:tcPr>
          <w:p w14:paraId="254333A1" w14:textId="006D7DC8" w:rsidR="001502EA" w:rsidRPr="00171B07" w:rsidRDefault="001502EA"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BOD loading</w:t>
            </w:r>
          </w:p>
        </w:tc>
        <w:tc>
          <w:tcPr>
            <w:tcW w:w="3024" w:type="dxa"/>
          </w:tcPr>
          <w:p w14:paraId="690375F4" w14:textId="17577973" w:rsidR="003B750E" w:rsidRPr="00171B07" w:rsidRDefault="003B750E">
            <w:pPr>
              <w:pStyle w:val="NoSpacing"/>
              <w:numPr>
                <w:ilvl w:val="0"/>
                <w:numId w:val="77"/>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r w:rsidRPr="001502EA">
              <w:rPr>
                <w:rFonts w:ascii="Times New Roman" w:eastAsia="Arial" w:hAnsi="Times New Roman" w:cs="Times New Roman"/>
                <w:sz w:val="16"/>
                <w:szCs w:val="16"/>
              </w:rPr>
              <w:t>33% of total BOD load from domestic sources</w:t>
            </w:r>
          </w:p>
          <w:p w14:paraId="1E206D2D" w14:textId="6F425F42" w:rsidR="003B750E" w:rsidRPr="003B750E" w:rsidRDefault="003B750E">
            <w:pPr>
              <w:pStyle w:val="NoSpacing"/>
              <w:numPr>
                <w:ilvl w:val="0"/>
                <w:numId w:val="77"/>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16"/>
                <w:szCs w:val="16"/>
              </w:rPr>
            </w:pPr>
            <w:r w:rsidRPr="001502EA">
              <w:rPr>
                <w:rFonts w:ascii="Times New Roman" w:hAnsi="Times New Roman" w:cs="Times New Roman"/>
                <w:sz w:val="16"/>
                <w:szCs w:val="16"/>
              </w:rPr>
              <w:t>BOD load draining to SCS – up 38% from 2000 TDA</w:t>
            </w:r>
          </w:p>
        </w:tc>
        <w:tc>
          <w:tcPr>
            <w:tcW w:w="3024" w:type="dxa"/>
            <w:gridSpan w:val="2"/>
          </w:tcPr>
          <w:p w14:paraId="646CABD6" w14:textId="1FDABAF6" w:rsidR="00171B07" w:rsidRPr="00171B07" w:rsidRDefault="00171B07" w:rsidP="00171B07">
            <w:pPr>
              <w:ind w:firstLine="0"/>
              <w:cnfStyle w:val="000000100000" w:firstRow="0" w:lastRow="0" w:firstColumn="0" w:lastColumn="0" w:oddVBand="0" w:evenVBand="0" w:oddHBand="1" w:evenHBand="0" w:firstRowFirstColumn="0" w:firstRowLastColumn="0" w:lastRowFirstColumn="0" w:lastRowLastColumn="0"/>
            </w:pPr>
          </w:p>
        </w:tc>
      </w:tr>
      <w:tr w:rsidR="001502EA" w14:paraId="383C6059" w14:textId="77777777" w:rsidTr="00171B07">
        <w:trPr>
          <w:trHeight w:val="1266"/>
        </w:trPr>
        <w:tc>
          <w:tcPr>
            <w:cnfStyle w:val="001000000000" w:firstRow="0" w:lastRow="0" w:firstColumn="1" w:lastColumn="0" w:oddVBand="0" w:evenVBand="0" w:oddHBand="0" w:evenHBand="0" w:firstRowFirstColumn="0" w:firstRowLastColumn="0" w:lastRowFirstColumn="0" w:lastRowLastColumn="0"/>
            <w:tcW w:w="3023" w:type="dxa"/>
            <w:gridSpan w:val="2"/>
            <w:vAlign w:val="center"/>
          </w:tcPr>
          <w:p w14:paraId="11731E3F" w14:textId="77777777" w:rsidR="001502EA" w:rsidRPr="00171B07" w:rsidRDefault="001502EA"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 xml:space="preserve">Nutrient loading </w:t>
            </w:r>
          </w:p>
          <w:p w14:paraId="4BEB91F8" w14:textId="77777777" w:rsidR="001502EA" w:rsidRPr="00171B07" w:rsidRDefault="001502EA" w:rsidP="00171B07">
            <w:pPr>
              <w:pStyle w:val="NoSpacing"/>
              <w:spacing w:line="276" w:lineRule="auto"/>
              <w:rPr>
                <w:rFonts w:ascii="Times New Roman" w:hAnsi="Times New Roman" w:cs="Times New Roman"/>
                <w:b w:val="0"/>
                <w:bCs w:val="0"/>
                <w:sz w:val="16"/>
                <w:szCs w:val="16"/>
              </w:rPr>
            </w:pPr>
          </w:p>
        </w:tc>
        <w:tc>
          <w:tcPr>
            <w:tcW w:w="3024" w:type="dxa"/>
          </w:tcPr>
          <w:p w14:paraId="274BBE92" w14:textId="2397FDCA" w:rsidR="001502EA" w:rsidRPr="001502EA" w:rsidRDefault="003B750E">
            <w:pPr>
              <w:pStyle w:val="NoSpacing"/>
              <w:numPr>
                <w:ilvl w:val="0"/>
                <w:numId w:val="76"/>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16"/>
                <w:szCs w:val="16"/>
              </w:rPr>
            </w:pPr>
            <w:r w:rsidRPr="001502EA">
              <w:rPr>
                <w:rFonts w:ascii="Times New Roman" w:hAnsi="Times New Roman" w:cs="Times New Roman"/>
                <w:sz w:val="16"/>
                <w:szCs w:val="16"/>
              </w:rPr>
              <w:t>140,000 ± 20,000 tons of nitrogen and 24,000 ± 20,000 tons of phosphorus annually to water bodies, with a significant portion eventually reaching coastal waters of the West Philippine Sea</w:t>
            </w:r>
          </w:p>
        </w:tc>
        <w:tc>
          <w:tcPr>
            <w:tcW w:w="3024" w:type="dxa"/>
            <w:gridSpan w:val="2"/>
          </w:tcPr>
          <w:p w14:paraId="4E29E4D3" w14:textId="0AC8943D" w:rsidR="001502EA" w:rsidRPr="001502EA" w:rsidRDefault="001502EA" w:rsidP="003B750E">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502EA" w14:paraId="308B3ED5" w14:textId="77777777" w:rsidTr="00171B07">
        <w:trPr>
          <w:cnfStyle w:val="000000100000" w:firstRow="0" w:lastRow="0" w:firstColumn="0" w:lastColumn="0" w:oddVBand="0" w:evenVBand="0" w:oddHBand="1" w:evenHBand="0" w:firstRowFirstColumn="0" w:firstRowLastColumn="0" w:lastRowFirstColumn="0" w:lastRowLastColumn="0"/>
          <w:trHeight w:val="2532"/>
        </w:trPr>
        <w:tc>
          <w:tcPr>
            <w:cnfStyle w:val="001000000000" w:firstRow="0" w:lastRow="0" w:firstColumn="1" w:lastColumn="0" w:oddVBand="0" w:evenVBand="0" w:oddHBand="0" w:evenHBand="0" w:firstRowFirstColumn="0" w:firstRowLastColumn="0" w:lastRowFirstColumn="0" w:lastRowLastColumn="0"/>
            <w:tcW w:w="3023" w:type="dxa"/>
            <w:gridSpan w:val="2"/>
            <w:vAlign w:val="center"/>
          </w:tcPr>
          <w:p w14:paraId="3B94A87E" w14:textId="331D64CA" w:rsidR="001502EA" w:rsidRPr="00171B07" w:rsidRDefault="003B750E"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Microbial contamination</w:t>
            </w:r>
          </w:p>
        </w:tc>
        <w:tc>
          <w:tcPr>
            <w:tcW w:w="3024" w:type="dxa"/>
          </w:tcPr>
          <w:p w14:paraId="3CC0309E" w14:textId="6BAFDF2C" w:rsidR="001502EA" w:rsidRPr="00171B07" w:rsidRDefault="003B750E">
            <w:pPr>
              <w:pStyle w:val="NoSpacing"/>
              <w:numPr>
                <w:ilvl w:val="0"/>
                <w:numId w:val="75"/>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Fecal coliform (FC) levels in major urban waterways such as the Pasig River frequently exceed 105 to 106 MPN/100mL, well above the 200 MPN/100mL standard for recreational waters.</w:t>
            </w:r>
          </w:p>
          <w:p w14:paraId="5110C0FD" w14:textId="1EF8DB89" w:rsidR="003B750E" w:rsidRPr="003B750E" w:rsidRDefault="003B750E">
            <w:pPr>
              <w:pStyle w:val="NoSpacing"/>
              <w:numPr>
                <w:ilvl w:val="0"/>
                <w:numId w:val="75"/>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While infrastructure developments have increased capacity to treat septage, the treatment capacity is &lt;1 % of the wastewater volume processed daily in Metro Manila, as scaling would remain critical.</w:t>
            </w:r>
          </w:p>
        </w:tc>
        <w:tc>
          <w:tcPr>
            <w:tcW w:w="3024" w:type="dxa"/>
            <w:gridSpan w:val="2"/>
          </w:tcPr>
          <w:p w14:paraId="7F490D2C" w14:textId="4F4595E7" w:rsidR="001502EA" w:rsidRPr="001502EA" w:rsidRDefault="001502EA" w:rsidP="003B750E">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0E22BC2B" w14:textId="77777777" w:rsidTr="001502EA">
        <w:tc>
          <w:tcPr>
            <w:cnfStyle w:val="001000000000" w:firstRow="0" w:lastRow="0" w:firstColumn="1" w:lastColumn="0" w:oddVBand="0" w:evenVBand="0" w:oddHBand="0" w:evenHBand="0" w:firstRowFirstColumn="0" w:firstRowLastColumn="0" w:lastRowFirstColumn="0" w:lastRowLastColumn="0"/>
            <w:tcW w:w="2835" w:type="dxa"/>
          </w:tcPr>
          <w:p w14:paraId="038061A2" w14:textId="097A440D"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Wastewater from Industrial Effluents</w:t>
            </w:r>
          </w:p>
        </w:tc>
        <w:tc>
          <w:tcPr>
            <w:tcW w:w="3464" w:type="dxa"/>
            <w:gridSpan w:val="3"/>
          </w:tcPr>
          <w:p w14:paraId="6F2E35D4" w14:textId="77777777" w:rsidR="001502EA" w:rsidRPr="001502EA"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c>
          <w:tcPr>
            <w:tcW w:w="2772" w:type="dxa"/>
          </w:tcPr>
          <w:p w14:paraId="5AD3E5C6" w14:textId="77777777" w:rsidR="001502EA" w:rsidRPr="001502EA"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502EA" w14:paraId="58BF3879" w14:textId="77777777" w:rsidTr="00171B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394677FB" w14:textId="77777777" w:rsidR="001502EA" w:rsidRPr="001502EA" w:rsidRDefault="001502EA" w:rsidP="001502EA">
            <w:pPr>
              <w:pStyle w:val="NoSpacing"/>
              <w:spacing w:line="276" w:lineRule="auto"/>
              <w:jc w:val="both"/>
              <w:rPr>
                <w:rFonts w:ascii="Times New Roman" w:hAnsi="Times New Roman" w:cs="Times New Roman"/>
                <w:sz w:val="16"/>
                <w:szCs w:val="16"/>
              </w:rPr>
            </w:pPr>
          </w:p>
        </w:tc>
        <w:tc>
          <w:tcPr>
            <w:tcW w:w="3464" w:type="dxa"/>
            <w:gridSpan w:val="3"/>
          </w:tcPr>
          <w:p w14:paraId="533366CE" w14:textId="56B290E6"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 xml:space="preserve">According to the DENR-EMB (2020) National Water Quality Status Report, while industrial discharges contribute a smaller volume than agricultural and domestic sources, their environmental impact is significantly greater due to their toxic composition. Industrial effluents often </w:t>
            </w:r>
            <w:r w:rsidRPr="001502EA">
              <w:rPr>
                <w:rFonts w:ascii="Times New Roman" w:hAnsi="Times New Roman" w:cs="Times New Roman"/>
                <w:sz w:val="16"/>
                <w:szCs w:val="16"/>
              </w:rPr>
              <w:lastRenderedPageBreak/>
              <w:t>contain heavy metals, oils, and hazardous chemical wastes</w:t>
            </w:r>
            <w:r w:rsidR="003B750E">
              <w:rPr>
                <w:rFonts w:ascii="Times New Roman" w:hAnsi="Times New Roman" w:cs="Times New Roman"/>
                <w:sz w:val="16"/>
                <w:szCs w:val="16"/>
              </w:rPr>
              <w:t>.</w:t>
            </w:r>
          </w:p>
        </w:tc>
        <w:tc>
          <w:tcPr>
            <w:tcW w:w="2772" w:type="dxa"/>
            <w:vAlign w:val="center"/>
          </w:tcPr>
          <w:p w14:paraId="75FBD249" w14:textId="4C7AE856" w:rsidR="001502EA" w:rsidRPr="001502EA" w:rsidRDefault="001502EA" w:rsidP="00171B07">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lastRenderedPageBreak/>
              <w:t>While there is monitoring of this item as per the National Water Quality Status Report referred to, the assessment of its bigger environmental effect is something that needs to be done, at the national level</w:t>
            </w:r>
            <w:r w:rsidR="00171B07">
              <w:rPr>
                <w:rFonts w:ascii="Times New Roman" w:hAnsi="Times New Roman" w:cs="Times New Roman"/>
                <w:sz w:val="16"/>
                <w:szCs w:val="16"/>
              </w:rPr>
              <w:t>.</w:t>
            </w:r>
          </w:p>
        </w:tc>
      </w:tr>
      <w:tr w:rsidR="001502EA" w14:paraId="74C042C2" w14:textId="77777777" w:rsidTr="001502EA">
        <w:tc>
          <w:tcPr>
            <w:cnfStyle w:val="001000000000" w:firstRow="0" w:lastRow="0" w:firstColumn="1" w:lastColumn="0" w:oddVBand="0" w:evenVBand="0" w:oddHBand="0" w:evenHBand="0" w:firstRowFirstColumn="0" w:firstRowLastColumn="0" w:lastRowFirstColumn="0" w:lastRowLastColumn="0"/>
            <w:tcW w:w="2835" w:type="dxa"/>
          </w:tcPr>
          <w:p w14:paraId="13C37026" w14:textId="2A097BE7"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Agricultural run-off</w:t>
            </w:r>
          </w:p>
        </w:tc>
        <w:tc>
          <w:tcPr>
            <w:tcW w:w="3464" w:type="dxa"/>
            <w:gridSpan w:val="3"/>
          </w:tcPr>
          <w:p w14:paraId="4BB22DB5" w14:textId="77777777" w:rsidR="001502EA" w:rsidRPr="001502EA"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c>
          <w:tcPr>
            <w:tcW w:w="2772" w:type="dxa"/>
          </w:tcPr>
          <w:p w14:paraId="0D9052AC" w14:textId="77777777" w:rsidR="001502EA" w:rsidRPr="001502EA"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71B07" w14:paraId="1694B80A" w14:textId="77777777" w:rsidTr="00171B07">
        <w:trPr>
          <w:cnfStyle w:val="000000100000" w:firstRow="0" w:lastRow="0" w:firstColumn="0" w:lastColumn="0" w:oddVBand="0" w:evenVBand="0" w:oddHBand="1" w:evenHBand="0" w:firstRowFirstColumn="0" w:firstRowLastColumn="0" w:lastRowFirstColumn="0" w:lastRowLastColumn="0"/>
          <w:trHeight w:val="816"/>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331DB448" w14:textId="77777777"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Fertilizer use</w:t>
            </w:r>
          </w:p>
          <w:p w14:paraId="595889C3" w14:textId="77777777" w:rsidR="00171B07" w:rsidRPr="00171B07" w:rsidRDefault="00171B07" w:rsidP="00171B07">
            <w:pPr>
              <w:pStyle w:val="NoSpacing"/>
              <w:spacing w:line="276" w:lineRule="auto"/>
              <w:rPr>
                <w:rFonts w:ascii="Times New Roman" w:hAnsi="Times New Roman" w:cs="Times New Roman"/>
                <w:b w:val="0"/>
                <w:bCs w:val="0"/>
                <w:sz w:val="16"/>
                <w:szCs w:val="16"/>
              </w:rPr>
            </w:pPr>
          </w:p>
        </w:tc>
        <w:tc>
          <w:tcPr>
            <w:tcW w:w="3464" w:type="dxa"/>
            <w:gridSpan w:val="3"/>
          </w:tcPr>
          <w:p w14:paraId="72A7412C" w14:textId="77777777"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 xml:space="preserve">From 2000 to 2022, </w:t>
            </w:r>
          </w:p>
          <w:p w14:paraId="157C3796" w14:textId="77777777"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nitrogen (N) use - 64 % increase</w:t>
            </w:r>
          </w:p>
          <w:p w14:paraId="596D400B" w14:textId="77777777"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phosphorus (P) use - 224 % increase</w:t>
            </w:r>
          </w:p>
          <w:p w14:paraId="6271A6D1" w14:textId="4D903872"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potassium (K) use - 223 % increase</w:t>
            </w:r>
          </w:p>
        </w:tc>
        <w:tc>
          <w:tcPr>
            <w:tcW w:w="2772" w:type="dxa"/>
            <w:vMerge w:val="restart"/>
            <w:vAlign w:val="center"/>
          </w:tcPr>
          <w:p w14:paraId="3D1981C8" w14:textId="35AD17E8" w:rsidR="00171B07" w:rsidRPr="001502EA" w:rsidRDefault="00171B07" w:rsidP="00171B07">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As per Clean Water Act mandate, the Department of Agriculture does not appear to have addressed this in a significant manner</w:t>
            </w:r>
            <w:r>
              <w:rPr>
                <w:rFonts w:ascii="Times New Roman" w:hAnsi="Times New Roman" w:cs="Times New Roman"/>
                <w:sz w:val="16"/>
                <w:szCs w:val="16"/>
              </w:rPr>
              <w:t>.</w:t>
            </w:r>
          </w:p>
        </w:tc>
      </w:tr>
      <w:tr w:rsidR="00171B07" w14:paraId="7E4714E7" w14:textId="77777777" w:rsidTr="00171B07">
        <w:trPr>
          <w:trHeight w:val="1162"/>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7F7F7F" w:themeColor="text1" w:themeTint="80"/>
              <w:bottom w:val="single" w:sz="4" w:space="0" w:color="7F7F7F" w:themeColor="text1" w:themeTint="80"/>
            </w:tcBorders>
            <w:vAlign w:val="center"/>
          </w:tcPr>
          <w:p w14:paraId="50C73971" w14:textId="77777777"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Pesticide use</w:t>
            </w:r>
          </w:p>
          <w:p w14:paraId="76FED49C" w14:textId="77777777" w:rsidR="00171B07" w:rsidRPr="00171B07" w:rsidRDefault="00171B07" w:rsidP="00171B07">
            <w:pPr>
              <w:pStyle w:val="NoSpacing"/>
              <w:spacing w:line="276" w:lineRule="auto"/>
              <w:ind w:left="36"/>
              <w:rPr>
                <w:rFonts w:ascii="Times New Roman" w:hAnsi="Times New Roman" w:cs="Times New Roman"/>
                <w:b w:val="0"/>
                <w:bCs w:val="0"/>
                <w:sz w:val="16"/>
                <w:szCs w:val="16"/>
              </w:rPr>
            </w:pPr>
          </w:p>
        </w:tc>
        <w:tc>
          <w:tcPr>
            <w:tcW w:w="3464" w:type="dxa"/>
            <w:gridSpan w:val="3"/>
            <w:tcBorders>
              <w:bottom w:val="single" w:sz="4" w:space="0" w:color="7F7F7F" w:themeColor="text1" w:themeTint="80"/>
            </w:tcBorders>
          </w:tcPr>
          <w:p w14:paraId="292F5584" w14:textId="0300FB24" w:rsidR="00171B07" w:rsidRPr="001502EA" w:rsidRDefault="00171B07"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 xml:space="preserve">Between 2000 and 2022, total pesticide </w:t>
            </w:r>
            <w:proofErr w:type="gramStart"/>
            <w:r w:rsidRPr="001502EA">
              <w:rPr>
                <w:rFonts w:ascii="Times New Roman" w:hAnsi="Times New Roman" w:cs="Times New Roman"/>
                <w:sz w:val="16"/>
                <w:szCs w:val="16"/>
              </w:rPr>
              <w:t>use</w:t>
            </w:r>
            <w:proofErr w:type="gramEnd"/>
            <w:r w:rsidRPr="001502EA">
              <w:rPr>
                <w:rFonts w:ascii="Times New Roman" w:hAnsi="Times New Roman" w:cs="Times New Roman"/>
                <w:sz w:val="16"/>
                <w:szCs w:val="16"/>
              </w:rPr>
              <w:t xml:space="preserve"> in the Philippines rose steadily from approximately 50,000 tons/year of active ingredient (</w:t>
            </w:r>
            <w:proofErr w:type="spellStart"/>
            <w:r w:rsidRPr="001502EA">
              <w:rPr>
                <w:rFonts w:ascii="Times New Roman" w:hAnsi="Times New Roman" w:cs="Times New Roman"/>
                <w:sz w:val="16"/>
                <w:szCs w:val="16"/>
              </w:rPr>
              <w:t>a.i.</w:t>
            </w:r>
            <w:proofErr w:type="spellEnd"/>
            <w:r w:rsidRPr="001502EA">
              <w:rPr>
                <w:rFonts w:ascii="Times New Roman" w:hAnsi="Times New Roman" w:cs="Times New Roman"/>
                <w:sz w:val="16"/>
                <w:szCs w:val="16"/>
              </w:rPr>
              <w:t xml:space="preserve">) to over 85,000 tons/year, while application rates per hectare climbed from 5.8 kg </w:t>
            </w:r>
            <w:proofErr w:type="spellStart"/>
            <w:r w:rsidRPr="001502EA">
              <w:rPr>
                <w:rFonts w:ascii="Times New Roman" w:hAnsi="Times New Roman" w:cs="Times New Roman"/>
                <w:sz w:val="16"/>
                <w:szCs w:val="16"/>
              </w:rPr>
              <w:t>a.i.</w:t>
            </w:r>
            <w:proofErr w:type="spellEnd"/>
            <w:r w:rsidRPr="001502EA">
              <w:rPr>
                <w:rFonts w:ascii="Times New Roman" w:hAnsi="Times New Roman" w:cs="Times New Roman"/>
                <w:sz w:val="16"/>
                <w:szCs w:val="16"/>
              </w:rPr>
              <w:t xml:space="preserve">/ha to 15.2 kg </w:t>
            </w:r>
            <w:proofErr w:type="spellStart"/>
            <w:r w:rsidRPr="001502EA">
              <w:rPr>
                <w:rFonts w:ascii="Times New Roman" w:hAnsi="Times New Roman" w:cs="Times New Roman"/>
                <w:sz w:val="16"/>
                <w:szCs w:val="16"/>
              </w:rPr>
              <w:t>a.i.</w:t>
            </w:r>
            <w:proofErr w:type="spellEnd"/>
            <w:r w:rsidRPr="001502EA">
              <w:rPr>
                <w:rFonts w:ascii="Times New Roman" w:hAnsi="Times New Roman" w:cs="Times New Roman"/>
                <w:sz w:val="16"/>
                <w:szCs w:val="16"/>
              </w:rPr>
              <w:t>/ha (FAO, 2025).</w:t>
            </w:r>
          </w:p>
        </w:tc>
        <w:tc>
          <w:tcPr>
            <w:tcW w:w="2772" w:type="dxa"/>
            <w:vMerge/>
            <w:tcBorders>
              <w:bottom w:val="single" w:sz="4" w:space="0" w:color="7F7F7F" w:themeColor="text1" w:themeTint="80"/>
            </w:tcBorders>
          </w:tcPr>
          <w:p w14:paraId="17F071B6" w14:textId="77777777" w:rsidR="00171B07" w:rsidRPr="001502EA" w:rsidRDefault="00171B07"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502EA" w14:paraId="59F5D1CC"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1BD20651" w14:textId="2CB3485B"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Solid Waste and Marine Litter</w:t>
            </w:r>
          </w:p>
        </w:tc>
        <w:tc>
          <w:tcPr>
            <w:tcW w:w="3464" w:type="dxa"/>
            <w:gridSpan w:val="3"/>
          </w:tcPr>
          <w:p w14:paraId="63490E1E"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c>
          <w:tcPr>
            <w:tcW w:w="2772" w:type="dxa"/>
          </w:tcPr>
          <w:p w14:paraId="04AF73B0"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71B07" w14:paraId="49C09695" w14:textId="77777777" w:rsidTr="00171B07">
        <w:trPr>
          <w:trHeight w:val="1075"/>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5C3F421F" w14:textId="77777777"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Waste generation</w:t>
            </w:r>
          </w:p>
          <w:p w14:paraId="71E9FA5D" w14:textId="62AB3F3E" w:rsidR="00171B07" w:rsidRPr="00171B07" w:rsidRDefault="00171B07" w:rsidP="00171B07">
            <w:pPr>
              <w:pStyle w:val="NoSpacing"/>
              <w:spacing w:line="276" w:lineRule="auto"/>
              <w:rPr>
                <w:rFonts w:ascii="Times New Roman" w:hAnsi="Times New Roman" w:cs="Times New Roman"/>
                <w:b w:val="0"/>
                <w:bCs w:val="0"/>
                <w:sz w:val="16"/>
                <w:szCs w:val="16"/>
              </w:rPr>
            </w:pPr>
          </w:p>
        </w:tc>
        <w:tc>
          <w:tcPr>
            <w:tcW w:w="3464" w:type="dxa"/>
            <w:gridSpan w:val="3"/>
          </w:tcPr>
          <w:p w14:paraId="1CD38607" w14:textId="5CEBE7D2" w:rsidR="00171B07" w:rsidRPr="001502EA" w:rsidRDefault="00171B07"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The total municipal solid waste (MSW) in 2016 was around 40,000 tons/day nationwide (Talavera et al., 2024) compared to 37,400 tons/d in 2012. This corresponds to about 0.40 kg per capita per day.</w:t>
            </w:r>
          </w:p>
        </w:tc>
        <w:tc>
          <w:tcPr>
            <w:tcW w:w="2772" w:type="dxa"/>
            <w:vMerge w:val="restart"/>
            <w:vAlign w:val="center"/>
          </w:tcPr>
          <w:p w14:paraId="4229697C" w14:textId="317FF5EA" w:rsidR="00171B07" w:rsidRPr="001502EA" w:rsidRDefault="00171B07" w:rsidP="00171B07">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The DENR appears to be struggling to address these concerns, through the years</w:t>
            </w:r>
            <w:r>
              <w:rPr>
                <w:rFonts w:ascii="Times New Roman" w:hAnsi="Times New Roman" w:cs="Times New Roman"/>
                <w:sz w:val="16"/>
                <w:szCs w:val="16"/>
              </w:rPr>
              <w:t>.</w:t>
            </w:r>
          </w:p>
        </w:tc>
      </w:tr>
      <w:tr w:rsidR="00171B07" w14:paraId="671F7A33" w14:textId="77777777" w:rsidTr="00171B07">
        <w:trPr>
          <w:cnfStyle w:val="000000100000" w:firstRow="0" w:lastRow="0" w:firstColumn="0" w:lastColumn="0" w:oddVBand="0" w:evenVBand="0" w:oddHBand="1" w:evenHBand="0" w:firstRowFirstColumn="0" w:firstRowLastColumn="0" w:lastRowFirstColumn="0" w:lastRowLastColumn="0"/>
          <w:trHeight w:val="1075"/>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65C9BE55" w14:textId="77777777"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Waste composition</w:t>
            </w:r>
          </w:p>
          <w:p w14:paraId="58A8C5DA" w14:textId="77777777" w:rsidR="00171B07" w:rsidRPr="00171B07" w:rsidRDefault="00171B07" w:rsidP="00171B07">
            <w:pPr>
              <w:pStyle w:val="NoSpacing"/>
              <w:spacing w:line="276" w:lineRule="auto"/>
              <w:rPr>
                <w:rFonts w:ascii="Times New Roman" w:hAnsi="Times New Roman" w:cs="Times New Roman"/>
                <w:b w:val="0"/>
                <w:bCs w:val="0"/>
                <w:sz w:val="16"/>
                <w:szCs w:val="16"/>
              </w:rPr>
            </w:pPr>
          </w:p>
        </w:tc>
        <w:tc>
          <w:tcPr>
            <w:tcW w:w="3464" w:type="dxa"/>
            <w:gridSpan w:val="3"/>
          </w:tcPr>
          <w:p w14:paraId="5DBB2F35" w14:textId="61295E2B"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Biodegradable/organic waste (e.g., food and yard waste) dominates the waste stream (~50–55%) (EMB, 2019). Plastic waste is roughly 10–11% of MSW by weight, and mismanagement has become a national crisis</w:t>
            </w:r>
          </w:p>
        </w:tc>
        <w:tc>
          <w:tcPr>
            <w:tcW w:w="2772" w:type="dxa"/>
            <w:vMerge/>
          </w:tcPr>
          <w:p w14:paraId="710EFD7C" w14:textId="77777777" w:rsidR="00171B07" w:rsidRPr="001502EA" w:rsidRDefault="00171B07"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71B07" w14:paraId="0235033B" w14:textId="77777777" w:rsidTr="00171B07">
        <w:trPr>
          <w:trHeight w:val="688"/>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3D9FF5FB" w14:textId="5EA609AF" w:rsidR="00171B07" w:rsidRPr="00171B07" w:rsidRDefault="00171B07" w:rsidP="00171B07">
            <w:pPr>
              <w:pStyle w:val="NoSpacing"/>
              <w:spacing w:line="276" w:lineRule="auto"/>
              <w:rPr>
                <w:rFonts w:ascii="Times New Roman" w:hAnsi="Times New Roman" w:cs="Times New Roman"/>
                <w:b w:val="0"/>
                <w:bCs w:val="0"/>
                <w:sz w:val="16"/>
                <w:szCs w:val="16"/>
              </w:rPr>
            </w:pPr>
            <w:r w:rsidRPr="00171B07">
              <w:rPr>
                <w:rFonts w:ascii="Times New Roman" w:hAnsi="Times New Roman" w:cs="Times New Roman"/>
                <w:b w:val="0"/>
                <w:bCs w:val="0"/>
                <w:sz w:val="16"/>
                <w:szCs w:val="16"/>
              </w:rPr>
              <w:t>Plastic waste leakage</w:t>
            </w:r>
          </w:p>
        </w:tc>
        <w:tc>
          <w:tcPr>
            <w:tcW w:w="3464" w:type="dxa"/>
            <w:gridSpan w:val="3"/>
          </w:tcPr>
          <w:p w14:paraId="3CAC76E6" w14:textId="5040B1A5" w:rsidR="00171B07" w:rsidRPr="001502EA" w:rsidRDefault="00171B07" w:rsidP="00171B07">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PH a as a top source of ocean plastics (e.g., ~0.75 million tons of mismanaged plastic enter the ocean each year (WB, 2021).</w:t>
            </w:r>
          </w:p>
        </w:tc>
        <w:tc>
          <w:tcPr>
            <w:tcW w:w="2772" w:type="dxa"/>
            <w:vMerge/>
          </w:tcPr>
          <w:p w14:paraId="3F5A31CB" w14:textId="77777777" w:rsidR="00171B07" w:rsidRPr="001502EA" w:rsidRDefault="00171B07"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1502EA" w14:paraId="0CA54C13"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129F0D1A" w14:textId="3C643D49"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Hazardous Waste</w:t>
            </w:r>
          </w:p>
        </w:tc>
        <w:tc>
          <w:tcPr>
            <w:tcW w:w="3464" w:type="dxa"/>
            <w:gridSpan w:val="3"/>
          </w:tcPr>
          <w:p w14:paraId="7AC64914"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p>
        </w:tc>
        <w:tc>
          <w:tcPr>
            <w:tcW w:w="2772" w:type="dxa"/>
          </w:tcPr>
          <w:p w14:paraId="23EE6BAB"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553164AE" w14:textId="77777777" w:rsidTr="00171B07">
        <w:tc>
          <w:tcPr>
            <w:cnfStyle w:val="001000000000" w:firstRow="0" w:lastRow="0" w:firstColumn="1" w:lastColumn="0" w:oddVBand="0" w:evenVBand="0" w:oddHBand="0" w:evenHBand="0" w:firstRowFirstColumn="0" w:firstRowLastColumn="0" w:lastRowFirstColumn="0" w:lastRowLastColumn="0"/>
            <w:tcW w:w="2835" w:type="dxa"/>
          </w:tcPr>
          <w:p w14:paraId="7C5DB87A" w14:textId="0D60A6A7" w:rsidR="001502EA" w:rsidRPr="001502EA" w:rsidRDefault="001502EA" w:rsidP="001502EA">
            <w:pPr>
              <w:pStyle w:val="NoSpacing"/>
              <w:spacing w:line="276" w:lineRule="auto"/>
              <w:jc w:val="both"/>
              <w:rPr>
                <w:rFonts w:ascii="Times New Roman" w:hAnsi="Times New Roman" w:cs="Times New Roman"/>
                <w:sz w:val="16"/>
                <w:szCs w:val="16"/>
              </w:rPr>
            </w:pPr>
          </w:p>
        </w:tc>
        <w:tc>
          <w:tcPr>
            <w:tcW w:w="3464" w:type="dxa"/>
            <w:gridSpan w:val="3"/>
          </w:tcPr>
          <w:p w14:paraId="394DBE69" w14:textId="6335695A" w:rsidR="001502EA" w:rsidRPr="00171B07"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16"/>
                <w:szCs w:val="16"/>
              </w:rPr>
            </w:pPr>
            <w:r w:rsidRPr="001502EA">
              <w:rPr>
                <w:rFonts w:ascii="Times New Roman" w:eastAsia="Arial" w:hAnsi="Times New Roman" w:cs="Times New Roman"/>
                <w:sz w:val="16"/>
                <w:szCs w:val="16"/>
              </w:rPr>
              <w:t>Data from 2012-2023 showed that the peak amount of hazardous waste generated was in 2013, amounting to 8,976,955.99 tons</w:t>
            </w:r>
            <w:r w:rsidR="004C3B63">
              <w:rPr>
                <w:rFonts w:ascii="Times New Roman" w:eastAsia="Arial" w:hAnsi="Times New Roman" w:cs="Times New Roman"/>
                <w:sz w:val="16"/>
                <w:szCs w:val="16"/>
              </w:rPr>
              <w:t xml:space="preserve">. </w:t>
            </w:r>
            <w:r w:rsidRPr="001502EA">
              <w:rPr>
                <w:rFonts w:ascii="Times New Roman" w:eastAsia="Arial" w:hAnsi="Times New Roman" w:cs="Times New Roman"/>
                <w:sz w:val="16"/>
                <w:szCs w:val="16"/>
              </w:rPr>
              <w:t>It has declined to a mere 238,257.92 tons in 2023.</w:t>
            </w:r>
          </w:p>
        </w:tc>
        <w:tc>
          <w:tcPr>
            <w:tcW w:w="2772" w:type="dxa"/>
            <w:vAlign w:val="center"/>
          </w:tcPr>
          <w:p w14:paraId="768E892C" w14:textId="1509D7EB" w:rsidR="001502EA" w:rsidRPr="001502EA" w:rsidRDefault="001502EA" w:rsidP="00171B07">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This is one bright spot in an otherwise bleak picture of performance in all other areas</w:t>
            </w:r>
            <w:r w:rsidR="00171B07">
              <w:rPr>
                <w:rFonts w:ascii="Times New Roman" w:hAnsi="Times New Roman" w:cs="Times New Roman"/>
                <w:sz w:val="16"/>
                <w:szCs w:val="16"/>
              </w:rPr>
              <w:t>.</w:t>
            </w:r>
          </w:p>
        </w:tc>
      </w:tr>
      <w:tr w:rsidR="001502EA" w14:paraId="55767CAD" w14:textId="77777777" w:rsidTr="001502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5C6C34CF" w14:textId="2DECCCDD"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Oil Pollution</w:t>
            </w:r>
          </w:p>
        </w:tc>
        <w:tc>
          <w:tcPr>
            <w:tcW w:w="3464" w:type="dxa"/>
            <w:gridSpan w:val="3"/>
          </w:tcPr>
          <w:p w14:paraId="3E32E1E9"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p>
        </w:tc>
        <w:tc>
          <w:tcPr>
            <w:tcW w:w="2772" w:type="dxa"/>
          </w:tcPr>
          <w:p w14:paraId="41117306"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1FCD744A" w14:textId="77777777" w:rsidTr="00171B07">
        <w:tc>
          <w:tcPr>
            <w:cnfStyle w:val="001000000000" w:firstRow="0" w:lastRow="0" w:firstColumn="1" w:lastColumn="0" w:oddVBand="0" w:evenVBand="0" w:oddHBand="0" w:evenHBand="0" w:firstRowFirstColumn="0" w:firstRowLastColumn="0" w:lastRowFirstColumn="0" w:lastRowLastColumn="0"/>
            <w:tcW w:w="2835" w:type="dxa"/>
          </w:tcPr>
          <w:p w14:paraId="35B76480" w14:textId="77777777" w:rsidR="001502EA" w:rsidRPr="001502EA" w:rsidRDefault="001502EA" w:rsidP="001502EA">
            <w:pPr>
              <w:pStyle w:val="NoSpacing"/>
              <w:spacing w:line="276" w:lineRule="auto"/>
              <w:jc w:val="both"/>
              <w:rPr>
                <w:rFonts w:ascii="Times New Roman" w:hAnsi="Times New Roman" w:cs="Times New Roman"/>
                <w:sz w:val="16"/>
                <w:szCs w:val="16"/>
              </w:rPr>
            </w:pPr>
          </w:p>
        </w:tc>
        <w:tc>
          <w:tcPr>
            <w:tcW w:w="3464" w:type="dxa"/>
            <w:gridSpan w:val="3"/>
          </w:tcPr>
          <w:p w14:paraId="624023FC" w14:textId="2ABBE14C" w:rsidR="001502EA" w:rsidRPr="00171B07"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16"/>
                <w:szCs w:val="16"/>
              </w:rPr>
            </w:pPr>
            <w:r w:rsidRPr="001502EA">
              <w:rPr>
                <w:rFonts w:ascii="Times New Roman" w:eastAsia="Arial" w:hAnsi="Times New Roman" w:cs="Times New Roman"/>
                <w:sz w:val="16"/>
                <w:szCs w:val="16"/>
              </w:rPr>
              <w:t>Between 2000 and 2021, 467 oil spills were recorded in Philippine waters. Of these, 14 were classified as major spills (&gt;10,000 liters), 62 as medium spills (1,000-10,000 liters), 306 as minor spills (&lt;1,000 liters), while 85 were reported with undetermined volumes (Alea et al., 2022).</w:t>
            </w:r>
          </w:p>
        </w:tc>
        <w:tc>
          <w:tcPr>
            <w:tcW w:w="2772" w:type="dxa"/>
            <w:vAlign w:val="center"/>
          </w:tcPr>
          <w:p w14:paraId="51B17474" w14:textId="7D3691B0" w:rsidR="001502EA" w:rsidRPr="001502EA" w:rsidRDefault="001502EA" w:rsidP="00171B07">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These events are usually considered “acts of God” but the clean-up and compensation for the damage caused is another item that must be further assessed.</w:t>
            </w:r>
          </w:p>
        </w:tc>
      </w:tr>
      <w:tr w:rsidR="001502EA" w14:paraId="2D0CBF01" w14:textId="77777777" w:rsidTr="000D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74CCFD01" w14:textId="225A5B87" w:rsidR="001502EA" w:rsidRPr="001502EA" w:rsidRDefault="001502EA" w:rsidP="001502EA">
            <w:pPr>
              <w:pStyle w:val="NoSpacing"/>
              <w:spacing w:line="276" w:lineRule="auto"/>
              <w:jc w:val="both"/>
              <w:rPr>
                <w:rFonts w:ascii="Times New Roman" w:hAnsi="Times New Roman" w:cs="Times New Roman"/>
                <w:sz w:val="16"/>
                <w:szCs w:val="16"/>
              </w:rPr>
            </w:pPr>
            <w:r w:rsidRPr="001502EA">
              <w:rPr>
                <w:rFonts w:ascii="Times New Roman" w:hAnsi="Times New Roman" w:cs="Times New Roman"/>
                <w:sz w:val="16"/>
                <w:szCs w:val="16"/>
              </w:rPr>
              <w:t>Atmospheric Pollution</w:t>
            </w:r>
          </w:p>
        </w:tc>
        <w:tc>
          <w:tcPr>
            <w:tcW w:w="3464" w:type="dxa"/>
            <w:gridSpan w:val="3"/>
          </w:tcPr>
          <w:p w14:paraId="77131389"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16"/>
                <w:szCs w:val="16"/>
              </w:rPr>
            </w:pPr>
          </w:p>
        </w:tc>
        <w:tc>
          <w:tcPr>
            <w:tcW w:w="2772" w:type="dxa"/>
          </w:tcPr>
          <w:p w14:paraId="31E1587F" w14:textId="77777777" w:rsidR="001502EA" w:rsidRPr="001502EA" w:rsidRDefault="001502EA" w:rsidP="001502EA">
            <w:pPr>
              <w:pStyle w:val="NoSpacing"/>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1502EA" w14:paraId="513BC19D" w14:textId="77777777" w:rsidTr="000D52D7">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7F7F7F" w:themeColor="text1" w:themeTint="80"/>
              <w:bottom w:val="single" w:sz="12" w:space="0" w:color="auto"/>
            </w:tcBorders>
          </w:tcPr>
          <w:p w14:paraId="2DC05052" w14:textId="77777777" w:rsidR="001502EA" w:rsidRPr="001502EA" w:rsidRDefault="001502EA" w:rsidP="001502EA">
            <w:pPr>
              <w:pStyle w:val="NoSpacing"/>
              <w:spacing w:line="276" w:lineRule="auto"/>
              <w:jc w:val="both"/>
              <w:rPr>
                <w:rFonts w:ascii="Times New Roman" w:hAnsi="Times New Roman" w:cs="Times New Roman"/>
                <w:sz w:val="16"/>
                <w:szCs w:val="16"/>
              </w:rPr>
            </w:pPr>
          </w:p>
        </w:tc>
        <w:tc>
          <w:tcPr>
            <w:tcW w:w="3464" w:type="dxa"/>
            <w:gridSpan w:val="3"/>
            <w:tcBorders>
              <w:top w:val="single" w:sz="4" w:space="0" w:color="7F7F7F" w:themeColor="text1" w:themeTint="80"/>
              <w:bottom w:val="single" w:sz="12" w:space="0" w:color="auto"/>
            </w:tcBorders>
          </w:tcPr>
          <w:p w14:paraId="41C1A49D" w14:textId="2DE89EDC" w:rsidR="001502EA" w:rsidRPr="00171B07" w:rsidRDefault="001502EA" w:rsidP="001502EA">
            <w:pPr>
              <w:pStyle w:val="NoSpacing"/>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16"/>
                <w:szCs w:val="16"/>
              </w:rPr>
            </w:pPr>
            <w:r w:rsidRPr="001502EA">
              <w:rPr>
                <w:rFonts w:ascii="Times New Roman" w:eastAsia="Arial" w:hAnsi="Times New Roman" w:cs="Times New Roman"/>
                <w:sz w:val="16"/>
                <w:szCs w:val="16"/>
              </w:rPr>
              <w:t xml:space="preserve">The majority (56%) of these air pollutants is attributed to mobile sources such as cars, motorcycles, trucks, and buses, while thirty-five percent (35%) was contributed by stationary sources such as power plants and factories. The rest (9%) were from area sources such as construction activities, open burning of solid wastes, </w:t>
            </w:r>
            <w:r w:rsidR="005E2E69">
              <w:rPr>
                <w:rFonts w:ascii="Times New Roman" w:eastAsia="Arial" w:hAnsi="Times New Roman" w:cs="Times New Roman"/>
                <w:sz w:val="16"/>
                <w:szCs w:val="16"/>
              </w:rPr>
              <w:t xml:space="preserve">and </w:t>
            </w:r>
            <w:r w:rsidRPr="005E2E69">
              <w:rPr>
                <w:rFonts w:ascii="Times New Roman" w:eastAsia="Arial" w:hAnsi="Times New Roman" w:cs="Times New Roman"/>
                <w:i/>
                <w:iCs/>
                <w:sz w:val="16"/>
                <w:szCs w:val="16"/>
              </w:rPr>
              <w:t>kaingin</w:t>
            </w:r>
            <w:r w:rsidR="005E2E69">
              <w:rPr>
                <w:rFonts w:ascii="Times New Roman" w:eastAsia="Arial" w:hAnsi="Times New Roman" w:cs="Times New Roman"/>
                <w:sz w:val="16"/>
                <w:szCs w:val="16"/>
              </w:rPr>
              <w:t xml:space="preserve"> </w:t>
            </w:r>
            <w:r w:rsidRPr="001502EA">
              <w:rPr>
                <w:rFonts w:ascii="Times New Roman" w:eastAsia="Arial" w:hAnsi="Times New Roman" w:cs="Times New Roman"/>
                <w:sz w:val="16"/>
                <w:szCs w:val="16"/>
              </w:rPr>
              <w:t>in the upland, among others</w:t>
            </w:r>
            <w:r w:rsidR="00171B07">
              <w:rPr>
                <w:rFonts w:ascii="Times New Roman" w:eastAsia="Arial" w:hAnsi="Times New Roman" w:cs="Times New Roman"/>
                <w:sz w:val="16"/>
                <w:szCs w:val="16"/>
              </w:rPr>
              <w:t>.</w:t>
            </w:r>
          </w:p>
        </w:tc>
        <w:tc>
          <w:tcPr>
            <w:tcW w:w="2772" w:type="dxa"/>
            <w:tcBorders>
              <w:top w:val="single" w:sz="4" w:space="0" w:color="7F7F7F" w:themeColor="text1" w:themeTint="80"/>
              <w:bottom w:val="single" w:sz="12" w:space="0" w:color="auto"/>
            </w:tcBorders>
            <w:vAlign w:val="center"/>
          </w:tcPr>
          <w:p w14:paraId="3CD4F806" w14:textId="77777777" w:rsidR="001502EA" w:rsidRPr="001502EA" w:rsidRDefault="001502EA" w:rsidP="00171B07">
            <w:pPr>
              <w:pStyle w:val="NoSpacing"/>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1502EA">
              <w:rPr>
                <w:rFonts w:ascii="Times New Roman" w:hAnsi="Times New Roman" w:cs="Times New Roman"/>
                <w:sz w:val="16"/>
                <w:szCs w:val="16"/>
              </w:rPr>
              <w:t>Not clear from the data if the trend is increasing or decreasing</w:t>
            </w:r>
          </w:p>
        </w:tc>
      </w:tr>
    </w:tbl>
    <w:p w14:paraId="4B61F317" w14:textId="77777777" w:rsidR="0055635F" w:rsidRDefault="0055635F" w:rsidP="00F467CC">
      <w:pPr>
        <w:ind w:firstLine="0"/>
        <w:rPr>
          <w:sz w:val="18"/>
          <w:szCs w:val="18"/>
        </w:rPr>
      </w:pPr>
    </w:p>
    <w:p w14:paraId="66B342C4" w14:textId="77777777" w:rsidR="0055635F" w:rsidRDefault="0055635F" w:rsidP="0055635F">
      <w:pPr>
        <w:pStyle w:val="Heading2"/>
      </w:pPr>
      <w:r>
        <w:br w:type="page"/>
      </w:r>
    </w:p>
    <w:p w14:paraId="25E27649" w14:textId="7F6B8EB1" w:rsidR="00D216C3" w:rsidRDefault="0055635F" w:rsidP="00D216C3">
      <w:pPr>
        <w:pStyle w:val="Heading2"/>
        <w:jc w:val="center"/>
      </w:pPr>
      <w:bookmarkStart w:id="25" w:name="_Toc215447073"/>
      <w:r>
        <w:lastRenderedPageBreak/>
        <w:t>Annex 6.G. Recommendations on Governance from the National Validation Workshop, 12-14 Nov 2025</w:t>
      </w:r>
      <w:bookmarkEnd w:id="25"/>
    </w:p>
    <w:p w14:paraId="653AB185" w14:textId="1C426DAB" w:rsidR="00D216C3" w:rsidRDefault="00D216C3" w:rsidP="00D216C3">
      <w:pPr>
        <w:spacing w:line="240" w:lineRule="auto"/>
        <w:ind w:firstLine="0"/>
        <w:rPr>
          <w:rFonts w:eastAsia="Aptos"/>
          <w:lang w:val="en-ID" w:eastAsia="en-PH"/>
        </w:rPr>
      </w:pPr>
      <w:r w:rsidRPr="00264778">
        <w:rPr>
          <w:rFonts w:eastAsia="Aptos"/>
          <w:u w:val="single"/>
          <w:lang w:val="en-ID" w:eastAsia="en-PH"/>
        </w:rPr>
        <w:t>Breakout session questions</w:t>
      </w:r>
      <w:r>
        <w:rPr>
          <w:rFonts w:eastAsia="Aptos"/>
          <w:lang w:val="en-ID" w:eastAsia="en-PH"/>
        </w:rPr>
        <w:t>:</w:t>
      </w:r>
    </w:p>
    <w:p w14:paraId="18A3F6AB" w14:textId="77777777" w:rsidR="00D216C3" w:rsidRPr="00D216C3" w:rsidRDefault="00D216C3" w:rsidP="00D216C3">
      <w:pPr>
        <w:ind w:firstLine="0"/>
        <w:rPr>
          <w:rFonts w:eastAsia="Aptos"/>
        </w:rPr>
      </w:pPr>
    </w:p>
    <w:p w14:paraId="7BE0A19D" w14:textId="77777777" w:rsidR="00D216C3" w:rsidRPr="005B5D03" w:rsidRDefault="00D216C3" w:rsidP="00D216C3">
      <w:pPr>
        <w:pStyle w:val="ListParagraph"/>
        <w:numPr>
          <w:ilvl w:val="0"/>
          <w:numId w:val="112"/>
        </w:numPr>
        <w:spacing w:line="240" w:lineRule="auto"/>
        <w:rPr>
          <w:rFonts w:eastAsia="Aptos"/>
          <w:lang w:val="en-ID" w:eastAsia="en-PH"/>
        </w:rPr>
      </w:pPr>
      <w:r w:rsidRPr="005B5D03">
        <w:rPr>
          <w:rFonts w:eastAsia="Aptos"/>
          <w:lang w:val="en-ID" w:eastAsia="en-PH"/>
        </w:rPr>
        <w:t>How do we build the capacity of LGUs towards an effective and sustained pollution control and management and ICM implementation?</w:t>
      </w:r>
    </w:p>
    <w:p w14:paraId="73A4EEBB" w14:textId="77777777" w:rsidR="00D216C3" w:rsidRPr="005B5D03" w:rsidRDefault="00D216C3" w:rsidP="00D216C3">
      <w:pPr>
        <w:spacing w:line="240" w:lineRule="auto"/>
        <w:rPr>
          <w:rFonts w:eastAsia="Aptos"/>
          <w:lang w:val="en-ID" w:eastAsia="en-PH"/>
        </w:rPr>
      </w:pPr>
    </w:p>
    <w:p w14:paraId="19676EF4" w14:textId="77777777" w:rsidR="00D216C3" w:rsidRPr="005B5D03" w:rsidRDefault="00D216C3" w:rsidP="00D216C3">
      <w:pPr>
        <w:pStyle w:val="ListParagraph"/>
        <w:numPr>
          <w:ilvl w:val="0"/>
          <w:numId w:val="112"/>
        </w:numPr>
        <w:spacing w:line="240" w:lineRule="auto"/>
        <w:rPr>
          <w:rFonts w:eastAsia="Aptos"/>
          <w:lang w:val="en-ID" w:eastAsia="en-PH"/>
        </w:rPr>
      </w:pPr>
      <w:r w:rsidRPr="005B5D03">
        <w:rPr>
          <w:rFonts w:eastAsia="Aptos"/>
          <w:lang w:val="en-ID" w:eastAsia="en-PH"/>
        </w:rPr>
        <w:t>How do we ensure continuity in the efforts of national agencies and LGUs?</w:t>
      </w:r>
    </w:p>
    <w:p w14:paraId="30183339" w14:textId="77777777" w:rsidR="00D216C3" w:rsidRPr="005B5D03" w:rsidRDefault="00D216C3" w:rsidP="00D216C3">
      <w:pPr>
        <w:spacing w:line="240" w:lineRule="auto"/>
        <w:rPr>
          <w:rFonts w:eastAsia="Aptos"/>
          <w:lang w:val="en-ID" w:eastAsia="en-PH"/>
        </w:rPr>
      </w:pPr>
    </w:p>
    <w:p w14:paraId="2B71EE78" w14:textId="048DA1DC" w:rsidR="00D216C3" w:rsidRDefault="00D216C3" w:rsidP="00D216C3">
      <w:pPr>
        <w:pStyle w:val="ListParagraph"/>
        <w:numPr>
          <w:ilvl w:val="0"/>
          <w:numId w:val="112"/>
        </w:numPr>
        <w:spacing w:line="240" w:lineRule="auto"/>
        <w:rPr>
          <w:rFonts w:eastAsia="Aptos"/>
          <w:lang w:val="en-ID" w:eastAsia="en-PH"/>
        </w:rPr>
      </w:pPr>
      <w:r w:rsidRPr="005B5D03">
        <w:rPr>
          <w:rFonts w:eastAsia="Aptos"/>
          <w:lang w:val="en-ID" w:eastAsia="en-PH"/>
        </w:rPr>
        <w:t>What are the ways to ensure effective coordination across various agencies and various efforts in many areas in relation to pollution control and management ICM?</w:t>
      </w:r>
    </w:p>
    <w:p w14:paraId="6371906B" w14:textId="77777777" w:rsidR="00D216C3" w:rsidRPr="00D216C3" w:rsidRDefault="00D216C3" w:rsidP="00D216C3">
      <w:pPr>
        <w:pStyle w:val="ListParagraph"/>
        <w:rPr>
          <w:rFonts w:eastAsia="Aptos"/>
          <w:lang w:val="en-ID" w:eastAsia="en-PH"/>
        </w:rPr>
      </w:pPr>
    </w:p>
    <w:p w14:paraId="795ED0A9" w14:textId="015D9D63" w:rsidR="00D216C3" w:rsidRPr="00264778" w:rsidRDefault="00D216C3" w:rsidP="00D216C3">
      <w:pPr>
        <w:spacing w:line="240" w:lineRule="auto"/>
        <w:ind w:firstLine="0"/>
        <w:rPr>
          <w:rFonts w:eastAsia="Aptos"/>
          <w:u w:val="single"/>
          <w:lang w:val="en-ID" w:eastAsia="en-PH"/>
        </w:rPr>
      </w:pPr>
      <w:r w:rsidRPr="00264778">
        <w:rPr>
          <w:rFonts w:eastAsia="Aptos"/>
          <w:u w:val="single"/>
          <w:lang w:val="en-ID" w:eastAsia="en-PH"/>
        </w:rPr>
        <w:t xml:space="preserve">Key Recommendations generated from the </w:t>
      </w:r>
      <w:r>
        <w:rPr>
          <w:rFonts w:eastAsia="Aptos"/>
          <w:u w:val="single"/>
          <w:lang w:val="en-ID" w:eastAsia="en-PH"/>
        </w:rPr>
        <w:t xml:space="preserve">breakout session </w:t>
      </w:r>
      <w:r w:rsidRPr="00264778">
        <w:rPr>
          <w:rFonts w:eastAsia="Aptos"/>
          <w:u w:val="single"/>
          <w:lang w:val="en-ID" w:eastAsia="en-PH"/>
        </w:rPr>
        <w:t>questions</w:t>
      </w:r>
      <w:r>
        <w:rPr>
          <w:rFonts w:eastAsia="Aptos"/>
          <w:u w:val="single"/>
          <w:lang w:val="en-ID" w:eastAsia="en-PH"/>
        </w:rPr>
        <w:t>:</w:t>
      </w:r>
    </w:p>
    <w:p w14:paraId="7C1DD48F" w14:textId="77777777" w:rsidR="0055635F" w:rsidRPr="0055635F" w:rsidRDefault="0055635F" w:rsidP="00D216C3">
      <w:pPr>
        <w:ind w:firstLine="0"/>
      </w:pPr>
    </w:p>
    <w:p w14:paraId="0162FFCA" w14:textId="77777777" w:rsidR="00D216C3" w:rsidRDefault="00D216C3" w:rsidP="00D216C3">
      <w:pPr>
        <w:ind w:firstLine="0"/>
        <w:jc w:val="center"/>
        <w:rPr>
          <w:sz w:val="18"/>
          <w:szCs w:val="18"/>
        </w:rPr>
      </w:pPr>
      <w:r>
        <w:rPr>
          <w:rFonts w:eastAsia="Aptos"/>
          <w:noProof/>
          <w:lang w:val="en-ID" w:eastAsia="en-PH"/>
        </w:rPr>
        <w:drawing>
          <wp:inline distT="0" distB="0" distL="0" distR="0" wp14:anchorId="48B0B866" wp14:editId="3E9F06A8">
            <wp:extent cx="5717595" cy="3216306"/>
            <wp:effectExtent l="0" t="0" r="0" b="3175"/>
            <wp:docPr id="17224056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54187" cy="3236890"/>
                    </a:xfrm>
                    <a:prstGeom prst="rect">
                      <a:avLst/>
                    </a:prstGeom>
                    <a:noFill/>
                  </pic:spPr>
                </pic:pic>
              </a:graphicData>
            </a:graphic>
          </wp:inline>
        </w:drawing>
      </w:r>
    </w:p>
    <w:p w14:paraId="4797441B" w14:textId="77777777" w:rsidR="00D216C3" w:rsidRDefault="00D216C3" w:rsidP="00D216C3">
      <w:pPr>
        <w:ind w:firstLine="0"/>
        <w:rPr>
          <w:sz w:val="18"/>
          <w:szCs w:val="18"/>
        </w:rPr>
      </w:pPr>
    </w:p>
    <w:p w14:paraId="2A1E7ABD" w14:textId="5FCF3F90" w:rsidR="00D216C3" w:rsidRPr="007C2618" w:rsidRDefault="00D216C3" w:rsidP="00D216C3">
      <w:pPr>
        <w:spacing w:after="240" w:line="276" w:lineRule="auto"/>
        <w:rPr>
          <w:rFonts w:eastAsia="Aptos"/>
          <w:lang w:val="en-ID" w:eastAsia="en-PH"/>
        </w:rPr>
      </w:pPr>
      <w:r>
        <w:rPr>
          <w:rFonts w:eastAsia="Aptos"/>
          <w:lang w:val="en-ID" w:eastAsia="en-PH"/>
        </w:rPr>
        <w:t xml:space="preserve">From the discussions that preceded the break-out session, it was emphasized by the participants that the capacity development efforts to enhance governance over-all should be one that may be described as </w:t>
      </w:r>
      <w:r w:rsidRPr="00B27CF1">
        <w:rPr>
          <w:rFonts w:eastAsia="Aptos"/>
          <w:b/>
          <w:bCs/>
          <w:lang w:val="en-ID" w:eastAsia="en-PH"/>
        </w:rPr>
        <w:t>CUMULATIVE</w:t>
      </w:r>
      <w:r>
        <w:rPr>
          <w:rFonts w:eastAsia="Aptos"/>
          <w:lang w:val="en-ID" w:eastAsia="en-PH"/>
        </w:rPr>
        <w:t xml:space="preserve"> where the trainings are of a continuous character preferably with the same set of participants for the duration of the capacity building effort.  Then,  to avoid the pitfalls commonly experienced when political leaders at the local level may have differing ideas from their predecessors who may have initiated good governance efforts, it was suggested to zero in on </w:t>
      </w:r>
      <w:r w:rsidRPr="00B27CF1">
        <w:rPr>
          <w:rFonts w:eastAsia="Aptos"/>
          <w:b/>
          <w:bCs/>
          <w:lang w:val="en-ID" w:eastAsia="en-PH"/>
        </w:rPr>
        <w:t>ADMINISTRATIVE CONTINUITY</w:t>
      </w:r>
      <w:r>
        <w:rPr>
          <w:rFonts w:eastAsia="Aptos"/>
          <w:b/>
          <w:bCs/>
          <w:lang w:val="en-ID" w:eastAsia="en-PH"/>
        </w:rPr>
        <w:t xml:space="preserve"> </w:t>
      </w:r>
      <w:r>
        <w:rPr>
          <w:rFonts w:eastAsia="Aptos"/>
          <w:lang w:val="en-ID" w:eastAsia="en-PH"/>
        </w:rPr>
        <w:t xml:space="preserve">such that whatever may be the outcomes of political exercises that result in changes in political leaders, at least all the efforts initiated from previous local leaders should at least be guaranteed a higher degree of stability and build-up of implementation to ensure that whatever gains may have been secured are not set aside just because it has not been initiated by the current political leader. Finally, given that coordination between and among various local authorities including also vis-à-vis local and national authorities, the participants underlined the importance of not doing coordination for coordination’s sake but to instead have that goal-focused approach or </w:t>
      </w:r>
      <w:r w:rsidRPr="00B27CF1">
        <w:rPr>
          <w:rFonts w:eastAsia="Aptos"/>
          <w:b/>
          <w:bCs/>
          <w:lang w:val="en-ID" w:eastAsia="en-PH"/>
        </w:rPr>
        <w:t>RESULT-ORIENTED</w:t>
      </w:r>
      <w:r>
        <w:rPr>
          <w:rFonts w:eastAsia="Aptos"/>
          <w:lang w:val="en-ID" w:eastAsia="en-PH"/>
        </w:rPr>
        <w:t xml:space="preserve"> effort to it all in the interest of maximizing whatever activities that may be initiated in the area of coastal and marine management and land-based pollution.</w:t>
      </w:r>
    </w:p>
    <w:p w14:paraId="2D3DEA71" w14:textId="78834A88" w:rsidR="00D216C3" w:rsidRDefault="00D216C3" w:rsidP="00D216C3">
      <w:pPr>
        <w:spacing w:after="240" w:line="276" w:lineRule="auto"/>
        <w:rPr>
          <w:rFonts w:eastAsia="Aptos"/>
          <w:lang w:val="en-ID" w:eastAsia="en-PH"/>
        </w:rPr>
      </w:pPr>
      <w:r>
        <w:rPr>
          <w:rFonts w:eastAsia="Aptos"/>
          <w:lang w:val="en-ID" w:eastAsia="en-PH"/>
        </w:rPr>
        <w:t xml:space="preserve">In addition to the above recommendations shown in the graphic, there were further recommendations on fisheries and science, technology and innovation but the important area of intervention that cuts across these key </w:t>
      </w:r>
      <w:r>
        <w:rPr>
          <w:rFonts w:eastAsia="Aptos"/>
          <w:lang w:val="en-ID" w:eastAsia="en-PH"/>
        </w:rPr>
        <w:lastRenderedPageBreak/>
        <w:t xml:space="preserve">recommendations above involve the matter of incentives for good </w:t>
      </w:r>
      <w:proofErr w:type="spellStart"/>
      <w:r>
        <w:rPr>
          <w:rFonts w:eastAsia="Aptos"/>
          <w:lang w:val="en-ID" w:eastAsia="en-PH"/>
        </w:rPr>
        <w:t>behavior</w:t>
      </w:r>
      <w:proofErr w:type="spellEnd"/>
      <w:r>
        <w:rPr>
          <w:rFonts w:eastAsia="Aptos"/>
          <w:lang w:val="en-ID" w:eastAsia="en-PH"/>
        </w:rPr>
        <w:t xml:space="preserve"> which range from mobilizing resources so that the good practices for coastal and resource management are sustained and these resources range from those that are available at the international level like the funds provided by the Green Climate Fund and the Fund for Responding to Loss and Damage under the UN Framework Convention on Climate Change or payments for ecosystem services which are established at the local level by resource users and affected communities. Then there is also the usual application of sanctions provided by law to erring local government units especially those that involve the misuse of public easements on coastal and foreshore sites and locations including referral to the Environmental Ombudsman.</w:t>
      </w:r>
    </w:p>
    <w:p w14:paraId="3B57B90F" w14:textId="0B35170B" w:rsidR="004C3B63" w:rsidRDefault="00D216C3" w:rsidP="00D216C3">
      <w:pPr>
        <w:spacing w:after="240" w:line="276" w:lineRule="auto"/>
        <w:rPr>
          <w:rFonts w:eastAsia="Aptos"/>
          <w:lang w:val="en-ID" w:eastAsia="en-PH"/>
        </w:rPr>
      </w:pPr>
      <w:r>
        <w:rPr>
          <w:rFonts w:eastAsia="Aptos"/>
          <w:lang w:val="en-ID" w:eastAsia="en-PH"/>
        </w:rPr>
        <w:t>There was also a bonus question relating to what other areas may be added for consideration in the purported adoption of a national legislative measure on the BLUE ECONOMY (as typified by House Bill No. 1158 by Rep. Benitez under the 20</w:t>
      </w:r>
      <w:r w:rsidRPr="000079EF">
        <w:rPr>
          <w:rFonts w:eastAsia="Aptos"/>
          <w:vertAlign w:val="superscript"/>
          <w:lang w:val="en-ID" w:eastAsia="en-PH"/>
        </w:rPr>
        <w:t>th</w:t>
      </w:r>
      <w:r>
        <w:rPr>
          <w:rFonts w:eastAsia="Aptos"/>
          <w:lang w:val="en-ID" w:eastAsia="en-PH"/>
        </w:rPr>
        <w:t xml:space="preserve"> Congress) and the group suggested two items: one, h</w:t>
      </w:r>
      <w:r w:rsidRPr="000079EF">
        <w:rPr>
          <w:rFonts w:eastAsia="Aptos"/>
          <w:lang w:val="en-ID" w:eastAsia="en-PH"/>
        </w:rPr>
        <w:t xml:space="preserve">ow to connect communities outside of </w:t>
      </w:r>
      <w:r>
        <w:rPr>
          <w:rFonts w:eastAsia="Aptos"/>
          <w:lang w:val="en-ID" w:eastAsia="en-PH"/>
        </w:rPr>
        <w:t>protected areas; and  two, h</w:t>
      </w:r>
      <w:r w:rsidRPr="000079EF">
        <w:rPr>
          <w:rFonts w:eastAsia="Aptos"/>
          <w:lang w:val="en-ID" w:eastAsia="en-PH"/>
        </w:rPr>
        <w:t>ow to incentivize and organize the communities</w:t>
      </w:r>
      <w:r>
        <w:rPr>
          <w:rFonts w:eastAsia="Aptos"/>
          <w:lang w:val="en-ID" w:eastAsia="en-PH"/>
        </w:rPr>
        <w:t xml:space="preserve"> such that they may be able to actively participate and be involved in all the other components of the Blue Economy.</w:t>
      </w:r>
      <w:r w:rsidR="004C3B63">
        <w:rPr>
          <w:rFonts w:eastAsia="Aptos"/>
          <w:lang w:val="en-ID" w:eastAsia="en-PH"/>
        </w:rPr>
        <w:br w:type="page"/>
      </w:r>
    </w:p>
    <w:p w14:paraId="4FA7F7CF" w14:textId="69A048E5" w:rsidR="004C3B63" w:rsidRDefault="004C3B63" w:rsidP="00DB5C08">
      <w:pPr>
        <w:pStyle w:val="Heading2"/>
        <w:spacing w:line="276" w:lineRule="auto"/>
        <w:jc w:val="center"/>
      </w:pPr>
      <w:bookmarkStart w:id="26" w:name="_Toc215447074"/>
      <w:r>
        <w:lastRenderedPageBreak/>
        <w:t>Annex 6.H. Supplementary Materials</w:t>
      </w:r>
      <w:bookmarkEnd w:id="26"/>
    </w:p>
    <w:p w14:paraId="20E315D9" w14:textId="77777777" w:rsidR="00DB5C08" w:rsidRPr="00DB5C08" w:rsidRDefault="00DB5C08" w:rsidP="00DB5C08">
      <w:pPr>
        <w:spacing w:line="240" w:lineRule="auto"/>
        <w:ind w:firstLine="0"/>
        <w:jc w:val="center"/>
        <w:rPr>
          <w:rFonts w:eastAsia="Aptos"/>
          <w:b/>
          <w:bCs/>
          <w:lang w:val="en-ID" w:eastAsia="en-PH"/>
        </w:rPr>
      </w:pPr>
      <w:r w:rsidRPr="00DB5C08">
        <w:rPr>
          <w:rFonts w:eastAsia="Aptos"/>
          <w:b/>
          <w:bCs/>
          <w:lang w:val="en-ID" w:eastAsia="en-PH"/>
        </w:rPr>
        <w:t>Progress in Sustainable Development Goals</w:t>
      </w:r>
    </w:p>
    <w:p w14:paraId="786DA1BF" w14:textId="77777777" w:rsidR="00DB5C08" w:rsidRPr="00DB5C08" w:rsidRDefault="00DB5C08" w:rsidP="00DB5C08"/>
    <w:p w14:paraId="7BA8F898" w14:textId="58D75EA2" w:rsidR="004C3B63" w:rsidRPr="00DB5C08" w:rsidRDefault="004C3B63" w:rsidP="00DB5C08">
      <w:pPr>
        <w:spacing w:after="240" w:line="276" w:lineRule="auto"/>
        <w:ind w:firstLine="0"/>
        <w:rPr>
          <w:b/>
          <w:bCs/>
        </w:rPr>
      </w:pPr>
      <w:r w:rsidRPr="00DB5C08">
        <w:rPr>
          <w:b/>
          <w:bCs/>
        </w:rPr>
        <w:t>Supplementary Material A</w:t>
      </w:r>
    </w:p>
    <w:p w14:paraId="13F807FC" w14:textId="77777777" w:rsidR="00DB5C08" w:rsidRPr="00DB5C08" w:rsidRDefault="00DB5C08" w:rsidP="00DB5C08">
      <w:pPr>
        <w:spacing w:line="276" w:lineRule="auto"/>
        <w:ind w:firstLine="0"/>
        <w:rPr>
          <w:rFonts w:eastAsia="Aptos"/>
          <w:u w:val="single"/>
          <w:lang w:val="en-ID" w:eastAsia="en-PH"/>
        </w:rPr>
      </w:pPr>
      <w:r w:rsidRPr="00DB5C08">
        <w:rPr>
          <w:rFonts w:eastAsia="Aptos"/>
          <w:u w:val="single"/>
          <w:lang w:val="en-ID" w:eastAsia="en-PH"/>
        </w:rPr>
        <w:t>Progress on Sustainable Development Goals</w:t>
      </w:r>
    </w:p>
    <w:p w14:paraId="2D571654" w14:textId="77777777" w:rsidR="00DB5C08" w:rsidRPr="00AE5D7F" w:rsidRDefault="00DB5C08" w:rsidP="00DB5C08">
      <w:pPr>
        <w:spacing w:line="276" w:lineRule="auto"/>
        <w:rPr>
          <w:rFonts w:eastAsia="Aptos"/>
          <w:i/>
          <w:iCs/>
          <w:lang w:val="en-ID" w:eastAsia="en-PH"/>
        </w:rPr>
      </w:pPr>
    </w:p>
    <w:p w14:paraId="01006ECF" w14:textId="7A80F5D6" w:rsidR="00DB5C08" w:rsidRPr="00AE5D7F" w:rsidRDefault="00DB5C08" w:rsidP="00DB5C08">
      <w:pPr>
        <w:spacing w:line="276" w:lineRule="auto"/>
        <w:rPr>
          <w:rFonts w:eastAsia="Aptos"/>
          <w:lang w:val="en-ID" w:eastAsia="en-PH"/>
        </w:rPr>
      </w:pPr>
      <w:r w:rsidRPr="00AE5D7F">
        <w:rPr>
          <w:rFonts w:eastAsia="Aptos"/>
          <w:lang w:val="en-ID" w:eastAsia="en-PH"/>
        </w:rPr>
        <w:t>The Philippines is on track towards meeting SDG Goal 14.5 conservation of coastal areas as well as Target 14.5.1 on establishment of marine protected areas (Philippine Statistics Authority, 2025). Although in 2020, the country reported protecting 9.7% of its seascapes, narrowly missing its commitment under the Convention on Biological Diversity’s Aichi Biodiversity Targets to protect 10% of coastal and marine areas by 2020 (Chavez, 2021)</w:t>
      </w:r>
    </w:p>
    <w:p w14:paraId="08A7A9F5" w14:textId="77777777" w:rsidR="00DB5C08" w:rsidRDefault="00DB5C08" w:rsidP="00DB5C08">
      <w:pPr>
        <w:spacing w:line="276" w:lineRule="auto"/>
        <w:rPr>
          <w:rFonts w:eastAsia="Aptos"/>
          <w:lang w:val="en-ID" w:eastAsia="en-PH"/>
        </w:rPr>
      </w:pPr>
    </w:p>
    <w:p w14:paraId="232FDCAC" w14:textId="77777777" w:rsidR="00DB5C08" w:rsidRPr="00DB5C08" w:rsidRDefault="00DB5C08" w:rsidP="00DB5C08">
      <w:pPr>
        <w:spacing w:line="276" w:lineRule="auto"/>
        <w:ind w:firstLine="0"/>
        <w:rPr>
          <w:rFonts w:eastAsia="Aptos"/>
          <w:u w:val="single"/>
          <w:lang w:val="en-ID" w:eastAsia="en-PH"/>
        </w:rPr>
      </w:pPr>
      <w:r w:rsidRPr="00DB5C08">
        <w:rPr>
          <w:rFonts w:eastAsia="Aptos"/>
          <w:u w:val="single"/>
          <w:lang w:val="en-ID" w:eastAsia="en-PH"/>
        </w:rPr>
        <w:t>SDG 6.5.1: Integrated Water Resources Management (IWRM)</w:t>
      </w:r>
    </w:p>
    <w:p w14:paraId="7E316818" w14:textId="77777777" w:rsidR="00DB5C08" w:rsidRDefault="00DB5C08" w:rsidP="00DB5C08">
      <w:pPr>
        <w:spacing w:line="276" w:lineRule="auto"/>
        <w:rPr>
          <w:rFonts w:eastAsia="Aptos"/>
          <w:lang w:val="en-ID" w:eastAsia="en-PH"/>
        </w:rPr>
      </w:pPr>
    </w:p>
    <w:p w14:paraId="48734C5A" w14:textId="77777777" w:rsidR="00DB5C08" w:rsidRPr="00AE5D7F" w:rsidRDefault="00DB5C08" w:rsidP="00DB5C08">
      <w:pPr>
        <w:spacing w:line="276" w:lineRule="auto"/>
        <w:rPr>
          <w:rFonts w:eastAsia="Aptos"/>
          <w:lang w:val="en-ID" w:eastAsia="en-PH"/>
        </w:rPr>
      </w:pPr>
      <w:r w:rsidRPr="00AE5D7F">
        <w:rPr>
          <w:rFonts w:eastAsia="Aptos"/>
          <w:lang w:val="en-ID" w:eastAsia="en-PH"/>
        </w:rPr>
        <w:t xml:space="preserve">The Philippines' progress on IWRM, which connects water management from source to sea, is crucial for coastal health. The most recent official assessment submitted to the UN-Water platform (2021 data) scored the Philippines at 51 out of 100 for IWRM implementation. (UN Water, 2023) This indicates that while the country has a foundational framework, including the National Water Resources Board (NWRB), the integration between national policies and local government implementation is not yet fully effective. </w:t>
      </w:r>
      <w:r w:rsidRPr="00AE5D7F">
        <w:rPr>
          <w:rFonts w:eastAsia="Aptos"/>
          <w:b/>
          <w:bCs/>
          <w:lang w:val="en-ID" w:eastAsia="en-PH"/>
        </w:rPr>
        <w:t>The lack of a unified governing body for water</w:t>
      </w:r>
      <w:r w:rsidRPr="00AE5D7F">
        <w:rPr>
          <w:rFonts w:eastAsia="Aptos"/>
          <w:lang w:val="en-ID" w:eastAsia="en-PH"/>
        </w:rPr>
        <w:t xml:space="preserve"> remains a significant legislative hurdle to advancing integrated management.</w:t>
      </w:r>
    </w:p>
    <w:p w14:paraId="0A450306" w14:textId="77777777" w:rsidR="00DB5C08" w:rsidRDefault="00DB5C08" w:rsidP="00DB5C08">
      <w:pPr>
        <w:spacing w:line="276" w:lineRule="auto"/>
        <w:rPr>
          <w:rFonts w:eastAsia="Aptos"/>
          <w:lang w:val="en-ID" w:eastAsia="en-PH"/>
        </w:rPr>
      </w:pPr>
    </w:p>
    <w:p w14:paraId="1491A6FE" w14:textId="77777777" w:rsidR="00DB5C08" w:rsidRPr="00D55B7A" w:rsidRDefault="00DB5C08" w:rsidP="00DB5C08">
      <w:pPr>
        <w:spacing w:line="276" w:lineRule="auto"/>
        <w:rPr>
          <w:rFonts w:eastAsia="Aptos"/>
          <w:lang w:val="en-ID" w:eastAsia="en-PH"/>
        </w:rPr>
      </w:pPr>
      <w:r w:rsidRPr="00AE5D7F">
        <w:rPr>
          <w:rFonts w:eastAsia="Aptos"/>
          <w:lang w:val="en-ID" w:eastAsia="en-PH"/>
        </w:rPr>
        <w:t xml:space="preserve">In spite of these seemingly established frameworks and structures and apparent progress in attaining the SDG Goals, this institutional infrastructure for coastal and resource management is still constrained by a </w:t>
      </w:r>
      <w:r w:rsidRPr="00AE5D7F">
        <w:rPr>
          <w:rFonts w:eastAsia="Aptos"/>
          <w:b/>
          <w:bCs/>
          <w:lang w:val="en-ID" w:eastAsia="en-PH"/>
        </w:rPr>
        <w:t xml:space="preserve">continuing lack of integrated and collaborative efforts </w:t>
      </w:r>
      <w:r w:rsidRPr="00AE5D7F">
        <w:rPr>
          <w:rFonts w:eastAsia="Aptos"/>
          <w:lang w:val="en-ID" w:eastAsia="en-PH"/>
        </w:rPr>
        <w:t xml:space="preserve">(White, et.al., 2006), </w:t>
      </w:r>
      <w:r w:rsidRPr="00AE5D7F">
        <w:rPr>
          <w:rFonts w:eastAsia="Aptos"/>
          <w:b/>
          <w:bCs/>
          <w:lang w:val="en-ID" w:eastAsia="en-PH"/>
        </w:rPr>
        <w:t>weakness in enforcement</w:t>
      </w:r>
      <w:r w:rsidRPr="00AE5D7F">
        <w:rPr>
          <w:rFonts w:eastAsia="Aptos"/>
          <w:lang w:val="en-ID" w:eastAsia="en-PH"/>
        </w:rPr>
        <w:t xml:space="preserve"> due to several factors such as resource scarcity (Milne and Christie, 2005</w:t>
      </w:r>
      <w:r w:rsidRPr="00AE5D7F">
        <w:rPr>
          <w:rFonts w:eastAsia="Aptos"/>
          <w:b/>
          <w:bCs/>
          <w:lang w:val="en-ID" w:eastAsia="en-PH"/>
        </w:rPr>
        <w:t>), capacity gaps and legal hurdles</w:t>
      </w:r>
      <w:r w:rsidRPr="00AE5D7F">
        <w:rPr>
          <w:rFonts w:eastAsia="Aptos"/>
          <w:lang w:val="en-ID" w:eastAsia="en-PH"/>
        </w:rPr>
        <w:t xml:space="preserve"> such as the documented lack of training and expertise among many local enforcers, police, public prosecutors, and judges regarding the technicalities of environmental law (</w:t>
      </w:r>
      <w:proofErr w:type="spellStart"/>
      <w:r w:rsidRPr="00AE5D7F">
        <w:rPr>
          <w:rFonts w:eastAsia="Aptos"/>
          <w:lang w:val="en-ID" w:eastAsia="en-PH"/>
        </w:rPr>
        <w:t>Galveia</w:t>
      </w:r>
      <w:proofErr w:type="spellEnd"/>
      <w:r w:rsidRPr="00AE5D7F">
        <w:rPr>
          <w:rFonts w:eastAsia="Aptos"/>
          <w:lang w:val="en-ID" w:eastAsia="en-PH"/>
        </w:rPr>
        <w:t xml:space="preserve"> and </w:t>
      </w:r>
      <w:proofErr w:type="spellStart"/>
      <w:r w:rsidRPr="00AE5D7F">
        <w:rPr>
          <w:rFonts w:eastAsia="Aptos"/>
          <w:lang w:val="en-ID" w:eastAsia="en-PH"/>
        </w:rPr>
        <w:t>Macusi</w:t>
      </w:r>
      <w:proofErr w:type="spellEnd"/>
      <w:r w:rsidRPr="00AE5D7F">
        <w:rPr>
          <w:rFonts w:eastAsia="Aptos"/>
          <w:lang w:val="en-ID" w:eastAsia="en-PH"/>
        </w:rPr>
        <w:t xml:space="preserve">, 2025), and </w:t>
      </w:r>
      <w:r w:rsidRPr="00AE5D7F">
        <w:rPr>
          <w:rFonts w:eastAsia="Aptos"/>
          <w:b/>
          <w:bCs/>
          <w:lang w:val="en-ID" w:eastAsia="en-PH"/>
        </w:rPr>
        <w:t>socio-economic realities</w:t>
      </w:r>
      <w:r w:rsidRPr="00AE5D7F">
        <w:rPr>
          <w:rFonts w:eastAsia="Aptos"/>
          <w:lang w:val="en-ID" w:eastAsia="en-PH"/>
        </w:rPr>
        <w:t xml:space="preserve"> where many impoverished, small-scale fishers, engage  in illegal or destructive fishing methods as a matter of survival, especially in the face of declining legal catch confirmed by a recent BFAR report on illegal, unreported and unregulated (IUU)IUU fishing where the majority of local government units</w:t>
      </w:r>
      <w:r>
        <w:rPr>
          <w:rFonts w:eastAsia="Aptos"/>
          <w:lang w:val="en-ID" w:eastAsia="en-PH"/>
        </w:rPr>
        <w:t xml:space="preserve"> </w:t>
      </w:r>
      <w:r w:rsidRPr="00AE5D7F">
        <w:rPr>
          <w:rFonts w:eastAsia="Aptos"/>
          <w:lang w:val="en-ID" w:eastAsia="en-PH"/>
        </w:rPr>
        <w:t xml:space="preserve"> reported that illegal fishing remained to be a critical challenge as there are many repeat offenders who might not have faced significant accountability or received only minor sanctions. (DA-BFAR, 2024). Underpinning all other constraints is the fundamental and chronic failure to adequately finance coastal and marine management which is a marked need and while considerable financial support has been provided by the international development community, this funding does not directly address the question of financial sustainability (Quieta, 2016),</w:t>
      </w:r>
    </w:p>
    <w:p w14:paraId="32C01F63" w14:textId="77777777" w:rsidR="00DB5C08" w:rsidRPr="00D55B7A" w:rsidRDefault="00DB5C08" w:rsidP="00DB5C08">
      <w:pPr>
        <w:spacing w:line="276" w:lineRule="auto"/>
        <w:jc w:val="center"/>
        <w:rPr>
          <w:rFonts w:eastAsia="Aptos"/>
          <w:lang w:val="en-ID" w:eastAsia="en-PH"/>
        </w:rPr>
      </w:pPr>
    </w:p>
    <w:p w14:paraId="57C21BE8" w14:textId="6A1C0DEB" w:rsidR="00DB5C08" w:rsidRPr="00DB5C08" w:rsidRDefault="00DB5C08" w:rsidP="00DB5C08">
      <w:pPr>
        <w:spacing w:after="240" w:line="276" w:lineRule="auto"/>
        <w:ind w:firstLine="0"/>
        <w:rPr>
          <w:b/>
          <w:bCs/>
        </w:rPr>
      </w:pPr>
      <w:r w:rsidRPr="00DB5C08">
        <w:rPr>
          <w:b/>
          <w:bCs/>
        </w:rPr>
        <w:t xml:space="preserve">Supplementary Material </w:t>
      </w:r>
      <w:r>
        <w:rPr>
          <w:b/>
          <w:bCs/>
        </w:rPr>
        <w:t>B</w:t>
      </w:r>
    </w:p>
    <w:p w14:paraId="6DEA7B20" w14:textId="77777777" w:rsidR="00DB5C08" w:rsidRDefault="00DB5C08" w:rsidP="00DB5C08">
      <w:pPr>
        <w:spacing w:after="240" w:line="276" w:lineRule="auto"/>
        <w:ind w:firstLine="0"/>
        <w:jc w:val="center"/>
        <w:rPr>
          <w:b/>
          <w:bCs/>
        </w:rPr>
      </w:pPr>
      <w:r w:rsidRPr="00DB5C08">
        <w:rPr>
          <w:b/>
          <w:bCs/>
        </w:rPr>
        <w:t>Assessment of Governance Effectiveness</w:t>
      </w:r>
    </w:p>
    <w:p w14:paraId="00748C92" w14:textId="77777777" w:rsidR="00DB5C08" w:rsidRPr="00906D0C" w:rsidRDefault="00DB5C08" w:rsidP="00DB5C08">
      <w:pPr>
        <w:spacing w:after="240" w:line="276" w:lineRule="auto"/>
        <w:ind w:firstLine="0"/>
        <w:rPr>
          <w:b/>
          <w:bCs/>
        </w:rPr>
      </w:pPr>
      <w:r w:rsidRPr="00906D0C">
        <w:rPr>
          <w:b/>
          <w:bCs/>
        </w:rPr>
        <w:t>Reduction in Ecosystem Stressors</w:t>
      </w:r>
    </w:p>
    <w:p w14:paraId="124170D1" w14:textId="77777777" w:rsidR="00DB5C08" w:rsidRPr="00906D0C" w:rsidRDefault="00DB5C08" w:rsidP="00DB5C08">
      <w:pPr>
        <w:spacing w:after="240" w:line="276" w:lineRule="auto"/>
        <w:ind w:firstLine="0"/>
        <w:rPr>
          <w:u w:val="single"/>
        </w:rPr>
      </w:pPr>
      <w:r w:rsidRPr="00906D0C">
        <w:rPr>
          <w:u w:val="single"/>
        </w:rPr>
        <w:t>Changes in peoples’ behavior</w:t>
      </w:r>
    </w:p>
    <w:p w14:paraId="7391C91B" w14:textId="77777777" w:rsidR="00DB5C08" w:rsidRPr="00906D0C" w:rsidRDefault="00DB5C08" w:rsidP="00DB5C08">
      <w:pPr>
        <w:spacing w:after="240" w:line="276" w:lineRule="auto"/>
      </w:pPr>
      <w:r w:rsidRPr="00906D0C">
        <w:t xml:space="preserve">The land-based pollution thematic chapter did not directly measure whether any changes related to the actual behavior of people, the over-all trends in domestic wastewater, wastewater from industrial effluents, agricultural run-off, solid waste and marine litter, hazardous waste, oil pollution, including atmospheric pollution indicate a worse situation compared to the last TDA in 2000. The details of this assessment can be seen in </w:t>
      </w:r>
      <w:r w:rsidRPr="00906D0C">
        <w:rPr>
          <w:b/>
          <w:bCs/>
        </w:rPr>
        <w:t>Annex 6.A, Table 6.A.3</w:t>
      </w:r>
      <w:r w:rsidRPr="00906D0C">
        <w:t xml:space="preserve">. </w:t>
      </w:r>
    </w:p>
    <w:p w14:paraId="3ADD0B94" w14:textId="77777777" w:rsidR="00DB5C08" w:rsidRDefault="00DB5C08" w:rsidP="00DB5C08">
      <w:pPr>
        <w:spacing w:after="240" w:line="276" w:lineRule="auto"/>
      </w:pPr>
      <w:r w:rsidRPr="00906D0C">
        <w:lastRenderedPageBreak/>
        <w:t>Despite these findings, the updated Philippine submission on its fulfillment of the SDG Goals, points to the accomplishment of improved water quality for the indicators for dissolved oxygen and biochemical oxygen demand (Philippine Statistics Authority, 2025):</w:t>
      </w:r>
    </w:p>
    <w:p w14:paraId="5819A1D6" w14:textId="7DA5A7EF" w:rsidR="00783B02" w:rsidRPr="00783B02" w:rsidRDefault="00783B02" w:rsidP="00783B02">
      <w:pPr>
        <w:spacing w:after="240" w:line="276" w:lineRule="auto"/>
        <w:ind w:firstLine="0"/>
        <w:jc w:val="center"/>
      </w:pPr>
      <w:r w:rsidRPr="00906D0C">
        <w:rPr>
          <w:noProof/>
        </w:rPr>
        <w:drawing>
          <wp:inline distT="0" distB="0" distL="0" distR="0" wp14:anchorId="081A8201" wp14:editId="61CE0963">
            <wp:extent cx="6018322" cy="1052623"/>
            <wp:effectExtent l="0" t="0" r="1905" b="0"/>
            <wp:docPr id="145734332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343329" name="Picture 1" descr="A screenshot of a computer&#10;&#10;AI-generated content may be incorrect."/>
                    <pic:cNvPicPr/>
                  </pic:nvPicPr>
                  <pic:blipFill>
                    <a:blip r:embed="rId17"/>
                    <a:stretch>
                      <a:fillRect/>
                    </a:stretch>
                  </pic:blipFill>
                  <pic:spPr>
                    <a:xfrm>
                      <a:off x="0" y="0"/>
                      <a:ext cx="6081417" cy="1063658"/>
                    </a:xfrm>
                    <a:prstGeom prst="rect">
                      <a:avLst/>
                    </a:prstGeom>
                  </pic:spPr>
                </pic:pic>
              </a:graphicData>
            </a:graphic>
          </wp:inline>
        </w:drawing>
      </w:r>
      <w:r w:rsidRPr="00906D0C">
        <w:rPr>
          <w:b/>
          <w:bCs/>
          <w:sz w:val="18"/>
          <w:szCs w:val="18"/>
        </w:rPr>
        <w:t>Figure 6.</w:t>
      </w:r>
      <w:r>
        <w:rPr>
          <w:b/>
          <w:bCs/>
          <w:sz w:val="18"/>
          <w:szCs w:val="18"/>
        </w:rPr>
        <w:t>H</w:t>
      </w:r>
      <w:r w:rsidRPr="00906D0C">
        <w:rPr>
          <w:b/>
          <w:bCs/>
          <w:sz w:val="18"/>
          <w:szCs w:val="18"/>
        </w:rPr>
        <w:t>.</w:t>
      </w:r>
      <w:r>
        <w:rPr>
          <w:b/>
          <w:bCs/>
          <w:sz w:val="18"/>
          <w:szCs w:val="18"/>
        </w:rPr>
        <w:t>1.</w:t>
      </w:r>
      <w:r w:rsidRPr="00906D0C">
        <w:rPr>
          <w:b/>
          <w:bCs/>
          <w:sz w:val="18"/>
          <w:szCs w:val="18"/>
        </w:rPr>
        <w:t xml:space="preserve"> </w:t>
      </w:r>
      <w:r w:rsidRPr="00906D0C">
        <w:rPr>
          <w:sz w:val="18"/>
          <w:szCs w:val="18"/>
        </w:rPr>
        <w:t>SDG Score card in the Philippines (PSA, 2025)</w:t>
      </w:r>
    </w:p>
    <w:p w14:paraId="63CDE8A6" w14:textId="39ABD798" w:rsidR="00783B02" w:rsidRPr="00783B02" w:rsidRDefault="00783B02" w:rsidP="00783B02">
      <w:pPr>
        <w:spacing w:after="240" w:line="276" w:lineRule="auto"/>
        <w:ind w:firstLine="0"/>
        <w:rPr>
          <w:u w:val="single"/>
        </w:rPr>
      </w:pPr>
      <w:r w:rsidRPr="00906D0C">
        <w:rPr>
          <w:u w:val="single"/>
        </w:rPr>
        <w:t>Changes in Ecosystem States</w:t>
      </w:r>
    </w:p>
    <w:p w14:paraId="0DE82DFE" w14:textId="107AA309" w:rsidR="00783B02" w:rsidRPr="00906D0C" w:rsidRDefault="00783B02" w:rsidP="00783B02">
      <w:pPr>
        <w:spacing w:after="240" w:line="276" w:lineRule="auto"/>
      </w:pPr>
      <w:r w:rsidRPr="00906D0C">
        <w:t xml:space="preserve">The key findings of the ecosystems thematic area indicate that the overall condition of the reef ecosystems in the covered areas is considered </w:t>
      </w:r>
      <w:r w:rsidRPr="00906D0C">
        <w:rPr>
          <w:b/>
          <w:bCs/>
        </w:rPr>
        <w:t>fair</w:t>
      </w:r>
      <w:r w:rsidRPr="00906D0C">
        <w:t xml:space="preserve">, with </w:t>
      </w:r>
      <w:r w:rsidRPr="00906D0C">
        <w:rPr>
          <w:b/>
          <w:bCs/>
        </w:rPr>
        <w:t>localized recovery</w:t>
      </w:r>
      <w:r w:rsidRPr="00906D0C">
        <w:t xml:space="preserve"> occurring within well-managed marine protected areas (MPAs), where coral cover has </w:t>
      </w:r>
      <w:r w:rsidRPr="00906D0C">
        <w:rPr>
          <w:b/>
          <w:bCs/>
        </w:rPr>
        <w:t xml:space="preserve">shown sustained increases between 2006 and 2022. </w:t>
      </w:r>
      <w:r w:rsidRPr="00906D0C">
        <w:t xml:space="preserve"> In contrast, reefs </w:t>
      </w:r>
      <w:r w:rsidRPr="00906D0C">
        <w:rPr>
          <w:b/>
          <w:bCs/>
        </w:rPr>
        <w:t>outside MPAs remain highly degraded</w:t>
      </w:r>
      <w:r w:rsidRPr="00906D0C">
        <w:t>, particularly in areas experiencing intense fishing and tourism activities, where coral cover has declined dramatically—from above 50% in 2006 to below 30% by 2016 in some sites. One notable finding from the reef ecosystems thematic area is that climate change is an additional and escalating driver of reef degradation in these areas. Increasing sea surface temperatures, more frequent typhoons, and recurring bleaching events exacerbate existing pressures.</w:t>
      </w:r>
    </w:p>
    <w:p w14:paraId="6C13CECD" w14:textId="4BCD4851" w:rsidR="00783B02" w:rsidRPr="00906D0C" w:rsidRDefault="00783B02" w:rsidP="00783B02">
      <w:pPr>
        <w:spacing w:after="240" w:line="276" w:lineRule="auto"/>
      </w:pPr>
      <w:r w:rsidRPr="00906D0C">
        <w:t xml:space="preserve">As to mangrove, the overall trend continues to </w:t>
      </w:r>
      <w:r w:rsidRPr="00906D0C">
        <w:rPr>
          <w:b/>
          <w:bCs/>
        </w:rPr>
        <w:t xml:space="preserve">fluctuate, </w:t>
      </w:r>
      <w:r w:rsidRPr="00906D0C">
        <w:t>where it is noted that for the last 20 years, from 2020, a negative change (-35,040 ha) was documented in 2010 with only a minimal positive change (+34,221 ha) recorded in 2020.</w:t>
      </w:r>
    </w:p>
    <w:p w14:paraId="20C53995" w14:textId="1D5C202C" w:rsidR="00783B02" w:rsidRPr="00906D0C" w:rsidRDefault="00783B02" w:rsidP="00783B02">
      <w:pPr>
        <w:spacing w:after="240" w:line="276" w:lineRule="auto"/>
      </w:pPr>
      <w:r w:rsidRPr="00906D0C">
        <w:t xml:space="preserve">As to seagrasses, the entire Philippines seagrass ecosystem, where 85% of which is confined in the South China Sea, showed a </w:t>
      </w:r>
      <w:r w:rsidRPr="00906D0C">
        <w:rPr>
          <w:b/>
          <w:bCs/>
        </w:rPr>
        <w:t>30 to 50% decline</w:t>
      </w:r>
      <w:r w:rsidRPr="00906D0C">
        <w:t xml:space="preserve"> in cover over the past years, particularly from the northwestern part of the island.</w:t>
      </w:r>
    </w:p>
    <w:p w14:paraId="0BF7FCE2" w14:textId="724AFC2B" w:rsidR="00783B02" w:rsidRPr="00906D0C" w:rsidRDefault="00783B02" w:rsidP="00783B02">
      <w:pPr>
        <w:spacing w:after="240" w:line="276" w:lineRule="auto"/>
        <w:rPr>
          <w:rFonts w:eastAsia="Aptos"/>
          <w:iCs/>
          <w:color w:val="000000"/>
          <w:lang w:val="en-ID" w:eastAsia="en-PH"/>
        </w:rPr>
      </w:pPr>
      <w:r w:rsidRPr="00906D0C">
        <w:rPr>
          <w:rFonts w:eastAsia="Aptos"/>
          <w:iCs/>
          <w:color w:val="000000"/>
          <w:lang w:val="en-ID" w:eastAsia="en-PH"/>
        </w:rPr>
        <w:t>As to fisheries thematic area (Garces, 2025), the key findings indicate: (</w:t>
      </w:r>
      <w:proofErr w:type="spellStart"/>
      <w:r w:rsidRPr="00906D0C">
        <w:rPr>
          <w:rFonts w:eastAsia="Aptos"/>
          <w:iCs/>
          <w:color w:val="000000"/>
          <w:lang w:val="en-ID" w:eastAsia="en-PH"/>
        </w:rPr>
        <w:t>i</w:t>
      </w:r>
      <w:proofErr w:type="spellEnd"/>
      <w:r w:rsidRPr="00906D0C">
        <w:rPr>
          <w:rFonts w:eastAsia="Aptos"/>
          <w:iCs/>
          <w:color w:val="000000"/>
          <w:lang w:val="en-ID" w:eastAsia="en-PH"/>
        </w:rPr>
        <w:t xml:space="preserve">) overfishing and depletion of fish stock in coastal waters; (ii) IUU fishing; (iii) environmental degradation (pollution and coastal habitat destruction); and (iv) climate related impacts on fisheries. </w:t>
      </w:r>
    </w:p>
    <w:p w14:paraId="43AD199B" w14:textId="77777777" w:rsidR="00783B02" w:rsidRPr="00906D0C" w:rsidRDefault="00783B02" w:rsidP="00783B02">
      <w:pPr>
        <w:spacing w:after="240" w:line="276" w:lineRule="auto"/>
        <w:rPr>
          <w:rFonts w:eastAsia="Aptos"/>
          <w:iCs/>
          <w:color w:val="000000"/>
          <w:lang w:val="en-ID" w:eastAsia="en-PH"/>
        </w:rPr>
      </w:pPr>
      <w:r w:rsidRPr="00906D0C">
        <w:rPr>
          <w:rFonts w:eastAsia="Aptos"/>
          <w:iCs/>
          <w:color w:val="000000"/>
          <w:lang w:val="en-ID" w:eastAsia="en-PH"/>
        </w:rPr>
        <w:t>These are happening amidst increasing exposure of the country to climate and natural hazards (Agaton and Ancheta, 2025).</w:t>
      </w:r>
    </w:p>
    <w:p w14:paraId="0EC1B2AD" w14:textId="3D2E203B" w:rsidR="00D216C3" w:rsidRPr="00B0727B" w:rsidRDefault="00B0727B" w:rsidP="004C3B63">
      <w:pPr>
        <w:spacing w:after="240" w:line="276" w:lineRule="auto"/>
        <w:ind w:firstLine="0"/>
        <w:rPr>
          <w:rFonts w:eastAsia="Aptos"/>
          <w:b/>
          <w:bCs/>
          <w:lang w:val="en-ID" w:eastAsia="en-PH"/>
        </w:rPr>
      </w:pPr>
      <w:r w:rsidRPr="00B0727B">
        <w:rPr>
          <w:rFonts w:eastAsia="Aptos"/>
          <w:b/>
          <w:bCs/>
          <w:lang w:val="en-ID" w:eastAsia="en-PH"/>
        </w:rPr>
        <w:t>Supplementary Material C</w:t>
      </w:r>
    </w:p>
    <w:p w14:paraId="0AFDFEAF" w14:textId="644990B9" w:rsidR="00DB5C08" w:rsidRDefault="00B0727B" w:rsidP="00B0727B">
      <w:pPr>
        <w:spacing w:after="240" w:line="276" w:lineRule="auto"/>
        <w:ind w:firstLine="0"/>
        <w:jc w:val="center"/>
        <w:rPr>
          <w:rFonts w:eastAsia="Aptos"/>
          <w:b/>
          <w:bCs/>
          <w:lang w:val="en-ID" w:eastAsia="en-PH"/>
        </w:rPr>
      </w:pPr>
      <w:r w:rsidRPr="00B0727B">
        <w:rPr>
          <w:rFonts w:eastAsia="Aptos"/>
          <w:b/>
          <w:bCs/>
          <w:lang w:val="en-ID" w:eastAsia="en-PH"/>
        </w:rPr>
        <w:t>Gap Analysis</w:t>
      </w:r>
    </w:p>
    <w:p w14:paraId="0F6A06BF" w14:textId="77777777" w:rsidR="00B0727B" w:rsidRPr="00906D0C" w:rsidRDefault="00B0727B" w:rsidP="00B0727B">
      <w:pPr>
        <w:spacing w:after="240" w:line="276" w:lineRule="auto"/>
        <w:ind w:firstLine="0"/>
        <w:rPr>
          <w:b/>
          <w:bCs/>
          <w:color w:val="000000"/>
        </w:rPr>
      </w:pPr>
      <w:r w:rsidRPr="00906D0C">
        <w:rPr>
          <w:b/>
          <w:bCs/>
          <w:color w:val="000000"/>
        </w:rPr>
        <w:t>Gaps in Institutional Frameworks and/or in their Implementation</w:t>
      </w:r>
    </w:p>
    <w:p w14:paraId="719196AA" w14:textId="77777777" w:rsidR="00B0727B" w:rsidRPr="00906D0C" w:rsidRDefault="00B0727B" w:rsidP="00B0727B">
      <w:pPr>
        <w:spacing w:after="240" w:line="276" w:lineRule="auto"/>
        <w:rPr>
          <w:rFonts w:eastAsia="Aptos"/>
          <w:iCs/>
          <w:color w:val="000000"/>
          <w:lang w:val="en-ID" w:eastAsia="en-PH"/>
        </w:rPr>
      </w:pPr>
      <w:r w:rsidRPr="00906D0C">
        <w:rPr>
          <w:rFonts w:eastAsia="Aptos"/>
          <w:iCs/>
          <w:color w:val="000000"/>
          <w:lang w:val="en-ID" w:eastAsia="en-PH"/>
        </w:rPr>
        <w:t xml:space="preserve">A major gap relates to the jurisdictional barrier between fisheries and the environment and between the DA-BFAR and DENR. The DA-BFAR’s principal competencies and resources are focused on fisheries and fisheries-related activities but do not extend to other maritime activities that impact on fishery resources, such as shipping, coastal infrastructure development, etc. The DENR meanwhile has a much broader mandate and residual powers for environmental management and resource management, but has no specifically empowered and enabled marine office, </w:t>
      </w:r>
      <w:r w:rsidRPr="00906D0C">
        <w:rPr>
          <w:rFonts w:eastAsia="Aptos"/>
          <w:iCs/>
          <w:color w:val="000000"/>
          <w:lang w:val="en-ID" w:eastAsia="en-PH"/>
        </w:rPr>
        <w:lastRenderedPageBreak/>
        <w:t>although it carries out a Coastal and Marine Ecosystems Management Program as one of other programs implemented by the DENR-BMB (Arceo, et.al, 2024).</w:t>
      </w:r>
    </w:p>
    <w:p w14:paraId="794DEA52" w14:textId="77777777" w:rsidR="00B0727B" w:rsidRPr="00906D0C" w:rsidRDefault="00B0727B" w:rsidP="00B0727B">
      <w:pPr>
        <w:spacing w:after="240" w:line="276" w:lineRule="auto"/>
        <w:rPr>
          <w:rFonts w:eastAsia="Aptos"/>
          <w:iCs/>
          <w:color w:val="000000"/>
          <w:lang w:val="en-ID" w:eastAsia="en-PH"/>
        </w:rPr>
      </w:pPr>
      <w:r w:rsidRPr="00906D0C">
        <w:rPr>
          <w:rFonts w:eastAsia="Aptos"/>
          <w:iCs/>
          <w:color w:val="000000"/>
          <w:lang w:val="en-ID" w:eastAsia="en-PH"/>
        </w:rPr>
        <w:t>Both the DENR and DA-BFAR have mandates to establish area management measures, but while the DA-BFAR has the power to establish fishery reserves and sanctuaries in national waters, such measures are within the purview only of the cities and municipalities within municipal waters extending 15 km from the shore. More comprehensive protected landscape and seascape areas are established through a separate multisectoral and inter-agency process managed by the DENR (</w:t>
      </w:r>
      <w:proofErr w:type="spellStart"/>
      <w:r w:rsidRPr="00906D0C">
        <w:rPr>
          <w:rFonts w:eastAsia="Aptos"/>
          <w:iCs/>
          <w:color w:val="000000"/>
          <w:lang w:val="en-ID" w:eastAsia="en-PH"/>
        </w:rPr>
        <w:t>Batongbacal</w:t>
      </w:r>
      <w:proofErr w:type="spellEnd"/>
      <w:r w:rsidRPr="00906D0C">
        <w:rPr>
          <w:rFonts w:eastAsia="Aptos"/>
          <w:iCs/>
          <w:color w:val="000000"/>
          <w:lang w:val="en-ID" w:eastAsia="en-PH"/>
        </w:rPr>
        <w:t>, 2024).</w:t>
      </w:r>
    </w:p>
    <w:p w14:paraId="3D2341A7" w14:textId="17093AC7" w:rsidR="00B0727B" w:rsidRPr="00906D0C" w:rsidRDefault="00B0727B" w:rsidP="00B0727B">
      <w:pPr>
        <w:spacing w:after="240" w:line="276" w:lineRule="auto"/>
        <w:rPr>
          <w:rFonts w:eastAsia="Aptos"/>
          <w:color w:val="000000"/>
          <w:lang w:val="en-ID" w:eastAsia="en-PH"/>
        </w:rPr>
      </w:pPr>
      <w:r w:rsidRPr="00906D0C">
        <w:rPr>
          <w:rFonts w:eastAsia="Aptos"/>
          <w:color w:val="000000"/>
          <w:lang w:val="en-ID" w:eastAsia="en-PH"/>
        </w:rPr>
        <w:t>The challenge in this overlap in mandate between the DENR and BFAR relates to how the two agencies may fully cooperate and mutually integrate each other’s agency priorities within their respective plans, programs and activities. The opportunity for collaboration between these two agencies lies in both agencies actively pursuing conservation efforts of the coastal and marine ecosystem through a ridge-to-reef approach while simultaneously addressing the ecosystem challenges of meeting productivity and food security concerns. The PBSAP provides the policy platform for these two agencies to weave together and coordinate their respective specific policies and measures to achieve the common targets of the KMGBF while taking steps to build the capacity of LGUs as well as local communities with the help of civil society organizations and the private sector to achieve identified achievable targets.</w:t>
      </w:r>
    </w:p>
    <w:p w14:paraId="0C9A72DF" w14:textId="77777777" w:rsidR="00B0727B" w:rsidRPr="00906D0C" w:rsidRDefault="00B0727B" w:rsidP="00B0727B">
      <w:pPr>
        <w:spacing w:after="240" w:line="276" w:lineRule="auto"/>
      </w:pPr>
      <w:r w:rsidRPr="00906D0C">
        <w:rPr>
          <w:rFonts w:eastAsia="Aptos"/>
          <w:lang w:val="en-ID" w:eastAsia="en-PH"/>
        </w:rPr>
        <w:t>The fish and fisheries thematic area (Garces, 2025) recently pointed to the threat of a local court ruling affirmed by the Supreme Court in 2024 (</w:t>
      </w:r>
      <w:proofErr w:type="spellStart"/>
      <w:r w:rsidRPr="00906D0C">
        <w:rPr>
          <w:rFonts w:eastAsia="Aptos"/>
          <w:i/>
          <w:iCs/>
          <w:lang w:val="en-ID" w:eastAsia="en-PH"/>
        </w:rPr>
        <w:t>Mercidar</w:t>
      </w:r>
      <w:proofErr w:type="spellEnd"/>
      <w:r w:rsidRPr="00906D0C">
        <w:rPr>
          <w:rFonts w:eastAsia="Aptos"/>
          <w:i/>
          <w:iCs/>
          <w:lang w:val="en-ID" w:eastAsia="en-PH"/>
        </w:rPr>
        <w:t xml:space="preserve"> Fishing Corporation</w:t>
      </w:r>
      <w:r w:rsidRPr="00906D0C">
        <w:rPr>
          <w:rFonts w:eastAsia="Aptos"/>
          <w:lang w:val="en-ID" w:eastAsia="en-PH"/>
        </w:rPr>
        <w:t xml:space="preserve"> v. </w:t>
      </w:r>
      <w:r w:rsidRPr="00906D0C">
        <w:rPr>
          <w:rFonts w:eastAsia="Aptos"/>
          <w:i/>
          <w:iCs/>
          <w:lang w:val="en-ID" w:eastAsia="en-PH"/>
        </w:rPr>
        <w:t>BFAR</w:t>
      </w:r>
      <w:r w:rsidRPr="00906D0C">
        <w:rPr>
          <w:rFonts w:eastAsia="Aptos"/>
          <w:lang w:val="en-ID" w:eastAsia="en-PH"/>
        </w:rPr>
        <w:t>, G.R. No. 290929) which nullified the current legislative basis for limiting fishing in municipal waters to municipal fishermen, the effect of which is to let big commercial fishing operators compete with small marginalized fishermen. The problem with this is that a</w:t>
      </w:r>
      <w:proofErr w:type="spellStart"/>
      <w:r w:rsidRPr="00906D0C">
        <w:t>llowing</w:t>
      </w:r>
      <w:proofErr w:type="spellEnd"/>
      <w:r w:rsidRPr="00906D0C">
        <w:t xml:space="preserve"> commercial vessels to operate within municipal waters jeopardizes the livelihoods of thousands of subsistence fishers and accelerates the depletion of already fragile fish stocks. The potential impacts on small-scale fishers and municipal waters may include: (</w:t>
      </w:r>
      <w:proofErr w:type="spellStart"/>
      <w:r w:rsidRPr="00906D0C">
        <w:t>i</w:t>
      </w:r>
      <w:proofErr w:type="spellEnd"/>
      <w:r w:rsidRPr="00906D0C">
        <w:t xml:space="preserve">) shrinking fishing grounds of municipal fisherfolk; (ii) further depletion of fish stocks in coastal areas; (iii) exploitation or destruction of marine protected areas (MPAs) and fish sanctuaries; and (v) intensify competition over the fisheries resources between municipal fishers and commercial fishers. </w:t>
      </w:r>
    </w:p>
    <w:p w14:paraId="1C358844" w14:textId="77777777" w:rsidR="00B0727B" w:rsidRPr="00906D0C" w:rsidRDefault="00B0727B" w:rsidP="00B0727B">
      <w:pPr>
        <w:spacing w:after="240" w:line="276" w:lineRule="auto"/>
        <w:rPr>
          <w:rFonts w:eastAsia="Aptos"/>
          <w:color w:val="000000"/>
          <w:lang w:val="en-ID" w:eastAsia="en-PH"/>
        </w:rPr>
      </w:pPr>
      <w:r w:rsidRPr="00906D0C">
        <w:rPr>
          <w:rFonts w:eastAsia="Aptos"/>
          <w:color w:val="000000"/>
          <w:lang w:val="en-ID" w:eastAsia="en-PH"/>
        </w:rPr>
        <w:t xml:space="preserve">Following discussions and consultation at </w:t>
      </w:r>
      <w:r w:rsidRPr="00906D0C">
        <w:rPr>
          <w:rFonts w:eastAsia="Aptos"/>
          <w:b/>
          <w:bCs/>
          <w:color w:val="000000"/>
          <w:lang w:val="en-ID" w:eastAsia="en-PH"/>
        </w:rPr>
        <w:t>the Philippines NTDA Inception Workshop</w:t>
      </w:r>
      <w:r w:rsidRPr="00906D0C">
        <w:rPr>
          <w:rFonts w:eastAsia="Aptos"/>
          <w:color w:val="000000"/>
          <w:lang w:val="en-ID" w:eastAsia="en-PH"/>
        </w:rPr>
        <w:t xml:space="preserve"> more specific institutional gaps in relation to the project sites were identified mostly in the area of law enforcement and coordination among the various law enforcement units at the local government level. This may be addressed by appointing a local environment and natural resources officer or strengthening the law enforcement auxiliary group (the </w:t>
      </w:r>
      <w:r w:rsidRPr="00906D0C">
        <w:rPr>
          <w:rFonts w:eastAsia="Aptos"/>
          <w:i/>
          <w:iCs/>
          <w:color w:val="000000"/>
          <w:lang w:val="en-ID" w:eastAsia="en-PH"/>
        </w:rPr>
        <w:t xml:space="preserve">Bantay </w:t>
      </w:r>
      <w:proofErr w:type="spellStart"/>
      <w:r w:rsidRPr="00906D0C">
        <w:rPr>
          <w:rFonts w:eastAsia="Aptos"/>
          <w:i/>
          <w:iCs/>
          <w:color w:val="000000"/>
          <w:lang w:val="en-ID" w:eastAsia="en-PH"/>
        </w:rPr>
        <w:t>Kalikasan</w:t>
      </w:r>
      <w:proofErr w:type="spellEnd"/>
      <w:r w:rsidRPr="00906D0C">
        <w:rPr>
          <w:rFonts w:eastAsia="Aptos"/>
          <w:i/>
          <w:iCs/>
          <w:color w:val="000000"/>
          <w:lang w:val="en-ID" w:eastAsia="en-PH"/>
        </w:rPr>
        <w:t>)</w:t>
      </w:r>
      <w:r w:rsidRPr="00906D0C">
        <w:rPr>
          <w:rFonts w:eastAsia="Aptos"/>
          <w:color w:val="000000"/>
          <w:lang w:val="en-ID" w:eastAsia="en-PH"/>
        </w:rPr>
        <w:t xml:space="preserve">. </w:t>
      </w:r>
    </w:p>
    <w:p w14:paraId="475070A0" w14:textId="77777777" w:rsidR="00B0727B" w:rsidRPr="00D04A84" w:rsidRDefault="00B0727B" w:rsidP="00D04A84">
      <w:pPr>
        <w:spacing w:after="240" w:line="276" w:lineRule="auto"/>
        <w:ind w:firstLine="0"/>
        <w:rPr>
          <w:u w:val="single"/>
        </w:rPr>
      </w:pPr>
      <w:r w:rsidRPr="00D04A84">
        <w:rPr>
          <w:u w:val="single"/>
        </w:rPr>
        <w:t>Assessment from the Policy Cycle Perspective</w:t>
      </w:r>
    </w:p>
    <w:p w14:paraId="014D545F" w14:textId="060CBC95" w:rsidR="00B0727B" w:rsidRPr="00F92E24" w:rsidRDefault="00B0727B" w:rsidP="00F92E24">
      <w:pPr>
        <w:spacing w:after="240" w:line="276" w:lineRule="auto"/>
        <w:rPr>
          <w:rFonts w:eastAsia="Aptos"/>
          <w:iCs/>
          <w:color w:val="000000"/>
          <w:lang w:val="en-ID" w:eastAsia="en-PH"/>
        </w:rPr>
      </w:pPr>
      <w:r w:rsidRPr="00906D0C">
        <w:rPr>
          <w:rFonts w:eastAsia="Aptos"/>
          <w:iCs/>
          <w:color w:val="000000"/>
          <w:lang w:val="en-ID" w:eastAsia="en-PH"/>
        </w:rPr>
        <w:t xml:space="preserve">Existing ICM policies are in various stages of implementation and </w:t>
      </w:r>
      <w:proofErr w:type="gramStart"/>
      <w:r w:rsidRPr="00906D0C">
        <w:rPr>
          <w:rFonts w:eastAsia="Aptos"/>
          <w:iCs/>
          <w:color w:val="000000"/>
          <w:lang w:val="en-ID" w:eastAsia="en-PH"/>
        </w:rPr>
        <w:t>overall</w:t>
      </w:r>
      <w:proofErr w:type="gramEnd"/>
      <w:r w:rsidRPr="00906D0C">
        <w:rPr>
          <w:rFonts w:eastAsia="Aptos"/>
          <w:iCs/>
          <w:color w:val="000000"/>
          <w:lang w:val="en-ID" w:eastAsia="en-PH"/>
        </w:rPr>
        <w:t xml:space="preserve"> the governance architecture for were assessed as medium risk for completion (refer to Table 6.2). </w:t>
      </w:r>
    </w:p>
    <w:sectPr w:rsidR="00B0727B" w:rsidRPr="00F92E24" w:rsidSect="000E6249">
      <w:footerReference w:type="default" r:id="rId1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D8E3E6" w14:textId="77777777" w:rsidR="00D57602" w:rsidRDefault="00D57602">
      <w:pPr>
        <w:spacing w:line="240" w:lineRule="auto"/>
      </w:pPr>
      <w:r>
        <w:separator/>
      </w:r>
    </w:p>
  </w:endnote>
  <w:endnote w:type="continuationSeparator" w:id="0">
    <w:p w14:paraId="6C25BF8A" w14:textId="77777777" w:rsidR="00D57602" w:rsidRDefault="00D576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altName w:val="Arial"/>
    <w:charset w:val="00"/>
    <w:family w:val="swiss"/>
    <w:pitch w:val="variable"/>
    <w:sig w:usb0="20000287" w:usb1="00000003" w:usb2="00000000" w:usb3="00000000" w:csb0="0000019F" w:csb1="00000000"/>
  </w:font>
  <w:font w:name="Product Sans">
    <w:altName w:val="Calibri"/>
    <w:panose1 w:val="00000000000000000000"/>
    <w:charset w:val="00"/>
    <w:family w:val="swiss"/>
    <w:notTrueType/>
    <w:pitch w:val="default"/>
    <w:sig w:usb0="00000003" w:usb1="00000000" w:usb2="00000000" w:usb3="00000000" w:csb0="00000001" w:csb1="00000000"/>
  </w:font>
  <w:font w:name="Minion Pro">
    <w:altName w:val="Cambria"/>
    <w:panose1 w:val="00000000000000000000"/>
    <w:charset w:val="00"/>
    <w:family w:val="roman"/>
    <w:notTrueType/>
    <w:pitch w:val="default"/>
    <w:sig w:usb0="00000003" w:usb1="00000000" w:usb2="00000000" w:usb3="00000000" w:csb0="00000001" w:csb1="00000000"/>
  </w:font>
  <w:font w:name="NWHUIV+Berkeley-Book">
    <w:altName w:val="Cambria"/>
    <w:panose1 w:val="00000000000000000000"/>
    <w:charset w:val="00"/>
    <w:family w:val="roman"/>
    <w:notTrueType/>
    <w:pitch w:val="default"/>
    <w:sig w:usb0="00000003" w:usb1="00000000" w:usb2="00000000" w:usb3="00000000" w:csb0="00000001" w:csb1="00000000"/>
  </w:font>
  <w:font w:name="StempelGaramond Roman">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7612598"/>
      <w:docPartObj>
        <w:docPartGallery w:val="Page Numbers (Bottom of Page)"/>
        <w:docPartUnique/>
      </w:docPartObj>
    </w:sdtPr>
    <w:sdtEndPr>
      <w:rPr>
        <w:noProof/>
      </w:rPr>
    </w:sdtEndPr>
    <w:sdtContent>
      <w:p w14:paraId="5BC5E26C" w14:textId="77777777" w:rsidR="000E6249" w:rsidRDefault="000E62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18C3355" w14:textId="77777777" w:rsidR="000E6249" w:rsidRDefault="000E6249" w:rsidP="000E6249">
    <w:pPr>
      <w:pStyle w:val="Footer"/>
      <w:tabs>
        <w:tab w:val="clear" w:pos="9360"/>
        <w:tab w:val="left" w:pos="644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819E27" w14:textId="77777777" w:rsidR="00D57602" w:rsidRDefault="00D57602">
      <w:pPr>
        <w:spacing w:line="240" w:lineRule="auto"/>
      </w:pPr>
      <w:r>
        <w:separator/>
      </w:r>
    </w:p>
  </w:footnote>
  <w:footnote w:type="continuationSeparator" w:id="0">
    <w:p w14:paraId="169BE7E0" w14:textId="77777777" w:rsidR="00D57602" w:rsidRDefault="00D5760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171AC3A4"/>
    <w:lvl w:ilvl="0">
      <w:start w:val="1"/>
      <w:numFmt w:val="bullet"/>
      <w:pStyle w:val="ListNumber3"/>
      <w:lvlText w:val=""/>
      <w:lvlJc w:val="left"/>
      <w:pPr>
        <w:tabs>
          <w:tab w:val="num" w:pos="1440"/>
        </w:tabs>
        <w:ind w:left="1440" w:hanging="360"/>
      </w:pPr>
      <w:rPr>
        <w:rFonts w:ascii="Symbol" w:hAnsi="Symbol" w:hint="default"/>
      </w:rPr>
    </w:lvl>
  </w:abstractNum>
  <w:abstractNum w:abstractNumId="1" w15:restartNumberingAfterBreak="0">
    <w:nsid w:val="FFFFFF89"/>
    <w:multiLevelType w:val="singleLevel"/>
    <w:tmpl w:val="D1CE740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1D0698"/>
    <w:multiLevelType w:val="hybridMultilevel"/>
    <w:tmpl w:val="3FBEE06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 w15:restartNumberingAfterBreak="0">
    <w:nsid w:val="02B16997"/>
    <w:multiLevelType w:val="hybridMultilevel"/>
    <w:tmpl w:val="B8541D0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 w15:restartNumberingAfterBreak="0">
    <w:nsid w:val="02BEE8EA"/>
    <w:multiLevelType w:val="hybridMultilevel"/>
    <w:tmpl w:val="DE90C16E"/>
    <w:lvl w:ilvl="0" w:tplc="211EDDC4">
      <w:start w:val="1"/>
      <w:numFmt w:val="bullet"/>
      <w:lvlText w:val="·"/>
      <w:lvlJc w:val="left"/>
      <w:pPr>
        <w:ind w:left="1800" w:hanging="360"/>
      </w:pPr>
      <w:rPr>
        <w:rFonts w:ascii="Symbol" w:hAnsi="Symbol" w:hint="default"/>
      </w:rPr>
    </w:lvl>
    <w:lvl w:ilvl="1" w:tplc="2AFA3AAA">
      <w:start w:val="1"/>
      <w:numFmt w:val="bullet"/>
      <w:lvlText w:val="o"/>
      <w:lvlJc w:val="left"/>
      <w:pPr>
        <w:ind w:left="2520" w:hanging="360"/>
      </w:pPr>
      <w:rPr>
        <w:rFonts w:ascii="Courier New" w:hAnsi="Courier New" w:hint="default"/>
      </w:rPr>
    </w:lvl>
    <w:lvl w:ilvl="2" w:tplc="D45C709C">
      <w:start w:val="1"/>
      <w:numFmt w:val="bullet"/>
      <w:lvlText w:val=""/>
      <w:lvlJc w:val="left"/>
      <w:pPr>
        <w:ind w:left="3240" w:hanging="360"/>
      </w:pPr>
      <w:rPr>
        <w:rFonts w:ascii="Wingdings" w:hAnsi="Wingdings" w:hint="default"/>
      </w:rPr>
    </w:lvl>
    <w:lvl w:ilvl="3" w:tplc="B066EED0">
      <w:start w:val="1"/>
      <w:numFmt w:val="bullet"/>
      <w:lvlText w:val=""/>
      <w:lvlJc w:val="left"/>
      <w:pPr>
        <w:ind w:left="3960" w:hanging="360"/>
      </w:pPr>
      <w:rPr>
        <w:rFonts w:ascii="Symbol" w:hAnsi="Symbol" w:hint="default"/>
      </w:rPr>
    </w:lvl>
    <w:lvl w:ilvl="4" w:tplc="43CA05A8">
      <w:start w:val="1"/>
      <w:numFmt w:val="bullet"/>
      <w:lvlText w:val="o"/>
      <w:lvlJc w:val="left"/>
      <w:pPr>
        <w:ind w:left="4680" w:hanging="360"/>
      </w:pPr>
      <w:rPr>
        <w:rFonts w:ascii="Courier New" w:hAnsi="Courier New" w:hint="default"/>
      </w:rPr>
    </w:lvl>
    <w:lvl w:ilvl="5" w:tplc="5F36ED70">
      <w:start w:val="1"/>
      <w:numFmt w:val="bullet"/>
      <w:lvlText w:val=""/>
      <w:lvlJc w:val="left"/>
      <w:pPr>
        <w:ind w:left="5400" w:hanging="360"/>
      </w:pPr>
      <w:rPr>
        <w:rFonts w:ascii="Wingdings" w:hAnsi="Wingdings" w:hint="default"/>
      </w:rPr>
    </w:lvl>
    <w:lvl w:ilvl="6" w:tplc="874CFFA6">
      <w:start w:val="1"/>
      <w:numFmt w:val="bullet"/>
      <w:lvlText w:val=""/>
      <w:lvlJc w:val="left"/>
      <w:pPr>
        <w:ind w:left="6120" w:hanging="360"/>
      </w:pPr>
      <w:rPr>
        <w:rFonts w:ascii="Symbol" w:hAnsi="Symbol" w:hint="default"/>
      </w:rPr>
    </w:lvl>
    <w:lvl w:ilvl="7" w:tplc="27962C0E">
      <w:start w:val="1"/>
      <w:numFmt w:val="bullet"/>
      <w:lvlText w:val="o"/>
      <w:lvlJc w:val="left"/>
      <w:pPr>
        <w:ind w:left="6840" w:hanging="360"/>
      </w:pPr>
      <w:rPr>
        <w:rFonts w:ascii="Courier New" w:hAnsi="Courier New" w:hint="default"/>
      </w:rPr>
    </w:lvl>
    <w:lvl w:ilvl="8" w:tplc="5BCAE794">
      <w:start w:val="1"/>
      <w:numFmt w:val="bullet"/>
      <w:lvlText w:val=""/>
      <w:lvlJc w:val="left"/>
      <w:pPr>
        <w:ind w:left="7560" w:hanging="360"/>
      </w:pPr>
      <w:rPr>
        <w:rFonts w:ascii="Wingdings" w:hAnsi="Wingdings" w:hint="default"/>
      </w:rPr>
    </w:lvl>
  </w:abstractNum>
  <w:abstractNum w:abstractNumId="5" w15:restartNumberingAfterBreak="0">
    <w:nsid w:val="086549A2"/>
    <w:multiLevelType w:val="hybridMultilevel"/>
    <w:tmpl w:val="0366B99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 w15:restartNumberingAfterBreak="0">
    <w:nsid w:val="08C51152"/>
    <w:multiLevelType w:val="hybridMultilevel"/>
    <w:tmpl w:val="90E2DAFA"/>
    <w:lvl w:ilvl="0" w:tplc="6B94741C">
      <w:start w:val="1"/>
      <w:numFmt w:val="decimal"/>
      <w:pStyle w:val="ExecSumText"/>
      <w:lvlText w:val="%1."/>
      <w:lvlJc w:val="left"/>
      <w:pPr>
        <w:ind w:left="360" w:hanging="360"/>
      </w:pPr>
      <w:rPr>
        <w:rFonts w:hint="default"/>
        <w:b w:val="0"/>
        <w:i w:val="0"/>
        <w:strike w:val="0"/>
        <w:color w:val="auto"/>
        <w:sz w:val="22"/>
        <w:szCs w:val="22"/>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 w15:restartNumberingAfterBreak="0">
    <w:nsid w:val="08D279A0"/>
    <w:multiLevelType w:val="hybridMultilevel"/>
    <w:tmpl w:val="317CE100"/>
    <w:lvl w:ilvl="0" w:tplc="494669DC">
      <w:start w:val="1"/>
      <w:numFmt w:val="bullet"/>
      <w:lvlText w:val="·"/>
      <w:lvlJc w:val="left"/>
      <w:pPr>
        <w:ind w:left="1800" w:hanging="360"/>
      </w:pPr>
      <w:rPr>
        <w:rFonts w:ascii="Symbol" w:hAnsi="Symbol" w:hint="default"/>
      </w:rPr>
    </w:lvl>
    <w:lvl w:ilvl="1" w:tplc="8E7CA1A6">
      <w:start w:val="1"/>
      <w:numFmt w:val="bullet"/>
      <w:lvlText w:val="o"/>
      <w:lvlJc w:val="left"/>
      <w:pPr>
        <w:ind w:left="2520" w:hanging="360"/>
      </w:pPr>
      <w:rPr>
        <w:rFonts w:ascii="Courier New" w:hAnsi="Courier New" w:hint="default"/>
      </w:rPr>
    </w:lvl>
    <w:lvl w:ilvl="2" w:tplc="CBE6F4CA">
      <w:start w:val="1"/>
      <w:numFmt w:val="bullet"/>
      <w:lvlText w:val=""/>
      <w:lvlJc w:val="left"/>
      <w:pPr>
        <w:ind w:left="3240" w:hanging="360"/>
      </w:pPr>
      <w:rPr>
        <w:rFonts w:ascii="Wingdings" w:hAnsi="Wingdings" w:hint="default"/>
      </w:rPr>
    </w:lvl>
    <w:lvl w:ilvl="3" w:tplc="A5FC407A">
      <w:start w:val="1"/>
      <w:numFmt w:val="bullet"/>
      <w:lvlText w:val=""/>
      <w:lvlJc w:val="left"/>
      <w:pPr>
        <w:ind w:left="3960" w:hanging="360"/>
      </w:pPr>
      <w:rPr>
        <w:rFonts w:ascii="Symbol" w:hAnsi="Symbol" w:hint="default"/>
      </w:rPr>
    </w:lvl>
    <w:lvl w:ilvl="4" w:tplc="EA52E8BE">
      <w:start w:val="1"/>
      <w:numFmt w:val="bullet"/>
      <w:lvlText w:val="o"/>
      <w:lvlJc w:val="left"/>
      <w:pPr>
        <w:ind w:left="4680" w:hanging="360"/>
      </w:pPr>
      <w:rPr>
        <w:rFonts w:ascii="Courier New" w:hAnsi="Courier New" w:hint="default"/>
      </w:rPr>
    </w:lvl>
    <w:lvl w:ilvl="5" w:tplc="482C0DFE">
      <w:start w:val="1"/>
      <w:numFmt w:val="bullet"/>
      <w:lvlText w:val=""/>
      <w:lvlJc w:val="left"/>
      <w:pPr>
        <w:ind w:left="5400" w:hanging="360"/>
      </w:pPr>
      <w:rPr>
        <w:rFonts w:ascii="Wingdings" w:hAnsi="Wingdings" w:hint="default"/>
      </w:rPr>
    </w:lvl>
    <w:lvl w:ilvl="6" w:tplc="1A38432A">
      <w:start w:val="1"/>
      <w:numFmt w:val="bullet"/>
      <w:lvlText w:val=""/>
      <w:lvlJc w:val="left"/>
      <w:pPr>
        <w:ind w:left="6120" w:hanging="360"/>
      </w:pPr>
      <w:rPr>
        <w:rFonts w:ascii="Symbol" w:hAnsi="Symbol" w:hint="default"/>
      </w:rPr>
    </w:lvl>
    <w:lvl w:ilvl="7" w:tplc="10E6A1B0">
      <w:start w:val="1"/>
      <w:numFmt w:val="bullet"/>
      <w:lvlText w:val="o"/>
      <w:lvlJc w:val="left"/>
      <w:pPr>
        <w:ind w:left="6840" w:hanging="360"/>
      </w:pPr>
      <w:rPr>
        <w:rFonts w:ascii="Courier New" w:hAnsi="Courier New" w:hint="default"/>
      </w:rPr>
    </w:lvl>
    <w:lvl w:ilvl="8" w:tplc="7E609170">
      <w:start w:val="1"/>
      <w:numFmt w:val="bullet"/>
      <w:lvlText w:val=""/>
      <w:lvlJc w:val="left"/>
      <w:pPr>
        <w:ind w:left="7560" w:hanging="360"/>
      </w:pPr>
      <w:rPr>
        <w:rFonts w:ascii="Wingdings" w:hAnsi="Wingdings" w:hint="default"/>
      </w:rPr>
    </w:lvl>
  </w:abstractNum>
  <w:abstractNum w:abstractNumId="8" w15:restartNumberingAfterBreak="0">
    <w:nsid w:val="0C7A4948"/>
    <w:multiLevelType w:val="hybridMultilevel"/>
    <w:tmpl w:val="49EA186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 w15:restartNumberingAfterBreak="0">
    <w:nsid w:val="0CB476BA"/>
    <w:multiLevelType w:val="multilevel"/>
    <w:tmpl w:val="1616A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CEB55E4"/>
    <w:multiLevelType w:val="multilevel"/>
    <w:tmpl w:val="76E0D10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0DB45D9D"/>
    <w:multiLevelType w:val="multilevel"/>
    <w:tmpl w:val="3B06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FA433AB"/>
    <w:multiLevelType w:val="hybridMultilevel"/>
    <w:tmpl w:val="E6F2848C"/>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3" w15:restartNumberingAfterBreak="0">
    <w:nsid w:val="0FA862DB"/>
    <w:multiLevelType w:val="hybridMultilevel"/>
    <w:tmpl w:val="8C0648E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4" w15:restartNumberingAfterBreak="0">
    <w:nsid w:val="10635885"/>
    <w:multiLevelType w:val="hybridMultilevel"/>
    <w:tmpl w:val="7C847818"/>
    <w:lvl w:ilvl="0" w:tplc="3409000F">
      <w:start w:val="1"/>
      <w:numFmt w:val="decimal"/>
      <w:lvlText w:val="%1."/>
      <w:lvlJc w:val="left"/>
      <w:pPr>
        <w:ind w:left="770" w:hanging="360"/>
      </w:pPr>
    </w:lvl>
    <w:lvl w:ilvl="1" w:tplc="34090019" w:tentative="1">
      <w:start w:val="1"/>
      <w:numFmt w:val="lowerLetter"/>
      <w:lvlText w:val="%2."/>
      <w:lvlJc w:val="left"/>
      <w:pPr>
        <w:ind w:left="1490" w:hanging="360"/>
      </w:pPr>
    </w:lvl>
    <w:lvl w:ilvl="2" w:tplc="3409001B" w:tentative="1">
      <w:start w:val="1"/>
      <w:numFmt w:val="lowerRoman"/>
      <w:lvlText w:val="%3."/>
      <w:lvlJc w:val="right"/>
      <w:pPr>
        <w:ind w:left="2210" w:hanging="180"/>
      </w:pPr>
    </w:lvl>
    <w:lvl w:ilvl="3" w:tplc="3409000F" w:tentative="1">
      <w:start w:val="1"/>
      <w:numFmt w:val="decimal"/>
      <w:lvlText w:val="%4."/>
      <w:lvlJc w:val="left"/>
      <w:pPr>
        <w:ind w:left="2930" w:hanging="360"/>
      </w:pPr>
    </w:lvl>
    <w:lvl w:ilvl="4" w:tplc="34090019" w:tentative="1">
      <w:start w:val="1"/>
      <w:numFmt w:val="lowerLetter"/>
      <w:lvlText w:val="%5."/>
      <w:lvlJc w:val="left"/>
      <w:pPr>
        <w:ind w:left="3650" w:hanging="360"/>
      </w:pPr>
    </w:lvl>
    <w:lvl w:ilvl="5" w:tplc="3409001B" w:tentative="1">
      <w:start w:val="1"/>
      <w:numFmt w:val="lowerRoman"/>
      <w:lvlText w:val="%6."/>
      <w:lvlJc w:val="right"/>
      <w:pPr>
        <w:ind w:left="4370" w:hanging="180"/>
      </w:pPr>
    </w:lvl>
    <w:lvl w:ilvl="6" w:tplc="3409000F" w:tentative="1">
      <w:start w:val="1"/>
      <w:numFmt w:val="decimal"/>
      <w:lvlText w:val="%7."/>
      <w:lvlJc w:val="left"/>
      <w:pPr>
        <w:ind w:left="5090" w:hanging="360"/>
      </w:pPr>
    </w:lvl>
    <w:lvl w:ilvl="7" w:tplc="34090019" w:tentative="1">
      <w:start w:val="1"/>
      <w:numFmt w:val="lowerLetter"/>
      <w:lvlText w:val="%8."/>
      <w:lvlJc w:val="left"/>
      <w:pPr>
        <w:ind w:left="5810" w:hanging="360"/>
      </w:pPr>
    </w:lvl>
    <w:lvl w:ilvl="8" w:tplc="3409001B" w:tentative="1">
      <w:start w:val="1"/>
      <w:numFmt w:val="lowerRoman"/>
      <w:lvlText w:val="%9."/>
      <w:lvlJc w:val="right"/>
      <w:pPr>
        <w:ind w:left="6530" w:hanging="180"/>
      </w:pPr>
    </w:lvl>
  </w:abstractNum>
  <w:abstractNum w:abstractNumId="15" w15:restartNumberingAfterBreak="0">
    <w:nsid w:val="10665D51"/>
    <w:multiLevelType w:val="hybridMultilevel"/>
    <w:tmpl w:val="8026CCD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6" w15:restartNumberingAfterBreak="0">
    <w:nsid w:val="1157B2CB"/>
    <w:multiLevelType w:val="hybridMultilevel"/>
    <w:tmpl w:val="A46063C0"/>
    <w:lvl w:ilvl="0" w:tplc="4D508C08">
      <w:start w:val="1"/>
      <w:numFmt w:val="bullet"/>
      <w:lvlText w:val="·"/>
      <w:lvlJc w:val="left"/>
      <w:pPr>
        <w:ind w:left="1800" w:hanging="360"/>
      </w:pPr>
      <w:rPr>
        <w:rFonts w:ascii="Symbol" w:hAnsi="Symbol" w:hint="default"/>
      </w:rPr>
    </w:lvl>
    <w:lvl w:ilvl="1" w:tplc="8A8C8B58">
      <w:start w:val="1"/>
      <w:numFmt w:val="bullet"/>
      <w:lvlText w:val="o"/>
      <w:lvlJc w:val="left"/>
      <w:pPr>
        <w:ind w:left="2520" w:hanging="360"/>
      </w:pPr>
      <w:rPr>
        <w:rFonts w:ascii="Symbol" w:hAnsi="Symbol" w:hint="default"/>
      </w:rPr>
    </w:lvl>
    <w:lvl w:ilvl="2" w:tplc="1F626F1E">
      <w:start w:val="1"/>
      <w:numFmt w:val="bullet"/>
      <w:lvlText w:val=""/>
      <w:lvlJc w:val="left"/>
      <w:pPr>
        <w:ind w:left="3240" w:hanging="360"/>
      </w:pPr>
      <w:rPr>
        <w:rFonts w:ascii="Wingdings" w:hAnsi="Wingdings" w:hint="default"/>
      </w:rPr>
    </w:lvl>
    <w:lvl w:ilvl="3" w:tplc="2A820B8E">
      <w:start w:val="1"/>
      <w:numFmt w:val="bullet"/>
      <w:lvlText w:val=""/>
      <w:lvlJc w:val="left"/>
      <w:pPr>
        <w:ind w:left="3960" w:hanging="360"/>
      </w:pPr>
      <w:rPr>
        <w:rFonts w:ascii="Symbol" w:hAnsi="Symbol" w:hint="default"/>
      </w:rPr>
    </w:lvl>
    <w:lvl w:ilvl="4" w:tplc="9744A7B6">
      <w:start w:val="1"/>
      <w:numFmt w:val="bullet"/>
      <w:lvlText w:val="o"/>
      <w:lvlJc w:val="left"/>
      <w:pPr>
        <w:ind w:left="4680" w:hanging="360"/>
      </w:pPr>
      <w:rPr>
        <w:rFonts w:ascii="Courier New" w:hAnsi="Courier New" w:hint="default"/>
      </w:rPr>
    </w:lvl>
    <w:lvl w:ilvl="5" w:tplc="85E8962A">
      <w:start w:val="1"/>
      <w:numFmt w:val="bullet"/>
      <w:lvlText w:val=""/>
      <w:lvlJc w:val="left"/>
      <w:pPr>
        <w:ind w:left="5400" w:hanging="360"/>
      </w:pPr>
      <w:rPr>
        <w:rFonts w:ascii="Wingdings" w:hAnsi="Wingdings" w:hint="default"/>
      </w:rPr>
    </w:lvl>
    <w:lvl w:ilvl="6" w:tplc="6840EDA6">
      <w:start w:val="1"/>
      <w:numFmt w:val="bullet"/>
      <w:lvlText w:val=""/>
      <w:lvlJc w:val="left"/>
      <w:pPr>
        <w:ind w:left="6120" w:hanging="360"/>
      </w:pPr>
      <w:rPr>
        <w:rFonts w:ascii="Symbol" w:hAnsi="Symbol" w:hint="default"/>
      </w:rPr>
    </w:lvl>
    <w:lvl w:ilvl="7" w:tplc="AF0282A0">
      <w:start w:val="1"/>
      <w:numFmt w:val="bullet"/>
      <w:lvlText w:val="o"/>
      <w:lvlJc w:val="left"/>
      <w:pPr>
        <w:ind w:left="6840" w:hanging="360"/>
      </w:pPr>
      <w:rPr>
        <w:rFonts w:ascii="Courier New" w:hAnsi="Courier New" w:hint="default"/>
      </w:rPr>
    </w:lvl>
    <w:lvl w:ilvl="8" w:tplc="DC14883A">
      <w:start w:val="1"/>
      <w:numFmt w:val="bullet"/>
      <w:lvlText w:val=""/>
      <w:lvlJc w:val="left"/>
      <w:pPr>
        <w:ind w:left="7560" w:hanging="360"/>
      </w:pPr>
      <w:rPr>
        <w:rFonts w:ascii="Wingdings" w:hAnsi="Wingdings" w:hint="default"/>
      </w:rPr>
    </w:lvl>
  </w:abstractNum>
  <w:abstractNum w:abstractNumId="17" w15:restartNumberingAfterBreak="0">
    <w:nsid w:val="146E6CF0"/>
    <w:multiLevelType w:val="hybridMultilevel"/>
    <w:tmpl w:val="1AE6405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8" w15:restartNumberingAfterBreak="0">
    <w:nsid w:val="1685260A"/>
    <w:multiLevelType w:val="hybridMultilevel"/>
    <w:tmpl w:val="8B049EA8"/>
    <w:lvl w:ilvl="0" w:tplc="0AA4A5EC">
      <w:start w:val="1"/>
      <w:numFmt w:val="bullet"/>
      <w:lvlText w:val="·"/>
      <w:lvlJc w:val="left"/>
      <w:pPr>
        <w:ind w:left="1800" w:hanging="360"/>
      </w:pPr>
      <w:rPr>
        <w:rFonts w:ascii="Symbol" w:hAnsi="Symbol" w:hint="default"/>
      </w:rPr>
    </w:lvl>
    <w:lvl w:ilvl="1" w:tplc="BB10DF22">
      <w:start w:val="1"/>
      <w:numFmt w:val="bullet"/>
      <w:lvlText w:val="o"/>
      <w:lvlJc w:val="left"/>
      <w:pPr>
        <w:ind w:left="2520" w:hanging="360"/>
      </w:pPr>
      <w:rPr>
        <w:rFonts w:ascii="Courier New" w:hAnsi="Courier New" w:hint="default"/>
      </w:rPr>
    </w:lvl>
    <w:lvl w:ilvl="2" w:tplc="AE42A04A">
      <w:start w:val="1"/>
      <w:numFmt w:val="bullet"/>
      <w:lvlText w:val=""/>
      <w:lvlJc w:val="left"/>
      <w:pPr>
        <w:ind w:left="3240" w:hanging="360"/>
      </w:pPr>
      <w:rPr>
        <w:rFonts w:ascii="Wingdings" w:hAnsi="Wingdings" w:hint="default"/>
      </w:rPr>
    </w:lvl>
    <w:lvl w:ilvl="3" w:tplc="C038C968">
      <w:start w:val="1"/>
      <w:numFmt w:val="bullet"/>
      <w:lvlText w:val=""/>
      <w:lvlJc w:val="left"/>
      <w:pPr>
        <w:ind w:left="3960" w:hanging="360"/>
      </w:pPr>
      <w:rPr>
        <w:rFonts w:ascii="Symbol" w:hAnsi="Symbol" w:hint="default"/>
      </w:rPr>
    </w:lvl>
    <w:lvl w:ilvl="4" w:tplc="4300D89A">
      <w:start w:val="1"/>
      <w:numFmt w:val="bullet"/>
      <w:lvlText w:val="o"/>
      <w:lvlJc w:val="left"/>
      <w:pPr>
        <w:ind w:left="4680" w:hanging="360"/>
      </w:pPr>
      <w:rPr>
        <w:rFonts w:ascii="Courier New" w:hAnsi="Courier New" w:hint="default"/>
      </w:rPr>
    </w:lvl>
    <w:lvl w:ilvl="5" w:tplc="1C4024B0">
      <w:start w:val="1"/>
      <w:numFmt w:val="bullet"/>
      <w:lvlText w:val=""/>
      <w:lvlJc w:val="left"/>
      <w:pPr>
        <w:ind w:left="5400" w:hanging="360"/>
      </w:pPr>
      <w:rPr>
        <w:rFonts w:ascii="Wingdings" w:hAnsi="Wingdings" w:hint="default"/>
      </w:rPr>
    </w:lvl>
    <w:lvl w:ilvl="6" w:tplc="F0BCFFD2">
      <w:start w:val="1"/>
      <w:numFmt w:val="bullet"/>
      <w:lvlText w:val=""/>
      <w:lvlJc w:val="left"/>
      <w:pPr>
        <w:ind w:left="6120" w:hanging="360"/>
      </w:pPr>
      <w:rPr>
        <w:rFonts w:ascii="Symbol" w:hAnsi="Symbol" w:hint="default"/>
      </w:rPr>
    </w:lvl>
    <w:lvl w:ilvl="7" w:tplc="D73A7A00">
      <w:start w:val="1"/>
      <w:numFmt w:val="bullet"/>
      <w:lvlText w:val="o"/>
      <w:lvlJc w:val="left"/>
      <w:pPr>
        <w:ind w:left="6840" w:hanging="360"/>
      </w:pPr>
      <w:rPr>
        <w:rFonts w:ascii="Courier New" w:hAnsi="Courier New" w:hint="default"/>
      </w:rPr>
    </w:lvl>
    <w:lvl w:ilvl="8" w:tplc="B954700C">
      <w:start w:val="1"/>
      <w:numFmt w:val="bullet"/>
      <w:lvlText w:val=""/>
      <w:lvlJc w:val="left"/>
      <w:pPr>
        <w:ind w:left="7560" w:hanging="360"/>
      </w:pPr>
      <w:rPr>
        <w:rFonts w:ascii="Wingdings" w:hAnsi="Wingdings" w:hint="default"/>
      </w:rPr>
    </w:lvl>
  </w:abstractNum>
  <w:abstractNum w:abstractNumId="19" w15:restartNumberingAfterBreak="0">
    <w:nsid w:val="16F8640A"/>
    <w:multiLevelType w:val="hybridMultilevel"/>
    <w:tmpl w:val="45B4564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0" w15:restartNumberingAfterBreak="0">
    <w:nsid w:val="17B70B0C"/>
    <w:multiLevelType w:val="hybridMultilevel"/>
    <w:tmpl w:val="1D6AB41E"/>
    <w:lvl w:ilvl="0" w:tplc="8064FDC8">
      <w:start w:val="1"/>
      <w:numFmt w:val="bullet"/>
      <w:lvlText w:val="•"/>
      <w:lvlJc w:val="left"/>
      <w:pPr>
        <w:ind w:left="720" w:hanging="360"/>
      </w:pPr>
      <w:rPr>
        <w:rFonts w:ascii="Arial" w:hAnsi="Arial" w:hint="default"/>
      </w:rPr>
    </w:lvl>
    <w:lvl w:ilvl="1" w:tplc="34090003">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1" w15:restartNumberingAfterBreak="0">
    <w:nsid w:val="17EF9AA8"/>
    <w:multiLevelType w:val="hybridMultilevel"/>
    <w:tmpl w:val="4A7E1906"/>
    <w:lvl w:ilvl="0" w:tplc="85383C7A">
      <w:start w:val="1"/>
      <w:numFmt w:val="bullet"/>
      <w:lvlText w:val="·"/>
      <w:lvlJc w:val="left"/>
      <w:pPr>
        <w:ind w:left="1800" w:hanging="360"/>
      </w:pPr>
      <w:rPr>
        <w:rFonts w:ascii="Symbol" w:hAnsi="Symbol" w:hint="default"/>
      </w:rPr>
    </w:lvl>
    <w:lvl w:ilvl="1" w:tplc="7FD6B88A">
      <w:start w:val="1"/>
      <w:numFmt w:val="bullet"/>
      <w:lvlText w:val="o"/>
      <w:lvlJc w:val="left"/>
      <w:pPr>
        <w:ind w:left="2520" w:hanging="360"/>
      </w:pPr>
      <w:rPr>
        <w:rFonts w:ascii="Courier New" w:hAnsi="Courier New" w:hint="default"/>
      </w:rPr>
    </w:lvl>
    <w:lvl w:ilvl="2" w:tplc="07CEB438">
      <w:start w:val="1"/>
      <w:numFmt w:val="bullet"/>
      <w:lvlText w:val=""/>
      <w:lvlJc w:val="left"/>
      <w:pPr>
        <w:ind w:left="3240" w:hanging="360"/>
      </w:pPr>
      <w:rPr>
        <w:rFonts w:ascii="Wingdings" w:hAnsi="Wingdings" w:hint="default"/>
      </w:rPr>
    </w:lvl>
    <w:lvl w:ilvl="3" w:tplc="532080E0">
      <w:start w:val="1"/>
      <w:numFmt w:val="bullet"/>
      <w:lvlText w:val=""/>
      <w:lvlJc w:val="left"/>
      <w:pPr>
        <w:ind w:left="3960" w:hanging="360"/>
      </w:pPr>
      <w:rPr>
        <w:rFonts w:ascii="Symbol" w:hAnsi="Symbol" w:hint="default"/>
      </w:rPr>
    </w:lvl>
    <w:lvl w:ilvl="4" w:tplc="8620E360">
      <w:start w:val="1"/>
      <w:numFmt w:val="bullet"/>
      <w:lvlText w:val="o"/>
      <w:lvlJc w:val="left"/>
      <w:pPr>
        <w:ind w:left="4680" w:hanging="360"/>
      </w:pPr>
      <w:rPr>
        <w:rFonts w:ascii="Courier New" w:hAnsi="Courier New" w:hint="default"/>
      </w:rPr>
    </w:lvl>
    <w:lvl w:ilvl="5" w:tplc="91F84762">
      <w:start w:val="1"/>
      <w:numFmt w:val="bullet"/>
      <w:lvlText w:val=""/>
      <w:lvlJc w:val="left"/>
      <w:pPr>
        <w:ind w:left="5400" w:hanging="360"/>
      </w:pPr>
      <w:rPr>
        <w:rFonts w:ascii="Wingdings" w:hAnsi="Wingdings" w:hint="default"/>
      </w:rPr>
    </w:lvl>
    <w:lvl w:ilvl="6" w:tplc="0E2627EA">
      <w:start w:val="1"/>
      <w:numFmt w:val="bullet"/>
      <w:lvlText w:val=""/>
      <w:lvlJc w:val="left"/>
      <w:pPr>
        <w:ind w:left="6120" w:hanging="360"/>
      </w:pPr>
      <w:rPr>
        <w:rFonts w:ascii="Symbol" w:hAnsi="Symbol" w:hint="default"/>
      </w:rPr>
    </w:lvl>
    <w:lvl w:ilvl="7" w:tplc="B8228ED8">
      <w:start w:val="1"/>
      <w:numFmt w:val="bullet"/>
      <w:lvlText w:val="o"/>
      <w:lvlJc w:val="left"/>
      <w:pPr>
        <w:ind w:left="6840" w:hanging="360"/>
      </w:pPr>
      <w:rPr>
        <w:rFonts w:ascii="Courier New" w:hAnsi="Courier New" w:hint="default"/>
      </w:rPr>
    </w:lvl>
    <w:lvl w:ilvl="8" w:tplc="6770C93A">
      <w:start w:val="1"/>
      <w:numFmt w:val="bullet"/>
      <w:lvlText w:val=""/>
      <w:lvlJc w:val="left"/>
      <w:pPr>
        <w:ind w:left="7560" w:hanging="360"/>
      </w:pPr>
      <w:rPr>
        <w:rFonts w:ascii="Wingdings" w:hAnsi="Wingdings" w:hint="default"/>
      </w:rPr>
    </w:lvl>
  </w:abstractNum>
  <w:abstractNum w:abstractNumId="22" w15:restartNumberingAfterBreak="0">
    <w:nsid w:val="186950FC"/>
    <w:multiLevelType w:val="hybridMultilevel"/>
    <w:tmpl w:val="87C6340E"/>
    <w:lvl w:ilvl="0" w:tplc="88CED62E">
      <w:start w:val="1"/>
      <w:numFmt w:val="upperRoman"/>
      <w:lvlText w:val="%1."/>
      <w:lvlJc w:val="right"/>
      <w:pPr>
        <w:ind w:left="1800" w:hanging="360"/>
      </w:pPr>
    </w:lvl>
    <w:lvl w:ilvl="1" w:tplc="4F88A28C">
      <w:start w:val="1"/>
      <w:numFmt w:val="lowerLetter"/>
      <w:lvlText w:val="%2."/>
      <w:lvlJc w:val="left"/>
      <w:pPr>
        <w:ind w:left="2520" w:hanging="360"/>
      </w:pPr>
    </w:lvl>
    <w:lvl w:ilvl="2" w:tplc="6D5857F0">
      <w:start w:val="1"/>
      <w:numFmt w:val="lowerRoman"/>
      <w:lvlText w:val="%3."/>
      <w:lvlJc w:val="right"/>
      <w:pPr>
        <w:ind w:left="3240" w:hanging="180"/>
      </w:pPr>
    </w:lvl>
    <w:lvl w:ilvl="3" w:tplc="041ACE7E">
      <w:start w:val="1"/>
      <w:numFmt w:val="decimal"/>
      <w:lvlText w:val="%4."/>
      <w:lvlJc w:val="left"/>
      <w:pPr>
        <w:ind w:left="3960" w:hanging="360"/>
      </w:pPr>
    </w:lvl>
    <w:lvl w:ilvl="4" w:tplc="55921994">
      <w:start w:val="1"/>
      <w:numFmt w:val="lowerLetter"/>
      <w:lvlText w:val="%5."/>
      <w:lvlJc w:val="left"/>
      <w:pPr>
        <w:ind w:left="4680" w:hanging="360"/>
      </w:pPr>
    </w:lvl>
    <w:lvl w:ilvl="5" w:tplc="C0F2B540">
      <w:start w:val="1"/>
      <w:numFmt w:val="lowerRoman"/>
      <w:lvlText w:val="%6."/>
      <w:lvlJc w:val="right"/>
      <w:pPr>
        <w:ind w:left="5400" w:hanging="180"/>
      </w:pPr>
    </w:lvl>
    <w:lvl w:ilvl="6" w:tplc="CC52E81E">
      <w:start w:val="1"/>
      <w:numFmt w:val="decimal"/>
      <w:lvlText w:val="%7."/>
      <w:lvlJc w:val="left"/>
      <w:pPr>
        <w:ind w:left="6120" w:hanging="360"/>
      </w:pPr>
    </w:lvl>
    <w:lvl w:ilvl="7" w:tplc="4DCCF1D6">
      <w:start w:val="1"/>
      <w:numFmt w:val="lowerLetter"/>
      <w:lvlText w:val="%8."/>
      <w:lvlJc w:val="left"/>
      <w:pPr>
        <w:ind w:left="6840" w:hanging="360"/>
      </w:pPr>
    </w:lvl>
    <w:lvl w:ilvl="8" w:tplc="5D10AE12">
      <w:start w:val="1"/>
      <w:numFmt w:val="lowerRoman"/>
      <w:lvlText w:val="%9."/>
      <w:lvlJc w:val="right"/>
      <w:pPr>
        <w:ind w:left="7560" w:hanging="180"/>
      </w:pPr>
    </w:lvl>
  </w:abstractNum>
  <w:abstractNum w:abstractNumId="23" w15:restartNumberingAfterBreak="0">
    <w:nsid w:val="18C4AE06"/>
    <w:multiLevelType w:val="hybridMultilevel"/>
    <w:tmpl w:val="499A0F76"/>
    <w:lvl w:ilvl="0" w:tplc="81981190">
      <w:start w:val="1"/>
      <w:numFmt w:val="bullet"/>
      <w:lvlText w:val="·"/>
      <w:lvlJc w:val="left"/>
      <w:pPr>
        <w:ind w:left="1800" w:hanging="360"/>
      </w:pPr>
      <w:rPr>
        <w:rFonts w:ascii="Symbol" w:hAnsi="Symbol" w:hint="default"/>
      </w:rPr>
    </w:lvl>
    <w:lvl w:ilvl="1" w:tplc="0BE80DA2">
      <w:start w:val="1"/>
      <w:numFmt w:val="bullet"/>
      <w:lvlText w:val="o"/>
      <w:lvlJc w:val="left"/>
      <w:pPr>
        <w:ind w:left="2520" w:hanging="360"/>
      </w:pPr>
      <w:rPr>
        <w:rFonts w:ascii="Symbol" w:hAnsi="Symbol" w:hint="default"/>
      </w:rPr>
    </w:lvl>
    <w:lvl w:ilvl="2" w:tplc="65A2850C">
      <w:start w:val="1"/>
      <w:numFmt w:val="bullet"/>
      <w:lvlText w:val=""/>
      <w:lvlJc w:val="left"/>
      <w:pPr>
        <w:ind w:left="3240" w:hanging="360"/>
      </w:pPr>
      <w:rPr>
        <w:rFonts w:ascii="Wingdings" w:hAnsi="Wingdings" w:hint="default"/>
      </w:rPr>
    </w:lvl>
    <w:lvl w:ilvl="3" w:tplc="BF2EC44C">
      <w:start w:val="1"/>
      <w:numFmt w:val="bullet"/>
      <w:lvlText w:val=""/>
      <w:lvlJc w:val="left"/>
      <w:pPr>
        <w:ind w:left="3960" w:hanging="360"/>
      </w:pPr>
      <w:rPr>
        <w:rFonts w:ascii="Symbol" w:hAnsi="Symbol" w:hint="default"/>
      </w:rPr>
    </w:lvl>
    <w:lvl w:ilvl="4" w:tplc="2DE624E8">
      <w:start w:val="1"/>
      <w:numFmt w:val="bullet"/>
      <w:lvlText w:val="o"/>
      <w:lvlJc w:val="left"/>
      <w:pPr>
        <w:ind w:left="4680" w:hanging="360"/>
      </w:pPr>
      <w:rPr>
        <w:rFonts w:ascii="Courier New" w:hAnsi="Courier New" w:hint="default"/>
      </w:rPr>
    </w:lvl>
    <w:lvl w:ilvl="5" w:tplc="330EF1B8">
      <w:start w:val="1"/>
      <w:numFmt w:val="bullet"/>
      <w:lvlText w:val=""/>
      <w:lvlJc w:val="left"/>
      <w:pPr>
        <w:ind w:left="5400" w:hanging="360"/>
      </w:pPr>
      <w:rPr>
        <w:rFonts w:ascii="Wingdings" w:hAnsi="Wingdings" w:hint="default"/>
      </w:rPr>
    </w:lvl>
    <w:lvl w:ilvl="6" w:tplc="E9586C14">
      <w:start w:val="1"/>
      <w:numFmt w:val="bullet"/>
      <w:lvlText w:val=""/>
      <w:lvlJc w:val="left"/>
      <w:pPr>
        <w:ind w:left="6120" w:hanging="360"/>
      </w:pPr>
      <w:rPr>
        <w:rFonts w:ascii="Symbol" w:hAnsi="Symbol" w:hint="default"/>
      </w:rPr>
    </w:lvl>
    <w:lvl w:ilvl="7" w:tplc="9DA666FE">
      <w:start w:val="1"/>
      <w:numFmt w:val="bullet"/>
      <w:lvlText w:val="o"/>
      <w:lvlJc w:val="left"/>
      <w:pPr>
        <w:ind w:left="6840" w:hanging="360"/>
      </w:pPr>
      <w:rPr>
        <w:rFonts w:ascii="Courier New" w:hAnsi="Courier New" w:hint="default"/>
      </w:rPr>
    </w:lvl>
    <w:lvl w:ilvl="8" w:tplc="7F686004">
      <w:start w:val="1"/>
      <w:numFmt w:val="bullet"/>
      <w:lvlText w:val=""/>
      <w:lvlJc w:val="left"/>
      <w:pPr>
        <w:ind w:left="7560" w:hanging="360"/>
      </w:pPr>
      <w:rPr>
        <w:rFonts w:ascii="Wingdings" w:hAnsi="Wingdings" w:hint="default"/>
      </w:rPr>
    </w:lvl>
  </w:abstractNum>
  <w:abstractNum w:abstractNumId="24" w15:restartNumberingAfterBreak="0">
    <w:nsid w:val="1AB10EAA"/>
    <w:multiLevelType w:val="hybridMultilevel"/>
    <w:tmpl w:val="5D201124"/>
    <w:lvl w:ilvl="0" w:tplc="F046353E">
      <w:start w:val="1"/>
      <w:numFmt w:val="bullet"/>
      <w:lvlText w:val="·"/>
      <w:lvlJc w:val="left"/>
      <w:pPr>
        <w:ind w:left="1800" w:hanging="360"/>
      </w:pPr>
      <w:rPr>
        <w:rFonts w:ascii="Symbol" w:hAnsi="Symbol" w:hint="default"/>
      </w:rPr>
    </w:lvl>
    <w:lvl w:ilvl="1" w:tplc="DBD63D86">
      <w:start w:val="1"/>
      <w:numFmt w:val="bullet"/>
      <w:lvlText w:val="o"/>
      <w:lvlJc w:val="left"/>
      <w:pPr>
        <w:ind w:left="2520" w:hanging="360"/>
      </w:pPr>
      <w:rPr>
        <w:rFonts w:ascii="Symbol" w:hAnsi="Symbol" w:hint="default"/>
      </w:rPr>
    </w:lvl>
    <w:lvl w:ilvl="2" w:tplc="A0F0BDC2">
      <w:start w:val="1"/>
      <w:numFmt w:val="bullet"/>
      <w:lvlText w:val=""/>
      <w:lvlJc w:val="left"/>
      <w:pPr>
        <w:ind w:left="3240" w:hanging="360"/>
      </w:pPr>
      <w:rPr>
        <w:rFonts w:ascii="Wingdings" w:hAnsi="Wingdings" w:hint="default"/>
      </w:rPr>
    </w:lvl>
    <w:lvl w:ilvl="3" w:tplc="5798E622">
      <w:start w:val="1"/>
      <w:numFmt w:val="bullet"/>
      <w:lvlText w:val=""/>
      <w:lvlJc w:val="left"/>
      <w:pPr>
        <w:ind w:left="3960" w:hanging="360"/>
      </w:pPr>
      <w:rPr>
        <w:rFonts w:ascii="Symbol" w:hAnsi="Symbol" w:hint="default"/>
      </w:rPr>
    </w:lvl>
    <w:lvl w:ilvl="4" w:tplc="2E32A2B2">
      <w:start w:val="1"/>
      <w:numFmt w:val="bullet"/>
      <w:lvlText w:val="o"/>
      <w:lvlJc w:val="left"/>
      <w:pPr>
        <w:ind w:left="4680" w:hanging="360"/>
      </w:pPr>
      <w:rPr>
        <w:rFonts w:ascii="Courier New" w:hAnsi="Courier New" w:hint="default"/>
      </w:rPr>
    </w:lvl>
    <w:lvl w:ilvl="5" w:tplc="1D04ABAA">
      <w:start w:val="1"/>
      <w:numFmt w:val="bullet"/>
      <w:lvlText w:val=""/>
      <w:lvlJc w:val="left"/>
      <w:pPr>
        <w:ind w:left="5400" w:hanging="360"/>
      </w:pPr>
      <w:rPr>
        <w:rFonts w:ascii="Wingdings" w:hAnsi="Wingdings" w:hint="default"/>
      </w:rPr>
    </w:lvl>
    <w:lvl w:ilvl="6" w:tplc="4A0E7A52">
      <w:start w:val="1"/>
      <w:numFmt w:val="bullet"/>
      <w:lvlText w:val=""/>
      <w:lvlJc w:val="left"/>
      <w:pPr>
        <w:ind w:left="6120" w:hanging="360"/>
      </w:pPr>
      <w:rPr>
        <w:rFonts w:ascii="Symbol" w:hAnsi="Symbol" w:hint="default"/>
      </w:rPr>
    </w:lvl>
    <w:lvl w:ilvl="7" w:tplc="01A6997A">
      <w:start w:val="1"/>
      <w:numFmt w:val="bullet"/>
      <w:lvlText w:val="o"/>
      <w:lvlJc w:val="left"/>
      <w:pPr>
        <w:ind w:left="6840" w:hanging="360"/>
      </w:pPr>
      <w:rPr>
        <w:rFonts w:ascii="Courier New" w:hAnsi="Courier New" w:hint="default"/>
      </w:rPr>
    </w:lvl>
    <w:lvl w:ilvl="8" w:tplc="7CAC662C">
      <w:start w:val="1"/>
      <w:numFmt w:val="bullet"/>
      <w:lvlText w:val=""/>
      <w:lvlJc w:val="left"/>
      <w:pPr>
        <w:ind w:left="7560" w:hanging="360"/>
      </w:pPr>
      <w:rPr>
        <w:rFonts w:ascii="Wingdings" w:hAnsi="Wingdings" w:hint="default"/>
      </w:rPr>
    </w:lvl>
  </w:abstractNum>
  <w:abstractNum w:abstractNumId="25" w15:restartNumberingAfterBreak="0">
    <w:nsid w:val="1B484426"/>
    <w:multiLevelType w:val="hybridMultilevel"/>
    <w:tmpl w:val="66649B6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6" w15:restartNumberingAfterBreak="0">
    <w:nsid w:val="1CE6F3FD"/>
    <w:multiLevelType w:val="hybridMultilevel"/>
    <w:tmpl w:val="1B9A64D0"/>
    <w:lvl w:ilvl="0" w:tplc="11D68EAE">
      <w:start w:val="1"/>
      <w:numFmt w:val="bullet"/>
      <w:lvlText w:val="·"/>
      <w:lvlJc w:val="left"/>
      <w:pPr>
        <w:ind w:left="1800" w:hanging="360"/>
      </w:pPr>
      <w:rPr>
        <w:rFonts w:ascii="Symbol" w:hAnsi="Symbol" w:hint="default"/>
      </w:rPr>
    </w:lvl>
    <w:lvl w:ilvl="1" w:tplc="2196D45E">
      <w:start w:val="1"/>
      <w:numFmt w:val="bullet"/>
      <w:lvlText w:val="o"/>
      <w:lvlJc w:val="left"/>
      <w:pPr>
        <w:ind w:left="2520" w:hanging="360"/>
      </w:pPr>
      <w:rPr>
        <w:rFonts w:ascii="Courier New" w:hAnsi="Courier New" w:hint="default"/>
      </w:rPr>
    </w:lvl>
    <w:lvl w:ilvl="2" w:tplc="9CC23030">
      <w:start w:val="1"/>
      <w:numFmt w:val="bullet"/>
      <w:lvlText w:val=""/>
      <w:lvlJc w:val="left"/>
      <w:pPr>
        <w:ind w:left="3240" w:hanging="360"/>
      </w:pPr>
      <w:rPr>
        <w:rFonts w:ascii="Wingdings" w:hAnsi="Wingdings" w:hint="default"/>
      </w:rPr>
    </w:lvl>
    <w:lvl w:ilvl="3" w:tplc="E8C6A722">
      <w:start w:val="1"/>
      <w:numFmt w:val="bullet"/>
      <w:lvlText w:val=""/>
      <w:lvlJc w:val="left"/>
      <w:pPr>
        <w:ind w:left="3960" w:hanging="360"/>
      </w:pPr>
      <w:rPr>
        <w:rFonts w:ascii="Symbol" w:hAnsi="Symbol" w:hint="default"/>
      </w:rPr>
    </w:lvl>
    <w:lvl w:ilvl="4" w:tplc="76563F84">
      <w:start w:val="1"/>
      <w:numFmt w:val="bullet"/>
      <w:lvlText w:val="o"/>
      <w:lvlJc w:val="left"/>
      <w:pPr>
        <w:ind w:left="4680" w:hanging="360"/>
      </w:pPr>
      <w:rPr>
        <w:rFonts w:ascii="Courier New" w:hAnsi="Courier New" w:hint="default"/>
      </w:rPr>
    </w:lvl>
    <w:lvl w:ilvl="5" w:tplc="2A40504A">
      <w:start w:val="1"/>
      <w:numFmt w:val="bullet"/>
      <w:lvlText w:val=""/>
      <w:lvlJc w:val="left"/>
      <w:pPr>
        <w:ind w:left="5400" w:hanging="360"/>
      </w:pPr>
      <w:rPr>
        <w:rFonts w:ascii="Wingdings" w:hAnsi="Wingdings" w:hint="default"/>
      </w:rPr>
    </w:lvl>
    <w:lvl w:ilvl="6" w:tplc="ADAE57F8">
      <w:start w:val="1"/>
      <w:numFmt w:val="bullet"/>
      <w:lvlText w:val=""/>
      <w:lvlJc w:val="left"/>
      <w:pPr>
        <w:ind w:left="6120" w:hanging="360"/>
      </w:pPr>
      <w:rPr>
        <w:rFonts w:ascii="Symbol" w:hAnsi="Symbol" w:hint="default"/>
      </w:rPr>
    </w:lvl>
    <w:lvl w:ilvl="7" w:tplc="4F98E646">
      <w:start w:val="1"/>
      <w:numFmt w:val="bullet"/>
      <w:lvlText w:val="o"/>
      <w:lvlJc w:val="left"/>
      <w:pPr>
        <w:ind w:left="6840" w:hanging="360"/>
      </w:pPr>
      <w:rPr>
        <w:rFonts w:ascii="Courier New" w:hAnsi="Courier New" w:hint="default"/>
      </w:rPr>
    </w:lvl>
    <w:lvl w:ilvl="8" w:tplc="C59C649C">
      <w:start w:val="1"/>
      <w:numFmt w:val="bullet"/>
      <w:lvlText w:val=""/>
      <w:lvlJc w:val="left"/>
      <w:pPr>
        <w:ind w:left="7560" w:hanging="360"/>
      </w:pPr>
      <w:rPr>
        <w:rFonts w:ascii="Wingdings" w:hAnsi="Wingdings" w:hint="default"/>
      </w:rPr>
    </w:lvl>
  </w:abstractNum>
  <w:abstractNum w:abstractNumId="27" w15:restartNumberingAfterBreak="0">
    <w:nsid w:val="1E20A7C6"/>
    <w:multiLevelType w:val="hybridMultilevel"/>
    <w:tmpl w:val="87E00640"/>
    <w:lvl w:ilvl="0" w:tplc="3C90E132">
      <w:start w:val="1"/>
      <w:numFmt w:val="bullet"/>
      <w:lvlText w:val="·"/>
      <w:lvlJc w:val="left"/>
      <w:pPr>
        <w:ind w:left="1800" w:hanging="360"/>
      </w:pPr>
      <w:rPr>
        <w:rFonts w:ascii="Symbol" w:hAnsi="Symbol" w:hint="default"/>
      </w:rPr>
    </w:lvl>
    <w:lvl w:ilvl="1" w:tplc="F1945798">
      <w:start w:val="1"/>
      <w:numFmt w:val="bullet"/>
      <w:lvlText w:val="o"/>
      <w:lvlJc w:val="left"/>
      <w:pPr>
        <w:ind w:left="2520" w:hanging="360"/>
      </w:pPr>
      <w:rPr>
        <w:rFonts w:ascii="Courier New" w:hAnsi="Courier New" w:hint="default"/>
      </w:rPr>
    </w:lvl>
    <w:lvl w:ilvl="2" w:tplc="C2E8C45E">
      <w:start w:val="1"/>
      <w:numFmt w:val="bullet"/>
      <w:lvlText w:val=""/>
      <w:lvlJc w:val="left"/>
      <w:pPr>
        <w:ind w:left="3240" w:hanging="360"/>
      </w:pPr>
      <w:rPr>
        <w:rFonts w:ascii="Wingdings" w:hAnsi="Wingdings" w:hint="default"/>
      </w:rPr>
    </w:lvl>
    <w:lvl w:ilvl="3" w:tplc="ECA623AC">
      <w:start w:val="1"/>
      <w:numFmt w:val="bullet"/>
      <w:lvlText w:val=""/>
      <w:lvlJc w:val="left"/>
      <w:pPr>
        <w:ind w:left="3960" w:hanging="360"/>
      </w:pPr>
      <w:rPr>
        <w:rFonts w:ascii="Symbol" w:hAnsi="Symbol" w:hint="default"/>
      </w:rPr>
    </w:lvl>
    <w:lvl w:ilvl="4" w:tplc="CE681B2E">
      <w:start w:val="1"/>
      <w:numFmt w:val="bullet"/>
      <w:lvlText w:val="o"/>
      <w:lvlJc w:val="left"/>
      <w:pPr>
        <w:ind w:left="4680" w:hanging="360"/>
      </w:pPr>
      <w:rPr>
        <w:rFonts w:ascii="Courier New" w:hAnsi="Courier New" w:hint="default"/>
      </w:rPr>
    </w:lvl>
    <w:lvl w:ilvl="5" w:tplc="39C4A172">
      <w:start w:val="1"/>
      <w:numFmt w:val="bullet"/>
      <w:lvlText w:val=""/>
      <w:lvlJc w:val="left"/>
      <w:pPr>
        <w:ind w:left="5400" w:hanging="360"/>
      </w:pPr>
      <w:rPr>
        <w:rFonts w:ascii="Wingdings" w:hAnsi="Wingdings" w:hint="default"/>
      </w:rPr>
    </w:lvl>
    <w:lvl w:ilvl="6" w:tplc="1A548352">
      <w:start w:val="1"/>
      <w:numFmt w:val="bullet"/>
      <w:lvlText w:val=""/>
      <w:lvlJc w:val="left"/>
      <w:pPr>
        <w:ind w:left="6120" w:hanging="360"/>
      </w:pPr>
      <w:rPr>
        <w:rFonts w:ascii="Symbol" w:hAnsi="Symbol" w:hint="default"/>
      </w:rPr>
    </w:lvl>
    <w:lvl w:ilvl="7" w:tplc="85B04E08">
      <w:start w:val="1"/>
      <w:numFmt w:val="bullet"/>
      <w:lvlText w:val="o"/>
      <w:lvlJc w:val="left"/>
      <w:pPr>
        <w:ind w:left="6840" w:hanging="360"/>
      </w:pPr>
      <w:rPr>
        <w:rFonts w:ascii="Courier New" w:hAnsi="Courier New" w:hint="default"/>
      </w:rPr>
    </w:lvl>
    <w:lvl w:ilvl="8" w:tplc="0A3862C6">
      <w:start w:val="1"/>
      <w:numFmt w:val="bullet"/>
      <w:lvlText w:val=""/>
      <w:lvlJc w:val="left"/>
      <w:pPr>
        <w:ind w:left="7560" w:hanging="360"/>
      </w:pPr>
      <w:rPr>
        <w:rFonts w:ascii="Wingdings" w:hAnsi="Wingdings" w:hint="default"/>
      </w:rPr>
    </w:lvl>
  </w:abstractNum>
  <w:abstractNum w:abstractNumId="28" w15:restartNumberingAfterBreak="0">
    <w:nsid w:val="1E780FD0"/>
    <w:multiLevelType w:val="hybridMultilevel"/>
    <w:tmpl w:val="6B92602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29" w15:restartNumberingAfterBreak="0">
    <w:nsid w:val="1EB1286F"/>
    <w:multiLevelType w:val="hybridMultilevel"/>
    <w:tmpl w:val="AE1E4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0" w15:restartNumberingAfterBreak="0">
    <w:nsid w:val="1ECE73E4"/>
    <w:multiLevelType w:val="hybridMultilevel"/>
    <w:tmpl w:val="9A345A2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1" w15:restartNumberingAfterBreak="0">
    <w:nsid w:val="1FDB55D1"/>
    <w:multiLevelType w:val="hybridMultilevel"/>
    <w:tmpl w:val="6438206E"/>
    <w:lvl w:ilvl="0" w:tplc="9A787F0E">
      <w:start w:val="1"/>
      <w:numFmt w:val="upperLetter"/>
      <w:lvlText w:val="%1."/>
      <w:lvlJc w:val="left"/>
      <w:pPr>
        <w:ind w:left="720" w:hanging="360"/>
      </w:pPr>
      <w:rPr>
        <w:b/>
        <w:bCs/>
        <w:sz w:val="20"/>
        <w:szCs w:val="20"/>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2" w15:restartNumberingAfterBreak="0">
    <w:nsid w:val="22862BBB"/>
    <w:multiLevelType w:val="hybridMultilevel"/>
    <w:tmpl w:val="9828B7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3" w15:restartNumberingAfterBreak="0">
    <w:nsid w:val="24251BEF"/>
    <w:multiLevelType w:val="hybridMultilevel"/>
    <w:tmpl w:val="6DF49A94"/>
    <w:lvl w:ilvl="0" w:tplc="95CE7F1A">
      <w:start w:val="1"/>
      <w:numFmt w:val="bullet"/>
      <w:lvlText w:val="·"/>
      <w:lvlJc w:val="left"/>
      <w:pPr>
        <w:ind w:left="1800" w:hanging="360"/>
      </w:pPr>
      <w:rPr>
        <w:rFonts w:ascii="Symbol" w:hAnsi="Symbol" w:hint="default"/>
      </w:rPr>
    </w:lvl>
    <w:lvl w:ilvl="1" w:tplc="A1FCE454">
      <w:start w:val="1"/>
      <w:numFmt w:val="bullet"/>
      <w:lvlText w:val="o"/>
      <w:lvlJc w:val="left"/>
      <w:pPr>
        <w:ind w:left="2520" w:hanging="360"/>
      </w:pPr>
      <w:rPr>
        <w:rFonts w:ascii="Symbol" w:hAnsi="Symbol" w:hint="default"/>
      </w:rPr>
    </w:lvl>
    <w:lvl w:ilvl="2" w:tplc="048267E0">
      <w:start w:val="1"/>
      <w:numFmt w:val="bullet"/>
      <w:lvlText w:val=""/>
      <w:lvlJc w:val="left"/>
      <w:pPr>
        <w:ind w:left="3240" w:hanging="360"/>
      </w:pPr>
      <w:rPr>
        <w:rFonts w:ascii="Wingdings" w:hAnsi="Wingdings" w:hint="default"/>
      </w:rPr>
    </w:lvl>
    <w:lvl w:ilvl="3" w:tplc="78A6D53C">
      <w:start w:val="1"/>
      <w:numFmt w:val="bullet"/>
      <w:lvlText w:val=""/>
      <w:lvlJc w:val="left"/>
      <w:pPr>
        <w:ind w:left="3960" w:hanging="360"/>
      </w:pPr>
      <w:rPr>
        <w:rFonts w:ascii="Symbol" w:hAnsi="Symbol" w:hint="default"/>
      </w:rPr>
    </w:lvl>
    <w:lvl w:ilvl="4" w:tplc="E68AE1D0">
      <w:start w:val="1"/>
      <w:numFmt w:val="bullet"/>
      <w:lvlText w:val="o"/>
      <w:lvlJc w:val="left"/>
      <w:pPr>
        <w:ind w:left="4680" w:hanging="360"/>
      </w:pPr>
      <w:rPr>
        <w:rFonts w:ascii="Courier New" w:hAnsi="Courier New" w:hint="default"/>
      </w:rPr>
    </w:lvl>
    <w:lvl w:ilvl="5" w:tplc="8E0850F0">
      <w:start w:val="1"/>
      <w:numFmt w:val="bullet"/>
      <w:lvlText w:val=""/>
      <w:lvlJc w:val="left"/>
      <w:pPr>
        <w:ind w:left="5400" w:hanging="360"/>
      </w:pPr>
      <w:rPr>
        <w:rFonts w:ascii="Wingdings" w:hAnsi="Wingdings" w:hint="default"/>
      </w:rPr>
    </w:lvl>
    <w:lvl w:ilvl="6" w:tplc="99DE5DCC">
      <w:start w:val="1"/>
      <w:numFmt w:val="bullet"/>
      <w:lvlText w:val=""/>
      <w:lvlJc w:val="left"/>
      <w:pPr>
        <w:ind w:left="6120" w:hanging="360"/>
      </w:pPr>
      <w:rPr>
        <w:rFonts w:ascii="Symbol" w:hAnsi="Symbol" w:hint="default"/>
      </w:rPr>
    </w:lvl>
    <w:lvl w:ilvl="7" w:tplc="B2C81EE8">
      <w:start w:val="1"/>
      <w:numFmt w:val="bullet"/>
      <w:lvlText w:val="o"/>
      <w:lvlJc w:val="left"/>
      <w:pPr>
        <w:ind w:left="6840" w:hanging="360"/>
      </w:pPr>
      <w:rPr>
        <w:rFonts w:ascii="Courier New" w:hAnsi="Courier New" w:hint="default"/>
      </w:rPr>
    </w:lvl>
    <w:lvl w:ilvl="8" w:tplc="1E5C32C0">
      <w:start w:val="1"/>
      <w:numFmt w:val="bullet"/>
      <w:lvlText w:val=""/>
      <w:lvlJc w:val="left"/>
      <w:pPr>
        <w:ind w:left="7560" w:hanging="360"/>
      </w:pPr>
      <w:rPr>
        <w:rFonts w:ascii="Wingdings" w:hAnsi="Wingdings" w:hint="default"/>
      </w:rPr>
    </w:lvl>
  </w:abstractNum>
  <w:abstractNum w:abstractNumId="34" w15:restartNumberingAfterBreak="0">
    <w:nsid w:val="242FD326"/>
    <w:multiLevelType w:val="hybridMultilevel"/>
    <w:tmpl w:val="D68E9E5A"/>
    <w:lvl w:ilvl="0" w:tplc="883E2306">
      <w:start w:val="1"/>
      <w:numFmt w:val="bullet"/>
      <w:lvlText w:val="·"/>
      <w:lvlJc w:val="left"/>
      <w:pPr>
        <w:ind w:left="1800" w:hanging="360"/>
      </w:pPr>
      <w:rPr>
        <w:rFonts w:ascii="Symbol" w:hAnsi="Symbol" w:hint="default"/>
      </w:rPr>
    </w:lvl>
    <w:lvl w:ilvl="1" w:tplc="0AF848C8">
      <w:start w:val="1"/>
      <w:numFmt w:val="bullet"/>
      <w:lvlText w:val="o"/>
      <w:lvlJc w:val="left"/>
      <w:pPr>
        <w:ind w:left="2520" w:hanging="360"/>
      </w:pPr>
      <w:rPr>
        <w:rFonts w:ascii="Courier New" w:hAnsi="Courier New" w:hint="default"/>
      </w:rPr>
    </w:lvl>
    <w:lvl w:ilvl="2" w:tplc="871CD5A6">
      <w:start w:val="1"/>
      <w:numFmt w:val="bullet"/>
      <w:lvlText w:val=""/>
      <w:lvlJc w:val="left"/>
      <w:pPr>
        <w:ind w:left="3240" w:hanging="360"/>
      </w:pPr>
      <w:rPr>
        <w:rFonts w:ascii="Wingdings" w:hAnsi="Wingdings" w:hint="default"/>
      </w:rPr>
    </w:lvl>
    <w:lvl w:ilvl="3" w:tplc="E7C62B2A">
      <w:start w:val="1"/>
      <w:numFmt w:val="bullet"/>
      <w:lvlText w:val=""/>
      <w:lvlJc w:val="left"/>
      <w:pPr>
        <w:ind w:left="3960" w:hanging="360"/>
      </w:pPr>
      <w:rPr>
        <w:rFonts w:ascii="Symbol" w:hAnsi="Symbol" w:hint="default"/>
      </w:rPr>
    </w:lvl>
    <w:lvl w:ilvl="4" w:tplc="4718D160">
      <w:start w:val="1"/>
      <w:numFmt w:val="bullet"/>
      <w:lvlText w:val="o"/>
      <w:lvlJc w:val="left"/>
      <w:pPr>
        <w:ind w:left="4680" w:hanging="360"/>
      </w:pPr>
      <w:rPr>
        <w:rFonts w:ascii="Courier New" w:hAnsi="Courier New" w:hint="default"/>
      </w:rPr>
    </w:lvl>
    <w:lvl w:ilvl="5" w:tplc="C95A1184">
      <w:start w:val="1"/>
      <w:numFmt w:val="bullet"/>
      <w:lvlText w:val=""/>
      <w:lvlJc w:val="left"/>
      <w:pPr>
        <w:ind w:left="5400" w:hanging="360"/>
      </w:pPr>
      <w:rPr>
        <w:rFonts w:ascii="Wingdings" w:hAnsi="Wingdings" w:hint="default"/>
      </w:rPr>
    </w:lvl>
    <w:lvl w:ilvl="6" w:tplc="46BE6C80">
      <w:start w:val="1"/>
      <w:numFmt w:val="bullet"/>
      <w:lvlText w:val=""/>
      <w:lvlJc w:val="left"/>
      <w:pPr>
        <w:ind w:left="6120" w:hanging="360"/>
      </w:pPr>
      <w:rPr>
        <w:rFonts w:ascii="Symbol" w:hAnsi="Symbol" w:hint="default"/>
      </w:rPr>
    </w:lvl>
    <w:lvl w:ilvl="7" w:tplc="0BFE5574">
      <w:start w:val="1"/>
      <w:numFmt w:val="bullet"/>
      <w:lvlText w:val="o"/>
      <w:lvlJc w:val="left"/>
      <w:pPr>
        <w:ind w:left="6840" w:hanging="360"/>
      </w:pPr>
      <w:rPr>
        <w:rFonts w:ascii="Courier New" w:hAnsi="Courier New" w:hint="default"/>
      </w:rPr>
    </w:lvl>
    <w:lvl w:ilvl="8" w:tplc="C39CF172">
      <w:start w:val="1"/>
      <w:numFmt w:val="bullet"/>
      <w:lvlText w:val=""/>
      <w:lvlJc w:val="left"/>
      <w:pPr>
        <w:ind w:left="7560" w:hanging="360"/>
      </w:pPr>
      <w:rPr>
        <w:rFonts w:ascii="Wingdings" w:hAnsi="Wingdings" w:hint="default"/>
      </w:rPr>
    </w:lvl>
  </w:abstractNum>
  <w:abstractNum w:abstractNumId="35" w15:restartNumberingAfterBreak="0">
    <w:nsid w:val="2675A332"/>
    <w:multiLevelType w:val="hybridMultilevel"/>
    <w:tmpl w:val="0706B93E"/>
    <w:lvl w:ilvl="0" w:tplc="0696200E">
      <w:start w:val="1"/>
      <w:numFmt w:val="bullet"/>
      <w:lvlText w:val=""/>
      <w:lvlJc w:val="left"/>
      <w:pPr>
        <w:ind w:left="1080" w:hanging="360"/>
      </w:pPr>
      <w:rPr>
        <w:rFonts w:ascii="Symbol" w:hAnsi="Symbol" w:hint="default"/>
      </w:rPr>
    </w:lvl>
    <w:lvl w:ilvl="1" w:tplc="344A6FC8">
      <w:start w:val="1"/>
      <w:numFmt w:val="bullet"/>
      <w:lvlText w:val="o"/>
      <w:lvlJc w:val="left"/>
      <w:pPr>
        <w:ind w:left="1800" w:hanging="360"/>
      </w:pPr>
      <w:rPr>
        <w:rFonts w:ascii="Courier New" w:hAnsi="Courier New" w:hint="default"/>
      </w:rPr>
    </w:lvl>
    <w:lvl w:ilvl="2" w:tplc="C3D8AAEC">
      <w:start w:val="1"/>
      <w:numFmt w:val="bullet"/>
      <w:lvlText w:val=""/>
      <w:lvlJc w:val="left"/>
      <w:pPr>
        <w:ind w:left="2520" w:hanging="360"/>
      </w:pPr>
      <w:rPr>
        <w:rFonts w:ascii="Wingdings" w:hAnsi="Wingdings" w:hint="default"/>
      </w:rPr>
    </w:lvl>
    <w:lvl w:ilvl="3" w:tplc="9872D1A2">
      <w:start w:val="1"/>
      <w:numFmt w:val="bullet"/>
      <w:lvlText w:val=""/>
      <w:lvlJc w:val="left"/>
      <w:pPr>
        <w:ind w:left="3240" w:hanging="360"/>
      </w:pPr>
      <w:rPr>
        <w:rFonts w:ascii="Symbol" w:hAnsi="Symbol" w:hint="default"/>
      </w:rPr>
    </w:lvl>
    <w:lvl w:ilvl="4" w:tplc="E81AC71C">
      <w:start w:val="1"/>
      <w:numFmt w:val="bullet"/>
      <w:lvlText w:val="o"/>
      <w:lvlJc w:val="left"/>
      <w:pPr>
        <w:ind w:left="3960" w:hanging="360"/>
      </w:pPr>
      <w:rPr>
        <w:rFonts w:ascii="Courier New" w:hAnsi="Courier New" w:hint="default"/>
      </w:rPr>
    </w:lvl>
    <w:lvl w:ilvl="5" w:tplc="07CC5CFC">
      <w:start w:val="1"/>
      <w:numFmt w:val="bullet"/>
      <w:lvlText w:val=""/>
      <w:lvlJc w:val="left"/>
      <w:pPr>
        <w:ind w:left="4680" w:hanging="360"/>
      </w:pPr>
      <w:rPr>
        <w:rFonts w:ascii="Wingdings" w:hAnsi="Wingdings" w:hint="default"/>
      </w:rPr>
    </w:lvl>
    <w:lvl w:ilvl="6" w:tplc="A6D2736A">
      <w:start w:val="1"/>
      <w:numFmt w:val="bullet"/>
      <w:lvlText w:val=""/>
      <w:lvlJc w:val="left"/>
      <w:pPr>
        <w:ind w:left="5400" w:hanging="360"/>
      </w:pPr>
      <w:rPr>
        <w:rFonts w:ascii="Symbol" w:hAnsi="Symbol" w:hint="default"/>
      </w:rPr>
    </w:lvl>
    <w:lvl w:ilvl="7" w:tplc="4D7E5BD8">
      <w:start w:val="1"/>
      <w:numFmt w:val="bullet"/>
      <w:lvlText w:val="o"/>
      <w:lvlJc w:val="left"/>
      <w:pPr>
        <w:ind w:left="6120" w:hanging="360"/>
      </w:pPr>
      <w:rPr>
        <w:rFonts w:ascii="Courier New" w:hAnsi="Courier New" w:hint="default"/>
      </w:rPr>
    </w:lvl>
    <w:lvl w:ilvl="8" w:tplc="0778FD18">
      <w:start w:val="1"/>
      <w:numFmt w:val="bullet"/>
      <w:lvlText w:val=""/>
      <w:lvlJc w:val="left"/>
      <w:pPr>
        <w:ind w:left="6840" w:hanging="360"/>
      </w:pPr>
      <w:rPr>
        <w:rFonts w:ascii="Wingdings" w:hAnsi="Wingdings" w:hint="default"/>
      </w:rPr>
    </w:lvl>
  </w:abstractNum>
  <w:abstractNum w:abstractNumId="36" w15:restartNumberingAfterBreak="0">
    <w:nsid w:val="27057B1A"/>
    <w:multiLevelType w:val="hybridMultilevel"/>
    <w:tmpl w:val="138643D0"/>
    <w:lvl w:ilvl="0" w:tplc="03BCA5A6">
      <w:start w:val="1"/>
      <w:numFmt w:val="bullet"/>
      <w:lvlText w:val=""/>
      <w:lvlJc w:val="left"/>
      <w:pPr>
        <w:ind w:left="1440" w:hanging="360"/>
      </w:pPr>
      <w:rPr>
        <w:rFonts w:ascii="Symbol" w:hAnsi="Symbol" w:hint="default"/>
      </w:rPr>
    </w:lvl>
    <w:lvl w:ilvl="1" w:tplc="7310BB68">
      <w:start w:val="1"/>
      <w:numFmt w:val="bullet"/>
      <w:lvlText w:val="o"/>
      <w:lvlJc w:val="left"/>
      <w:pPr>
        <w:ind w:left="2160" w:hanging="360"/>
      </w:pPr>
      <w:rPr>
        <w:rFonts w:ascii="Courier New" w:hAnsi="Courier New" w:hint="default"/>
      </w:rPr>
    </w:lvl>
    <w:lvl w:ilvl="2" w:tplc="10EC99CA">
      <w:start w:val="1"/>
      <w:numFmt w:val="bullet"/>
      <w:lvlText w:val=""/>
      <w:lvlJc w:val="left"/>
      <w:pPr>
        <w:ind w:left="2880" w:hanging="360"/>
      </w:pPr>
      <w:rPr>
        <w:rFonts w:ascii="Wingdings" w:hAnsi="Wingdings" w:hint="default"/>
      </w:rPr>
    </w:lvl>
    <w:lvl w:ilvl="3" w:tplc="8486AA78">
      <w:start w:val="1"/>
      <w:numFmt w:val="bullet"/>
      <w:lvlText w:val=""/>
      <w:lvlJc w:val="left"/>
      <w:pPr>
        <w:ind w:left="3600" w:hanging="360"/>
      </w:pPr>
      <w:rPr>
        <w:rFonts w:ascii="Symbol" w:hAnsi="Symbol" w:hint="default"/>
      </w:rPr>
    </w:lvl>
    <w:lvl w:ilvl="4" w:tplc="5232DD94">
      <w:start w:val="1"/>
      <w:numFmt w:val="bullet"/>
      <w:lvlText w:val="o"/>
      <w:lvlJc w:val="left"/>
      <w:pPr>
        <w:ind w:left="4320" w:hanging="360"/>
      </w:pPr>
      <w:rPr>
        <w:rFonts w:ascii="Courier New" w:hAnsi="Courier New" w:hint="default"/>
      </w:rPr>
    </w:lvl>
    <w:lvl w:ilvl="5" w:tplc="3934FDF2">
      <w:start w:val="1"/>
      <w:numFmt w:val="bullet"/>
      <w:lvlText w:val=""/>
      <w:lvlJc w:val="left"/>
      <w:pPr>
        <w:ind w:left="5040" w:hanging="360"/>
      </w:pPr>
      <w:rPr>
        <w:rFonts w:ascii="Wingdings" w:hAnsi="Wingdings" w:hint="default"/>
      </w:rPr>
    </w:lvl>
    <w:lvl w:ilvl="6" w:tplc="E4B478C0">
      <w:start w:val="1"/>
      <w:numFmt w:val="bullet"/>
      <w:lvlText w:val=""/>
      <w:lvlJc w:val="left"/>
      <w:pPr>
        <w:ind w:left="5760" w:hanging="360"/>
      </w:pPr>
      <w:rPr>
        <w:rFonts w:ascii="Symbol" w:hAnsi="Symbol" w:hint="default"/>
      </w:rPr>
    </w:lvl>
    <w:lvl w:ilvl="7" w:tplc="F9B4330A">
      <w:start w:val="1"/>
      <w:numFmt w:val="bullet"/>
      <w:lvlText w:val="o"/>
      <w:lvlJc w:val="left"/>
      <w:pPr>
        <w:ind w:left="6480" w:hanging="360"/>
      </w:pPr>
      <w:rPr>
        <w:rFonts w:ascii="Courier New" w:hAnsi="Courier New" w:hint="default"/>
      </w:rPr>
    </w:lvl>
    <w:lvl w:ilvl="8" w:tplc="9184105E">
      <w:start w:val="1"/>
      <w:numFmt w:val="bullet"/>
      <w:lvlText w:val=""/>
      <w:lvlJc w:val="left"/>
      <w:pPr>
        <w:ind w:left="7200" w:hanging="360"/>
      </w:pPr>
      <w:rPr>
        <w:rFonts w:ascii="Wingdings" w:hAnsi="Wingdings" w:hint="default"/>
      </w:rPr>
    </w:lvl>
  </w:abstractNum>
  <w:abstractNum w:abstractNumId="37" w15:restartNumberingAfterBreak="0">
    <w:nsid w:val="27ED767D"/>
    <w:multiLevelType w:val="multilevel"/>
    <w:tmpl w:val="F3B2A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8533B56"/>
    <w:multiLevelType w:val="hybridMultilevel"/>
    <w:tmpl w:val="0584DA44"/>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9" w15:restartNumberingAfterBreak="0">
    <w:nsid w:val="28A7F3EE"/>
    <w:multiLevelType w:val="hybridMultilevel"/>
    <w:tmpl w:val="53427DB0"/>
    <w:lvl w:ilvl="0" w:tplc="4F8C0CA0">
      <w:start w:val="1"/>
      <w:numFmt w:val="bullet"/>
      <w:lvlText w:val=""/>
      <w:lvlJc w:val="left"/>
      <w:pPr>
        <w:ind w:left="1033" w:hanging="360"/>
      </w:pPr>
      <w:rPr>
        <w:rFonts w:ascii="Symbol" w:hAnsi="Symbol" w:hint="default"/>
      </w:rPr>
    </w:lvl>
    <w:lvl w:ilvl="1" w:tplc="D4704A58">
      <w:start w:val="1"/>
      <w:numFmt w:val="bullet"/>
      <w:lvlText w:val="o"/>
      <w:lvlJc w:val="left"/>
      <w:pPr>
        <w:ind w:left="1753" w:hanging="360"/>
      </w:pPr>
      <w:rPr>
        <w:rFonts w:ascii="Courier New" w:hAnsi="Courier New" w:hint="default"/>
      </w:rPr>
    </w:lvl>
    <w:lvl w:ilvl="2" w:tplc="950C6F6A">
      <w:start w:val="1"/>
      <w:numFmt w:val="bullet"/>
      <w:lvlText w:val=""/>
      <w:lvlJc w:val="left"/>
      <w:pPr>
        <w:ind w:left="2473" w:hanging="360"/>
      </w:pPr>
      <w:rPr>
        <w:rFonts w:ascii="Wingdings" w:hAnsi="Wingdings" w:hint="default"/>
      </w:rPr>
    </w:lvl>
    <w:lvl w:ilvl="3" w:tplc="A8C65266">
      <w:start w:val="1"/>
      <w:numFmt w:val="bullet"/>
      <w:lvlText w:val=""/>
      <w:lvlJc w:val="left"/>
      <w:pPr>
        <w:ind w:left="3193" w:hanging="360"/>
      </w:pPr>
      <w:rPr>
        <w:rFonts w:ascii="Symbol" w:hAnsi="Symbol" w:hint="default"/>
      </w:rPr>
    </w:lvl>
    <w:lvl w:ilvl="4" w:tplc="61EAA946">
      <w:start w:val="1"/>
      <w:numFmt w:val="bullet"/>
      <w:lvlText w:val="o"/>
      <w:lvlJc w:val="left"/>
      <w:pPr>
        <w:ind w:left="3913" w:hanging="360"/>
      </w:pPr>
      <w:rPr>
        <w:rFonts w:ascii="Courier New" w:hAnsi="Courier New" w:hint="default"/>
      </w:rPr>
    </w:lvl>
    <w:lvl w:ilvl="5" w:tplc="4FF83DDA">
      <w:start w:val="1"/>
      <w:numFmt w:val="bullet"/>
      <w:lvlText w:val=""/>
      <w:lvlJc w:val="left"/>
      <w:pPr>
        <w:ind w:left="4633" w:hanging="360"/>
      </w:pPr>
      <w:rPr>
        <w:rFonts w:ascii="Wingdings" w:hAnsi="Wingdings" w:hint="default"/>
      </w:rPr>
    </w:lvl>
    <w:lvl w:ilvl="6" w:tplc="2656115C">
      <w:start w:val="1"/>
      <w:numFmt w:val="bullet"/>
      <w:lvlText w:val=""/>
      <w:lvlJc w:val="left"/>
      <w:pPr>
        <w:ind w:left="5353" w:hanging="360"/>
      </w:pPr>
      <w:rPr>
        <w:rFonts w:ascii="Symbol" w:hAnsi="Symbol" w:hint="default"/>
      </w:rPr>
    </w:lvl>
    <w:lvl w:ilvl="7" w:tplc="3B84C32E">
      <w:start w:val="1"/>
      <w:numFmt w:val="bullet"/>
      <w:lvlText w:val="o"/>
      <w:lvlJc w:val="left"/>
      <w:pPr>
        <w:ind w:left="6073" w:hanging="360"/>
      </w:pPr>
      <w:rPr>
        <w:rFonts w:ascii="Courier New" w:hAnsi="Courier New" w:hint="default"/>
      </w:rPr>
    </w:lvl>
    <w:lvl w:ilvl="8" w:tplc="5A8E7384">
      <w:start w:val="1"/>
      <w:numFmt w:val="bullet"/>
      <w:lvlText w:val=""/>
      <w:lvlJc w:val="left"/>
      <w:pPr>
        <w:ind w:left="6793" w:hanging="360"/>
      </w:pPr>
      <w:rPr>
        <w:rFonts w:ascii="Wingdings" w:hAnsi="Wingdings" w:hint="default"/>
      </w:rPr>
    </w:lvl>
  </w:abstractNum>
  <w:abstractNum w:abstractNumId="40" w15:restartNumberingAfterBreak="0">
    <w:nsid w:val="28E224E4"/>
    <w:multiLevelType w:val="hybridMultilevel"/>
    <w:tmpl w:val="B510C528"/>
    <w:lvl w:ilvl="0" w:tplc="1F1A9000">
      <w:start w:val="1"/>
      <w:numFmt w:val="bullet"/>
      <w:lvlText w:val="·"/>
      <w:lvlJc w:val="left"/>
      <w:pPr>
        <w:ind w:left="1800" w:hanging="360"/>
      </w:pPr>
      <w:rPr>
        <w:rFonts w:ascii="Symbol" w:hAnsi="Symbol" w:hint="default"/>
      </w:rPr>
    </w:lvl>
    <w:lvl w:ilvl="1" w:tplc="D4E26800">
      <w:start w:val="1"/>
      <w:numFmt w:val="bullet"/>
      <w:lvlText w:val="o"/>
      <w:lvlJc w:val="left"/>
      <w:pPr>
        <w:ind w:left="2520" w:hanging="360"/>
      </w:pPr>
      <w:rPr>
        <w:rFonts w:ascii="Courier New" w:hAnsi="Courier New" w:hint="default"/>
      </w:rPr>
    </w:lvl>
    <w:lvl w:ilvl="2" w:tplc="5E74EE82">
      <w:start w:val="1"/>
      <w:numFmt w:val="bullet"/>
      <w:lvlText w:val=""/>
      <w:lvlJc w:val="left"/>
      <w:pPr>
        <w:ind w:left="3240" w:hanging="360"/>
      </w:pPr>
      <w:rPr>
        <w:rFonts w:ascii="Wingdings" w:hAnsi="Wingdings" w:hint="default"/>
      </w:rPr>
    </w:lvl>
    <w:lvl w:ilvl="3" w:tplc="7058646A">
      <w:start w:val="1"/>
      <w:numFmt w:val="bullet"/>
      <w:lvlText w:val=""/>
      <w:lvlJc w:val="left"/>
      <w:pPr>
        <w:ind w:left="3960" w:hanging="360"/>
      </w:pPr>
      <w:rPr>
        <w:rFonts w:ascii="Symbol" w:hAnsi="Symbol" w:hint="default"/>
      </w:rPr>
    </w:lvl>
    <w:lvl w:ilvl="4" w:tplc="989402E0">
      <w:start w:val="1"/>
      <w:numFmt w:val="bullet"/>
      <w:lvlText w:val="o"/>
      <w:lvlJc w:val="left"/>
      <w:pPr>
        <w:ind w:left="4680" w:hanging="360"/>
      </w:pPr>
      <w:rPr>
        <w:rFonts w:ascii="Courier New" w:hAnsi="Courier New" w:hint="default"/>
      </w:rPr>
    </w:lvl>
    <w:lvl w:ilvl="5" w:tplc="82EE6D8E">
      <w:start w:val="1"/>
      <w:numFmt w:val="bullet"/>
      <w:lvlText w:val=""/>
      <w:lvlJc w:val="left"/>
      <w:pPr>
        <w:ind w:left="5400" w:hanging="360"/>
      </w:pPr>
      <w:rPr>
        <w:rFonts w:ascii="Wingdings" w:hAnsi="Wingdings" w:hint="default"/>
      </w:rPr>
    </w:lvl>
    <w:lvl w:ilvl="6" w:tplc="69FA2160">
      <w:start w:val="1"/>
      <w:numFmt w:val="bullet"/>
      <w:lvlText w:val=""/>
      <w:lvlJc w:val="left"/>
      <w:pPr>
        <w:ind w:left="6120" w:hanging="360"/>
      </w:pPr>
      <w:rPr>
        <w:rFonts w:ascii="Symbol" w:hAnsi="Symbol" w:hint="default"/>
      </w:rPr>
    </w:lvl>
    <w:lvl w:ilvl="7" w:tplc="E1E0DD50">
      <w:start w:val="1"/>
      <w:numFmt w:val="bullet"/>
      <w:lvlText w:val="o"/>
      <w:lvlJc w:val="left"/>
      <w:pPr>
        <w:ind w:left="6840" w:hanging="360"/>
      </w:pPr>
      <w:rPr>
        <w:rFonts w:ascii="Courier New" w:hAnsi="Courier New" w:hint="default"/>
      </w:rPr>
    </w:lvl>
    <w:lvl w:ilvl="8" w:tplc="E16A4258">
      <w:start w:val="1"/>
      <w:numFmt w:val="bullet"/>
      <w:lvlText w:val=""/>
      <w:lvlJc w:val="left"/>
      <w:pPr>
        <w:ind w:left="7560" w:hanging="360"/>
      </w:pPr>
      <w:rPr>
        <w:rFonts w:ascii="Wingdings" w:hAnsi="Wingdings" w:hint="default"/>
      </w:rPr>
    </w:lvl>
  </w:abstractNum>
  <w:abstractNum w:abstractNumId="41" w15:restartNumberingAfterBreak="0">
    <w:nsid w:val="291959F1"/>
    <w:multiLevelType w:val="hybridMultilevel"/>
    <w:tmpl w:val="A4F02602"/>
    <w:lvl w:ilvl="0" w:tplc="82FEACB2">
      <w:start w:val="1"/>
      <w:numFmt w:val="bullet"/>
      <w:lvlText w:val="·"/>
      <w:lvlJc w:val="left"/>
      <w:pPr>
        <w:ind w:left="1800" w:hanging="360"/>
      </w:pPr>
      <w:rPr>
        <w:rFonts w:ascii="Symbol" w:hAnsi="Symbol" w:hint="default"/>
      </w:rPr>
    </w:lvl>
    <w:lvl w:ilvl="1" w:tplc="984ADB14">
      <w:start w:val="1"/>
      <w:numFmt w:val="bullet"/>
      <w:lvlText w:val="o"/>
      <w:lvlJc w:val="left"/>
      <w:pPr>
        <w:ind w:left="2520" w:hanging="360"/>
      </w:pPr>
      <w:rPr>
        <w:rFonts w:ascii="Courier New" w:hAnsi="Courier New" w:hint="default"/>
      </w:rPr>
    </w:lvl>
    <w:lvl w:ilvl="2" w:tplc="44AE1AB2">
      <w:start w:val="1"/>
      <w:numFmt w:val="bullet"/>
      <w:lvlText w:val=""/>
      <w:lvlJc w:val="left"/>
      <w:pPr>
        <w:ind w:left="3240" w:hanging="360"/>
      </w:pPr>
      <w:rPr>
        <w:rFonts w:ascii="Wingdings" w:hAnsi="Wingdings" w:hint="default"/>
      </w:rPr>
    </w:lvl>
    <w:lvl w:ilvl="3" w:tplc="77AC8CAC">
      <w:start w:val="1"/>
      <w:numFmt w:val="bullet"/>
      <w:lvlText w:val=""/>
      <w:lvlJc w:val="left"/>
      <w:pPr>
        <w:ind w:left="3960" w:hanging="360"/>
      </w:pPr>
      <w:rPr>
        <w:rFonts w:ascii="Symbol" w:hAnsi="Symbol" w:hint="default"/>
      </w:rPr>
    </w:lvl>
    <w:lvl w:ilvl="4" w:tplc="3E5CD2E0">
      <w:start w:val="1"/>
      <w:numFmt w:val="bullet"/>
      <w:lvlText w:val="o"/>
      <w:lvlJc w:val="left"/>
      <w:pPr>
        <w:ind w:left="4680" w:hanging="360"/>
      </w:pPr>
      <w:rPr>
        <w:rFonts w:ascii="Courier New" w:hAnsi="Courier New" w:hint="default"/>
      </w:rPr>
    </w:lvl>
    <w:lvl w:ilvl="5" w:tplc="813A258C">
      <w:start w:val="1"/>
      <w:numFmt w:val="bullet"/>
      <w:lvlText w:val=""/>
      <w:lvlJc w:val="left"/>
      <w:pPr>
        <w:ind w:left="5400" w:hanging="360"/>
      </w:pPr>
      <w:rPr>
        <w:rFonts w:ascii="Wingdings" w:hAnsi="Wingdings" w:hint="default"/>
      </w:rPr>
    </w:lvl>
    <w:lvl w:ilvl="6" w:tplc="D49C1AB8">
      <w:start w:val="1"/>
      <w:numFmt w:val="bullet"/>
      <w:lvlText w:val=""/>
      <w:lvlJc w:val="left"/>
      <w:pPr>
        <w:ind w:left="6120" w:hanging="360"/>
      </w:pPr>
      <w:rPr>
        <w:rFonts w:ascii="Symbol" w:hAnsi="Symbol" w:hint="default"/>
      </w:rPr>
    </w:lvl>
    <w:lvl w:ilvl="7" w:tplc="731A06EE">
      <w:start w:val="1"/>
      <w:numFmt w:val="bullet"/>
      <w:lvlText w:val="o"/>
      <w:lvlJc w:val="left"/>
      <w:pPr>
        <w:ind w:left="6840" w:hanging="360"/>
      </w:pPr>
      <w:rPr>
        <w:rFonts w:ascii="Courier New" w:hAnsi="Courier New" w:hint="default"/>
      </w:rPr>
    </w:lvl>
    <w:lvl w:ilvl="8" w:tplc="456A7016">
      <w:start w:val="1"/>
      <w:numFmt w:val="bullet"/>
      <w:lvlText w:val=""/>
      <w:lvlJc w:val="left"/>
      <w:pPr>
        <w:ind w:left="7560" w:hanging="360"/>
      </w:pPr>
      <w:rPr>
        <w:rFonts w:ascii="Wingdings" w:hAnsi="Wingdings" w:hint="default"/>
      </w:rPr>
    </w:lvl>
  </w:abstractNum>
  <w:abstractNum w:abstractNumId="42" w15:restartNumberingAfterBreak="0">
    <w:nsid w:val="296C6002"/>
    <w:multiLevelType w:val="hybridMultilevel"/>
    <w:tmpl w:val="D264CA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3" w15:restartNumberingAfterBreak="0">
    <w:nsid w:val="3117799E"/>
    <w:multiLevelType w:val="hybridMultilevel"/>
    <w:tmpl w:val="FE6AE2D8"/>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4" w15:restartNumberingAfterBreak="0">
    <w:nsid w:val="32774887"/>
    <w:multiLevelType w:val="hybridMultilevel"/>
    <w:tmpl w:val="38FA399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31E45F0"/>
    <w:multiLevelType w:val="hybridMultilevel"/>
    <w:tmpl w:val="4350AE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3354822"/>
    <w:multiLevelType w:val="multilevel"/>
    <w:tmpl w:val="5E5432C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15:restartNumberingAfterBreak="0">
    <w:nsid w:val="334D5713"/>
    <w:multiLevelType w:val="hybridMultilevel"/>
    <w:tmpl w:val="794E1D9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3C67048"/>
    <w:multiLevelType w:val="multilevel"/>
    <w:tmpl w:val="B2920FB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9" w15:restartNumberingAfterBreak="0">
    <w:nsid w:val="3537087D"/>
    <w:multiLevelType w:val="hybridMultilevel"/>
    <w:tmpl w:val="BB70300C"/>
    <w:lvl w:ilvl="0" w:tplc="B43015CC">
      <w:start w:val="1"/>
      <w:numFmt w:val="bullet"/>
      <w:lvlText w:val="·"/>
      <w:lvlJc w:val="left"/>
      <w:pPr>
        <w:ind w:left="1800" w:hanging="360"/>
      </w:pPr>
      <w:rPr>
        <w:rFonts w:ascii="Symbol" w:hAnsi="Symbol" w:hint="default"/>
      </w:rPr>
    </w:lvl>
    <w:lvl w:ilvl="1" w:tplc="A42E1E1C">
      <w:start w:val="1"/>
      <w:numFmt w:val="bullet"/>
      <w:lvlText w:val="o"/>
      <w:lvlJc w:val="left"/>
      <w:pPr>
        <w:ind w:left="2520" w:hanging="360"/>
      </w:pPr>
      <w:rPr>
        <w:rFonts w:ascii="Courier New" w:hAnsi="Courier New" w:hint="default"/>
      </w:rPr>
    </w:lvl>
    <w:lvl w:ilvl="2" w:tplc="81C87910">
      <w:start w:val="1"/>
      <w:numFmt w:val="bullet"/>
      <w:lvlText w:val=""/>
      <w:lvlJc w:val="left"/>
      <w:pPr>
        <w:ind w:left="3240" w:hanging="360"/>
      </w:pPr>
      <w:rPr>
        <w:rFonts w:ascii="Wingdings" w:hAnsi="Wingdings" w:hint="default"/>
      </w:rPr>
    </w:lvl>
    <w:lvl w:ilvl="3" w:tplc="CDA83034">
      <w:start w:val="1"/>
      <w:numFmt w:val="bullet"/>
      <w:lvlText w:val=""/>
      <w:lvlJc w:val="left"/>
      <w:pPr>
        <w:ind w:left="3960" w:hanging="360"/>
      </w:pPr>
      <w:rPr>
        <w:rFonts w:ascii="Symbol" w:hAnsi="Symbol" w:hint="default"/>
      </w:rPr>
    </w:lvl>
    <w:lvl w:ilvl="4" w:tplc="BC663CC4">
      <w:start w:val="1"/>
      <w:numFmt w:val="bullet"/>
      <w:lvlText w:val="o"/>
      <w:lvlJc w:val="left"/>
      <w:pPr>
        <w:ind w:left="4680" w:hanging="360"/>
      </w:pPr>
      <w:rPr>
        <w:rFonts w:ascii="Courier New" w:hAnsi="Courier New" w:hint="default"/>
      </w:rPr>
    </w:lvl>
    <w:lvl w:ilvl="5" w:tplc="7E18F7E0">
      <w:start w:val="1"/>
      <w:numFmt w:val="bullet"/>
      <w:lvlText w:val=""/>
      <w:lvlJc w:val="left"/>
      <w:pPr>
        <w:ind w:left="5400" w:hanging="360"/>
      </w:pPr>
      <w:rPr>
        <w:rFonts w:ascii="Wingdings" w:hAnsi="Wingdings" w:hint="default"/>
      </w:rPr>
    </w:lvl>
    <w:lvl w:ilvl="6" w:tplc="F2FEB1CC">
      <w:start w:val="1"/>
      <w:numFmt w:val="bullet"/>
      <w:lvlText w:val=""/>
      <w:lvlJc w:val="left"/>
      <w:pPr>
        <w:ind w:left="6120" w:hanging="360"/>
      </w:pPr>
      <w:rPr>
        <w:rFonts w:ascii="Symbol" w:hAnsi="Symbol" w:hint="default"/>
      </w:rPr>
    </w:lvl>
    <w:lvl w:ilvl="7" w:tplc="652E16AC">
      <w:start w:val="1"/>
      <w:numFmt w:val="bullet"/>
      <w:lvlText w:val="o"/>
      <w:lvlJc w:val="left"/>
      <w:pPr>
        <w:ind w:left="6840" w:hanging="360"/>
      </w:pPr>
      <w:rPr>
        <w:rFonts w:ascii="Courier New" w:hAnsi="Courier New" w:hint="default"/>
      </w:rPr>
    </w:lvl>
    <w:lvl w:ilvl="8" w:tplc="05620404">
      <w:start w:val="1"/>
      <w:numFmt w:val="bullet"/>
      <w:lvlText w:val=""/>
      <w:lvlJc w:val="left"/>
      <w:pPr>
        <w:ind w:left="7560" w:hanging="360"/>
      </w:pPr>
      <w:rPr>
        <w:rFonts w:ascii="Wingdings" w:hAnsi="Wingdings" w:hint="default"/>
      </w:rPr>
    </w:lvl>
  </w:abstractNum>
  <w:abstractNum w:abstractNumId="50" w15:restartNumberingAfterBreak="0">
    <w:nsid w:val="358907B4"/>
    <w:multiLevelType w:val="multilevel"/>
    <w:tmpl w:val="DB90B9E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376EE4E2"/>
    <w:multiLevelType w:val="hybridMultilevel"/>
    <w:tmpl w:val="3894DB0E"/>
    <w:lvl w:ilvl="0" w:tplc="68CA6F56">
      <w:start w:val="1"/>
      <w:numFmt w:val="bullet"/>
      <w:lvlText w:val="·"/>
      <w:lvlJc w:val="left"/>
      <w:pPr>
        <w:ind w:left="1800" w:hanging="360"/>
      </w:pPr>
      <w:rPr>
        <w:rFonts w:ascii="Symbol" w:hAnsi="Symbol" w:hint="default"/>
      </w:rPr>
    </w:lvl>
    <w:lvl w:ilvl="1" w:tplc="9BC8F36E">
      <w:start w:val="1"/>
      <w:numFmt w:val="bullet"/>
      <w:lvlText w:val="o"/>
      <w:lvlJc w:val="left"/>
      <w:pPr>
        <w:ind w:left="2520" w:hanging="360"/>
      </w:pPr>
      <w:rPr>
        <w:rFonts w:ascii="Symbol" w:hAnsi="Symbol" w:hint="default"/>
      </w:rPr>
    </w:lvl>
    <w:lvl w:ilvl="2" w:tplc="60680002">
      <w:start w:val="1"/>
      <w:numFmt w:val="bullet"/>
      <w:lvlText w:val=""/>
      <w:lvlJc w:val="left"/>
      <w:pPr>
        <w:ind w:left="3240" w:hanging="360"/>
      </w:pPr>
      <w:rPr>
        <w:rFonts w:ascii="Wingdings" w:hAnsi="Wingdings" w:hint="default"/>
      </w:rPr>
    </w:lvl>
    <w:lvl w:ilvl="3" w:tplc="B31A9654">
      <w:start w:val="1"/>
      <w:numFmt w:val="bullet"/>
      <w:lvlText w:val=""/>
      <w:lvlJc w:val="left"/>
      <w:pPr>
        <w:ind w:left="3960" w:hanging="360"/>
      </w:pPr>
      <w:rPr>
        <w:rFonts w:ascii="Symbol" w:hAnsi="Symbol" w:hint="default"/>
      </w:rPr>
    </w:lvl>
    <w:lvl w:ilvl="4" w:tplc="A74CBE08">
      <w:start w:val="1"/>
      <w:numFmt w:val="bullet"/>
      <w:lvlText w:val="o"/>
      <w:lvlJc w:val="left"/>
      <w:pPr>
        <w:ind w:left="4680" w:hanging="360"/>
      </w:pPr>
      <w:rPr>
        <w:rFonts w:ascii="Courier New" w:hAnsi="Courier New" w:hint="default"/>
      </w:rPr>
    </w:lvl>
    <w:lvl w:ilvl="5" w:tplc="C7521922">
      <w:start w:val="1"/>
      <w:numFmt w:val="bullet"/>
      <w:lvlText w:val=""/>
      <w:lvlJc w:val="left"/>
      <w:pPr>
        <w:ind w:left="5400" w:hanging="360"/>
      </w:pPr>
      <w:rPr>
        <w:rFonts w:ascii="Wingdings" w:hAnsi="Wingdings" w:hint="default"/>
      </w:rPr>
    </w:lvl>
    <w:lvl w:ilvl="6" w:tplc="9948C9B6">
      <w:start w:val="1"/>
      <w:numFmt w:val="bullet"/>
      <w:lvlText w:val=""/>
      <w:lvlJc w:val="left"/>
      <w:pPr>
        <w:ind w:left="6120" w:hanging="360"/>
      </w:pPr>
      <w:rPr>
        <w:rFonts w:ascii="Symbol" w:hAnsi="Symbol" w:hint="default"/>
      </w:rPr>
    </w:lvl>
    <w:lvl w:ilvl="7" w:tplc="FA0C42B6">
      <w:start w:val="1"/>
      <w:numFmt w:val="bullet"/>
      <w:lvlText w:val="o"/>
      <w:lvlJc w:val="left"/>
      <w:pPr>
        <w:ind w:left="6840" w:hanging="360"/>
      </w:pPr>
      <w:rPr>
        <w:rFonts w:ascii="Courier New" w:hAnsi="Courier New" w:hint="default"/>
      </w:rPr>
    </w:lvl>
    <w:lvl w:ilvl="8" w:tplc="BA6C6734">
      <w:start w:val="1"/>
      <w:numFmt w:val="bullet"/>
      <w:lvlText w:val=""/>
      <w:lvlJc w:val="left"/>
      <w:pPr>
        <w:ind w:left="7560" w:hanging="360"/>
      </w:pPr>
      <w:rPr>
        <w:rFonts w:ascii="Wingdings" w:hAnsi="Wingdings" w:hint="default"/>
      </w:rPr>
    </w:lvl>
  </w:abstractNum>
  <w:abstractNum w:abstractNumId="52" w15:restartNumberingAfterBreak="0">
    <w:nsid w:val="37F4459B"/>
    <w:multiLevelType w:val="hybridMultilevel"/>
    <w:tmpl w:val="3CB8C06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38704F4C"/>
    <w:multiLevelType w:val="hybridMultilevel"/>
    <w:tmpl w:val="D6B696E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4" w15:restartNumberingAfterBreak="0">
    <w:nsid w:val="39EF504A"/>
    <w:multiLevelType w:val="hybridMultilevel"/>
    <w:tmpl w:val="E802291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5" w15:restartNumberingAfterBreak="0">
    <w:nsid w:val="3A5D5353"/>
    <w:multiLevelType w:val="hybridMultilevel"/>
    <w:tmpl w:val="B568007E"/>
    <w:lvl w:ilvl="0" w:tplc="34090001">
      <w:start w:val="1"/>
      <w:numFmt w:val="bullet"/>
      <w:pStyle w:val="ListNumber2"/>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6" w15:restartNumberingAfterBreak="0">
    <w:nsid w:val="3B4807D3"/>
    <w:multiLevelType w:val="multilevel"/>
    <w:tmpl w:val="467A3A4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7" w15:restartNumberingAfterBreak="0">
    <w:nsid w:val="3C8D2627"/>
    <w:multiLevelType w:val="hybridMultilevel"/>
    <w:tmpl w:val="5B1CC37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3D3C5661"/>
    <w:multiLevelType w:val="hybridMultilevel"/>
    <w:tmpl w:val="357E8828"/>
    <w:lvl w:ilvl="0" w:tplc="3409000F">
      <w:start w:val="1"/>
      <w:numFmt w:val="decimal"/>
      <w:pStyle w:val="ListBullet3"/>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59" w15:restartNumberingAfterBreak="0">
    <w:nsid w:val="3F28330F"/>
    <w:multiLevelType w:val="multilevel"/>
    <w:tmpl w:val="204429A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0" w15:restartNumberingAfterBreak="0">
    <w:nsid w:val="3F44074D"/>
    <w:multiLevelType w:val="hybridMultilevel"/>
    <w:tmpl w:val="8EA85AC0"/>
    <w:lvl w:ilvl="0" w:tplc="DECE2098">
      <w:start w:val="1"/>
      <w:numFmt w:val="bullet"/>
      <w:lvlText w:val=""/>
      <w:lvlJc w:val="left"/>
      <w:pPr>
        <w:ind w:left="1440" w:hanging="360"/>
      </w:pPr>
      <w:rPr>
        <w:rFonts w:ascii="Symbol" w:hAnsi="Symbol" w:hint="default"/>
      </w:rPr>
    </w:lvl>
    <w:lvl w:ilvl="1" w:tplc="C2DCF424">
      <w:start w:val="1"/>
      <w:numFmt w:val="bullet"/>
      <w:lvlText w:val="o"/>
      <w:lvlJc w:val="left"/>
      <w:pPr>
        <w:ind w:left="2160" w:hanging="360"/>
      </w:pPr>
      <w:rPr>
        <w:rFonts w:ascii="Courier New" w:hAnsi="Courier New" w:hint="default"/>
      </w:rPr>
    </w:lvl>
    <w:lvl w:ilvl="2" w:tplc="B1B62C1A">
      <w:start w:val="1"/>
      <w:numFmt w:val="bullet"/>
      <w:lvlText w:val=""/>
      <w:lvlJc w:val="left"/>
      <w:pPr>
        <w:ind w:left="2880" w:hanging="360"/>
      </w:pPr>
      <w:rPr>
        <w:rFonts w:ascii="Wingdings" w:hAnsi="Wingdings" w:hint="default"/>
      </w:rPr>
    </w:lvl>
    <w:lvl w:ilvl="3" w:tplc="67E422D4">
      <w:start w:val="1"/>
      <w:numFmt w:val="bullet"/>
      <w:lvlText w:val=""/>
      <w:lvlJc w:val="left"/>
      <w:pPr>
        <w:ind w:left="3600" w:hanging="360"/>
      </w:pPr>
      <w:rPr>
        <w:rFonts w:ascii="Symbol" w:hAnsi="Symbol" w:hint="default"/>
      </w:rPr>
    </w:lvl>
    <w:lvl w:ilvl="4" w:tplc="7396ABE0">
      <w:start w:val="1"/>
      <w:numFmt w:val="bullet"/>
      <w:lvlText w:val="o"/>
      <w:lvlJc w:val="left"/>
      <w:pPr>
        <w:ind w:left="4320" w:hanging="360"/>
      </w:pPr>
      <w:rPr>
        <w:rFonts w:ascii="Courier New" w:hAnsi="Courier New" w:hint="default"/>
      </w:rPr>
    </w:lvl>
    <w:lvl w:ilvl="5" w:tplc="1AA47B40">
      <w:start w:val="1"/>
      <w:numFmt w:val="bullet"/>
      <w:lvlText w:val=""/>
      <w:lvlJc w:val="left"/>
      <w:pPr>
        <w:ind w:left="5040" w:hanging="360"/>
      </w:pPr>
      <w:rPr>
        <w:rFonts w:ascii="Wingdings" w:hAnsi="Wingdings" w:hint="default"/>
      </w:rPr>
    </w:lvl>
    <w:lvl w:ilvl="6" w:tplc="CFBE207E">
      <w:start w:val="1"/>
      <w:numFmt w:val="bullet"/>
      <w:lvlText w:val=""/>
      <w:lvlJc w:val="left"/>
      <w:pPr>
        <w:ind w:left="5760" w:hanging="360"/>
      </w:pPr>
      <w:rPr>
        <w:rFonts w:ascii="Symbol" w:hAnsi="Symbol" w:hint="default"/>
      </w:rPr>
    </w:lvl>
    <w:lvl w:ilvl="7" w:tplc="09427EA4">
      <w:start w:val="1"/>
      <w:numFmt w:val="bullet"/>
      <w:lvlText w:val="o"/>
      <w:lvlJc w:val="left"/>
      <w:pPr>
        <w:ind w:left="6480" w:hanging="360"/>
      </w:pPr>
      <w:rPr>
        <w:rFonts w:ascii="Courier New" w:hAnsi="Courier New" w:hint="default"/>
      </w:rPr>
    </w:lvl>
    <w:lvl w:ilvl="8" w:tplc="E2E06570">
      <w:start w:val="1"/>
      <w:numFmt w:val="bullet"/>
      <w:lvlText w:val=""/>
      <w:lvlJc w:val="left"/>
      <w:pPr>
        <w:ind w:left="7200" w:hanging="360"/>
      </w:pPr>
      <w:rPr>
        <w:rFonts w:ascii="Wingdings" w:hAnsi="Wingdings" w:hint="default"/>
      </w:rPr>
    </w:lvl>
  </w:abstractNum>
  <w:abstractNum w:abstractNumId="61" w15:restartNumberingAfterBreak="0">
    <w:nsid w:val="42741D19"/>
    <w:multiLevelType w:val="hybridMultilevel"/>
    <w:tmpl w:val="F820ADF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2" w15:restartNumberingAfterBreak="0">
    <w:nsid w:val="43DC11FC"/>
    <w:multiLevelType w:val="hybridMultilevel"/>
    <w:tmpl w:val="2918F444"/>
    <w:lvl w:ilvl="0" w:tplc="8064FDC8">
      <w:start w:val="1"/>
      <w:numFmt w:val="bullet"/>
      <w:lvlText w:val="•"/>
      <w:lvlJc w:val="left"/>
      <w:pPr>
        <w:tabs>
          <w:tab w:val="num" w:pos="720"/>
        </w:tabs>
        <w:ind w:left="720" w:hanging="360"/>
      </w:pPr>
      <w:rPr>
        <w:rFonts w:ascii="Arial" w:hAnsi="Arial" w:hint="default"/>
      </w:rPr>
    </w:lvl>
    <w:lvl w:ilvl="1" w:tplc="7E585896" w:tentative="1">
      <w:start w:val="1"/>
      <w:numFmt w:val="bullet"/>
      <w:lvlText w:val="•"/>
      <w:lvlJc w:val="left"/>
      <w:pPr>
        <w:tabs>
          <w:tab w:val="num" w:pos="1440"/>
        </w:tabs>
        <w:ind w:left="1440" w:hanging="360"/>
      </w:pPr>
      <w:rPr>
        <w:rFonts w:ascii="Arial" w:hAnsi="Arial" w:hint="default"/>
      </w:rPr>
    </w:lvl>
    <w:lvl w:ilvl="2" w:tplc="DDB6475E" w:tentative="1">
      <w:start w:val="1"/>
      <w:numFmt w:val="bullet"/>
      <w:lvlText w:val="•"/>
      <w:lvlJc w:val="left"/>
      <w:pPr>
        <w:tabs>
          <w:tab w:val="num" w:pos="2160"/>
        </w:tabs>
        <w:ind w:left="2160" w:hanging="360"/>
      </w:pPr>
      <w:rPr>
        <w:rFonts w:ascii="Arial" w:hAnsi="Arial" w:hint="default"/>
      </w:rPr>
    </w:lvl>
    <w:lvl w:ilvl="3" w:tplc="7884D4E2" w:tentative="1">
      <w:start w:val="1"/>
      <w:numFmt w:val="bullet"/>
      <w:lvlText w:val="•"/>
      <w:lvlJc w:val="left"/>
      <w:pPr>
        <w:tabs>
          <w:tab w:val="num" w:pos="2880"/>
        </w:tabs>
        <w:ind w:left="2880" w:hanging="360"/>
      </w:pPr>
      <w:rPr>
        <w:rFonts w:ascii="Arial" w:hAnsi="Arial" w:hint="default"/>
      </w:rPr>
    </w:lvl>
    <w:lvl w:ilvl="4" w:tplc="A2E2344E" w:tentative="1">
      <w:start w:val="1"/>
      <w:numFmt w:val="bullet"/>
      <w:lvlText w:val="•"/>
      <w:lvlJc w:val="left"/>
      <w:pPr>
        <w:tabs>
          <w:tab w:val="num" w:pos="3600"/>
        </w:tabs>
        <w:ind w:left="3600" w:hanging="360"/>
      </w:pPr>
      <w:rPr>
        <w:rFonts w:ascii="Arial" w:hAnsi="Arial" w:hint="default"/>
      </w:rPr>
    </w:lvl>
    <w:lvl w:ilvl="5" w:tplc="0EF2AA26" w:tentative="1">
      <w:start w:val="1"/>
      <w:numFmt w:val="bullet"/>
      <w:lvlText w:val="•"/>
      <w:lvlJc w:val="left"/>
      <w:pPr>
        <w:tabs>
          <w:tab w:val="num" w:pos="4320"/>
        </w:tabs>
        <w:ind w:left="4320" w:hanging="360"/>
      </w:pPr>
      <w:rPr>
        <w:rFonts w:ascii="Arial" w:hAnsi="Arial" w:hint="default"/>
      </w:rPr>
    </w:lvl>
    <w:lvl w:ilvl="6" w:tplc="1EAADB6E" w:tentative="1">
      <w:start w:val="1"/>
      <w:numFmt w:val="bullet"/>
      <w:lvlText w:val="•"/>
      <w:lvlJc w:val="left"/>
      <w:pPr>
        <w:tabs>
          <w:tab w:val="num" w:pos="5040"/>
        </w:tabs>
        <w:ind w:left="5040" w:hanging="360"/>
      </w:pPr>
      <w:rPr>
        <w:rFonts w:ascii="Arial" w:hAnsi="Arial" w:hint="default"/>
      </w:rPr>
    </w:lvl>
    <w:lvl w:ilvl="7" w:tplc="B7CC95F2" w:tentative="1">
      <w:start w:val="1"/>
      <w:numFmt w:val="bullet"/>
      <w:lvlText w:val="•"/>
      <w:lvlJc w:val="left"/>
      <w:pPr>
        <w:tabs>
          <w:tab w:val="num" w:pos="5760"/>
        </w:tabs>
        <w:ind w:left="5760" w:hanging="360"/>
      </w:pPr>
      <w:rPr>
        <w:rFonts w:ascii="Arial" w:hAnsi="Arial" w:hint="default"/>
      </w:rPr>
    </w:lvl>
    <w:lvl w:ilvl="8" w:tplc="00AC38DA"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4494AD20"/>
    <w:multiLevelType w:val="hybridMultilevel"/>
    <w:tmpl w:val="17E6324E"/>
    <w:lvl w:ilvl="0" w:tplc="2CC25D1A">
      <w:start w:val="1"/>
      <w:numFmt w:val="bullet"/>
      <w:lvlText w:val="·"/>
      <w:lvlJc w:val="left"/>
      <w:pPr>
        <w:ind w:left="1800" w:hanging="360"/>
      </w:pPr>
      <w:rPr>
        <w:rFonts w:ascii="Symbol" w:hAnsi="Symbol" w:hint="default"/>
      </w:rPr>
    </w:lvl>
    <w:lvl w:ilvl="1" w:tplc="37422690">
      <w:start w:val="1"/>
      <w:numFmt w:val="bullet"/>
      <w:lvlText w:val="o"/>
      <w:lvlJc w:val="left"/>
      <w:pPr>
        <w:ind w:left="2520" w:hanging="360"/>
      </w:pPr>
      <w:rPr>
        <w:rFonts w:ascii="Symbol" w:hAnsi="Symbol" w:hint="default"/>
      </w:rPr>
    </w:lvl>
    <w:lvl w:ilvl="2" w:tplc="C6FC2DAA">
      <w:start w:val="1"/>
      <w:numFmt w:val="bullet"/>
      <w:lvlText w:val=""/>
      <w:lvlJc w:val="left"/>
      <w:pPr>
        <w:ind w:left="3240" w:hanging="360"/>
      </w:pPr>
      <w:rPr>
        <w:rFonts w:ascii="Wingdings" w:hAnsi="Wingdings" w:hint="default"/>
      </w:rPr>
    </w:lvl>
    <w:lvl w:ilvl="3" w:tplc="392A8576">
      <w:start w:val="1"/>
      <w:numFmt w:val="bullet"/>
      <w:lvlText w:val=""/>
      <w:lvlJc w:val="left"/>
      <w:pPr>
        <w:ind w:left="3960" w:hanging="360"/>
      </w:pPr>
      <w:rPr>
        <w:rFonts w:ascii="Symbol" w:hAnsi="Symbol" w:hint="default"/>
      </w:rPr>
    </w:lvl>
    <w:lvl w:ilvl="4" w:tplc="8304A414">
      <w:start w:val="1"/>
      <w:numFmt w:val="bullet"/>
      <w:lvlText w:val="o"/>
      <w:lvlJc w:val="left"/>
      <w:pPr>
        <w:ind w:left="4680" w:hanging="360"/>
      </w:pPr>
      <w:rPr>
        <w:rFonts w:ascii="Courier New" w:hAnsi="Courier New" w:hint="default"/>
      </w:rPr>
    </w:lvl>
    <w:lvl w:ilvl="5" w:tplc="266C679C">
      <w:start w:val="1"/>
      <w:numFmt w:val="bullet"/>
      <w:lvlText w:val=""/>
      <w:lvlJc w:val="left"/>
      <w:pPr>
        <w:ind w:left="5400" w:hanging="360"/>
      </w:pPr>
      <w:rPr>
        <w:rFonts w:ascii="Wingdings" w:hAnsi="Wingdings" w:hint="default"/>
      </w:rPr>
    </w:lvl>
    <w:lvl w:ilvl="6" w:tplc="3050F430">
      <w:start w:val="1"/>
      <w:numFmt w:val="bullet"/>
      <w:lvlText w:val=""/>
      <w:lvlJc w:val="left"/>
      <w:pPr>
        <w:ind w:left="6120" w:hanging="360"/>
      </w:pPr>
      <w:rPr>
        <w:rFonts w:ascii="Symbol" w:hAnsi="Symbol" w:hint="default"/>
      </w:rPr>
    </w:lvl>
    <w:lvl w:ilvl="7" w:tplc="6E32F4C2">
      <w:start w:val="1"/>
      <w:numFmt w:val="bullet"/>
      <w:lvlText w:val="o"/>
      <w:lvlJc w:val="left"/>
      <w:pPr>
        <w:ind w:left="6840" w:hanging="360"/>
      </w:pPr>
      <w:rPr>
        <w:rFonts w:ascii="Courier New" w:hAnsi="Courier New" w:hint="default"/>
      </w:rPr>
    </w:lvl>
    <w:lvl w:ilvl="8" w:tplc="3E8CFC46">
      <w:start w:val="1"/>
      <w:numFmt w:val="bullet"/>
      <w:lvlText w:val=""/>
      <w:lvlJc w:val="left"/>
      <w:pPr>
        <w:ind w:left="7560" w:hanging="360"/>
      </w:pPr>
      <w:rPr>
        <w:rFonts w:ascii="Wingdings" w:hAnsi="Wingdings" w:hint="default"/>
      </w:rPr>
    </w:lvl>
  </w:abstractNum>
  <w:abstractNum w:abstractNumId="64" w15:restartNumberingAfterBreak="0">
    <w:nsid w:val="460DBDDB"/>
    <w:multiLevelType w:val="hybridMultilevel"/>
    <w:tmpl w:val="B15228A0"/>
    <w:lvl w:ilvl="0" w:tplc="0ABC50B6">
      <w:start w:val="1"/>
      <w:numFmt w:val="bullet"/>
      <w:lvlText w:val="·"/>
      <w:lvlJc w:val="left"/>
      <w:pPr>
        <w:ind w:left="1800" w:hanging="360"/>
      </w:pPr>
      <w:rPr>
        <w:rFonts w:ascii="Symbol" w:hAnsi="Symbol" w:hint="default"/>
      </w:rPr>
    </w:lvl>
    <w:lvl w:ilvl="1" w:tplc="BED0E0AC">
      <w:start w:val="1"/>
      <w:numFmt w:val="bullet"/>
      <w:lvlText w:val="o"/>
      <w:lvlJc w:val="left"/>
      <w:pPr>
        <w:ind w:left="2520" w:hanging="360"/>
      </w:pPr>
      <w:rPr>
        <w:rFonts w:ascii="Courier New" w:hAnsi="Courier New" w:hint="default"/>
      </w:rPr>
    </w:lvl>
    <w:lvl w:ilvl="2" w:tplc="B096F954">
      <w:start w:val="1"/>
      <w:numFmt w:val="bullet"/>
      <w:lvlText w:val=""/>
      <w:lvlJc w:val="left"/>
      <w:pPr>
        <w:ind w:left="3240" w:hanging="360"/>
      </w:pPr>
      <w:rPr>
        <w:rFonts w:ascii="Wingdings" w:hAnsi="Wingdings" w:hint="default"/>
      </w:rPr>
    </w:lvl>
    <w:lvl w:ilvl="3" w:tplc="9EDA79FA">
      <w:start w:val="1"/>
      <w:numFmt w:val="bullet"/>
      <w:lvlText w:val=""/>
      <w:lvlJc w:val="left"/>
      <w:pPr>
        <w:ind w:left="3960" w:hanging="360"/>
      </w:pPr>
      <w:rPr>
        <w:rFonts w:ascii="Symbol" w:hAnsi="Symbol" w:hint="default"/>
      </w:rPr>
    </w:lvl>
    <w:lvl w:ilvl="4" w:tplc="F404F89C">
      <w:start w:val="1"/>
      <w:numFmt w:val="bullet"/>
      <w:lvlText w:val="o"/>
      <w:lvlJc w:val="left"/>
      <w:pPr>
        <w:ind w:left="4680" w:hanging="360"/>
      </w:pPr>
      <w:rPr>
        <w:rFonts w:ascii="Courier New" w:hAnsi="Courier New" w:hint="default"/>
      </w:rPr>
    </w:lvl>
    <w:lvl w:ilvl="5" w:tplc="FA66D64C">
      <w:start w:val="1"/>
      <w:numFmt w:val="bullet"/>
      <w:lvlText w:val=""/>
      <w:lvlJc w:val="left"/>
      <w:pPr>
        <w:ind w:left="5400" w:hanging="360"/>
      </w:pPr>
      <w:rPr>
        <w:rFonts w:ascii="Wingdings" w:hAnsi="Wingdings" w:hint="default"/>
      </w:rPr>
    </w:lvl>
    <w:lvl w:ilvl="6" w:tplc="DCAEA54A">
      <w:start w:val="1"/>
      <w:numFmt w:val="bullet"/>
      <w:lvlText w:val=""/>
      <w:lvlJc w:val="left"/>
      <w:pPr>
        <w:ind w:left="6120" w:hanging="360"/>
      </w:pPr>
      <w:rPr>
        <w:rFonts w:ascii="Symbol" w:hAnsi="Symbol" w:hint="default"/>
      </w:rPr>
    </w:lvl>
    <w:lvl w:ilvl="7" w:tplc="A9AEE7D0">
      <w:start w:val="1"/>
      <w:numFmt w:val="bullet"/>
      <w:lvlText w:val="o"/>
      <w:lvlJc w:val="left"/>
      <w:pPr>
        <w:ind w:left="6840" w:hanging="360"/>
      </w:pPr>
      <w:rPr>
        <w:rFonts w:ascii="Courier New" w:hAnsi="Courier New" w:hint="default"/>
      </w:rPr>
    </w:lvl>
    <w:lvl w:ilvl="8" w:tplc="AA8C69E4">
      <w:start w:val="1"/>
      <w:numFmt w:val="bullet"/>
      <w:lvlText w:val=""/>
      <w:lvlJc w:val="left"/>
      <w:pPr>
        <w:ind w:left="7560" w:hanging="360"/>
      </w:pPr>
      <w:rPr>
        <w:rFonts w:ascii="Wingdings" w:hAnsi="Wingdings" w:hint="default"/>
      </w:rPr>
    </w:lvl>
  </w:abstractNum>
  <w:abstractNum w:abstractNumId="65" w15:restartNumberingAfterBreak="0">
    <w:nsid w:val="481D2D99"/>
    <w:multiLevelType w:val="hybridMultilevel"/>
    <w:tmpl w:val="9616660E"/>
    <w:lvl w:ilvl="0" w:tplc="83249F0C">
      <w:start w:val="1"/>
      <w:numFmt w:val="bullet"/>
      <w:lvlText w:val="·"/>
      <w:lvlJc w:val="left"/>
      <w:pPr>
        <w:ind w:left="1800" w:hanging="360"/>
      </w:pPr>
      <w:rPr>
        <w:rFonts w:ascii="Symbol" w:hAnsi="Symbol" w:hint="default"/>
      </w:rPr>
    </w:lvl>
    <w:lvl w:ilvl="1" w:tplc="145EB428">
      <w:start w:val="1"/>
      <w:numFmt w:val="bullet"/>
      <w:lvlText w:val="o"/>
      <w:lvlJc w:val="left"/>
      <w:pPr>
        <w:ind w:left="2520" w:hanging="360"/>
      </w:pPr>
      <w:rPr>
        <w:rFonts w:ascii="Courier New" w:hAnsi="Courier New" w:hint="default"/>
      </w:rPr>
    </w:lvl>
    <w:lvl w:ilvl="2" w:tplc="D258377A">
      <w:start w:val="1"/>
      <w:numFmt w:val="bullet"/>
      <w:lvlText w:val=""/>
      <w:lvlJc w:val="left"/>
      <w:pPr>
        <w:ind w:left="3240" w:hanging="360"/>
      </w:pPr>
      <w:rPr>
        <w:rFonts w:ascii="Wingdings" w:hAnsi="Wingdings" w:hint="default"/>
      </w:rPr>
    </w:lvl>
    <w:lvl w:ilvl="3" w:tplc="BDA60C4A">
      <w:start w:val="1"/>
      <w:numFmt w:val="bullet"/>
      <w:lvlText w:val=""/>
      <w:lvlJc w:val="left"/>
      <w:pPr>
        <w:ind w:left="3960" w:hanging="360"/>
      </w:pPr>
      <w:rPr>
        <w:rFonts w:ascii="Symbol" w:hAnsi="Symbol" w:hint="default"/>
      </w:rPr>
    </w:lvl>
    <w:lvl w:ilvl="4" w:tplc="E3C22AA8">
      <w:start w:val="1"/>
      <w:numFmt w:val="bullet"/>
      <w:lvlText w:val="o"/>
      <w:lvlJc w:val="left"/>
      <w:pPr>
        <w:ind w:left="4680" w:hanging="360"/>
      </w:pPr>
      <w:rPr>
        <w:rFonts w:ascii="Courier New" w:hAnsi="Courier New" w:hint="default"/>
      </w:rPr>
    </w:lvl>
    <w:lvl w:ilvl="5" w:tplc="BB7AB9A0">
      <w:start w:val="1"/>
      <w:numFmt w:val="bullet"/>
      <w:lvlText w:val=""/>
      <w:lvlJc w:val="left"/>
      <w:pPr>
        <w:ind w:left="5400" w:hanging="360"/>
      </w:pPr>
      <w:rPr>
        <w:rFonts w:ascii="Wingdings" w:hAnsi="Wingdings" w:hint="default"/>
      </w:rPr>
    </w:lvl>
    <w:lvl w:ilvl="6" w:tplc="B5ECCCD4">
      <w:start w:val="1"/>
      <w:numFmt w:val="bullet"/>
      <w:lvlText w:val=""/>
      <w:lvlJc w:val="left"/>
      <w:pPr>
        <w:ind w:left="6120" w:hanging="360"/>
      </w:pPr>
      <w:rPr>
        <w:rFonts w:ascii="Symbol" w:hAnsi="Symbol" w:hint="default"/>
      </w:rPr>
    </w:lvl>
    <w:lvl w:ilvl="7" w:tplc="7F4A9CA8">
      <w:start w:val="1"/>
      <w:numFmt w:val="bullet"/>
      <w:lvlText w:val="o"/>
      <w:lvlJc w:val="left"/>
      <w:pPr>
        <w:ind w:left="6840" w:hanging="360"/>
      </w:pPr>
      <w:rPr>
        <w:rFonts w:ascii="Courier New" w:hAnsi="Courier New" w:hint="default"/>
      </w:rPr>
    </w:lvl>
    <w:lvl w:ilvl="8" w:tplc="6A246602">
      <w:start w:val="1"/>
      <w:numFmt w:val="bullet"/>
      <w:lvlText w:val=""/>
      <w:lvlJc w:val="left"/>
      <w:pPr>
        <w:ind w:left="7560" w:hanging="360"/>
      </w:pPr>
      <w:rPr>
        <w:rFonts w:ascii="Wingdings" w:hAnsi="Wingdings" w:hint="default"/>
      </w:rPr>
    </w:lvl>
  </w:abstractNum>
  <w:abstractNum w:abstractNumId="66" w15:restartNumberingAfterBreak="0">
    <w:nsid w:val="48B5083B"/>
    <w:multiLevelType w:val="hybridMultilevel"/>
    <w:tmpl w:val="CB7AA4A0"/>
    <w:lvl w:ilvl="0" w:tplc="34090001">
      <w:start w:val="1"/>
      <w:numFmt w:val="bullet"/>
      <w:pStyle w:val="ListNumber"/>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7" w15:restartNumberingAfterBreak="0">
    <w:nsid w:val="495D45B2"/>
    <w:multiLevelType w:val="hybridMultilevel"/>
    <w:tmpl w:val="FD86C3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8" w15:restartNumberingAfterBreak="0">
    <w:nsid w:val="49C37D63"/>
    <w:multiLevelType w:val="multilevel"/>
    <w:tmpl w:val="1F0C7D8E"/>
    <w:lvl w:ilvl="0">
      <w:start w:val="1"/>
      <w:numFmt w:val="bullet"/>
      <w:pStyle w:val="ListBullet2"/>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EA37086"/>
    <w:multiLevelType w:val="hybridMultilevel"/>
    <w:tmpl w:val="C6903FFC"/>
    <w:lvl w:ilvl="0" w:tplc="F13AE3A6">
      <w:start w:val="1"/>
      <w:numFmt w:val="bullet"/>
      <w:lvlText w:val="·"/>
      <w:lvlJc w:val="left"/>
      <w:pPr>
        <w:ind w:left="1800" w:hanging="360"/>
      </w:pPr>
      <w:rPr>
        <w:rFonts w:ascii="Symbol" w:hAnsi="Symbol" w:hint="default"/>
      </w:rPr>
    </w:lvl>
    <w:lvl w:ilvl="1" w:tplc="D6EEE9E4">
      <w:start w:val="1"/>
      <w:numFmt w:val="bullet"/>
      <w:lvlText w:val="o"/>
      <w:lvlJc w:val="left"/>
      <w:pPr>
        <w:ind w:left="2520" w:hanging="360"/>
      </w:pPr>
      <w:rPr>
        <w:rFonts w:ascii="Courier New" w:hAnsi="Courier New" w:hint="default"/>
      </w:rPr>
    </w:lvl>
    <w:lvl w:ilvl="2" w:tplc="6BB436E8">
      <w:start w:val="1"/>
      <w:numFmt w:val="bullet"/>
      <w:lvlText w:val=""/>
      <w:lvlJc w:val="left"/>
      <w:pPr>
        <w:ind w:left="3240" w:hanging="360"/>
      </w:pPr>
      <w:rPr>
        <w:rFonts w:ascii="Wingdings" w:hAnsi="Wingdings" w:hint="default"/>
      </w:rPr>
    </w:lvl>
    <w:lvl w:ilvl="3" w:tplc="DE6A4212">
      <w:start w:val="1"/>
      <w:numFmt w:val="bullet"/>
      <w:lvlText w:val=""/>
      <w:lvlJc w:val="left"/>
      <w:pPr>
        <w:ind w:left="3960" w:hanging="360"/>
      </w:pPr>
      <w:rPr>
        <w:rFonts w:ascii="Symbol" w:hAnsi="Symbol" w:hint="default"/>
      </w:rPr>
    </w:lvl>
    <w:lvl w:ilvl="4" w:tplc="18FE5040">
      <w:start w:val="1"/>
      <w:numFmt w:val="bullet"/>
      <w:lvlText w:val="o"/>
      <w:lvlJc w:val="left"/>
      <w:pPr>
        <w:ind w:left="4680" w:hanging="360"/>
      </w:pPr>
      <w:rPr>
        <w:rFonts w:ascii="Courier New" w:hAnsi="Courier New" w:hint="default"/>
      </w:rPr>
    </w:lvl>
    <w:lvl w:ilvl="5" w:tplc="055E3C74">
      <w:start w:val="1"/>
      <w:numFmt w:val="bullet"/>
      <w:lvlText w:val=""/>
      <w:lvlJc w:val="left"/>
      <w:pPr>
        <w:ind w:left="5400" w:hanging="360"/>
      </w:pPr>
      <w:rPr>
        <w:rFonts w:ascii="Wingdings" w:hAnsi="Wingdings" w:hint="default"/>
      </w:rPr>
    </w:lvl>
    <w:lvl w:ilvl="6" w:tplc="9342BED2">
      <w:start w:val="1"/>
      <w:numFmt w:val="bullet"/>
      <w:lvlText w:val=""/>
      <w:lvlJc w:val="left"/>
      <w:pPr>
        <w:ind w:left="6120" w:hanging="360"/>
      </w:pPr>
      <w:rPr>
        <w:rFonts w:ascii="Symbol" w:hAnsi="Symbol" w:hint="default"/>
      </w:rPr>
    </w:lvl>
    <w:lvl w:ilvl="7" w:tplc="16200930">
      <w:start w:val="1"/>
      <w:numFmt w:val="bullet"/>
      <w:lvlText w:val="o"/>
      <w:lvlJc w:val="left"/>
      <w:pPr>
        <w:ind w:left="6840" w:hanging="360"/>
      </w:pPr>
      <w:rPr>
        <w:rFonts w:ascii="Courier New" w:hAnsi="Courier New" w:hint="default"/>
      </w:rPr>
    </w:lvl>
    <w:lvl w:ilvl="8" w:tplc="B22E28F8">
      <w:start w:val="1"/>
      <w:numFmt w:val="bullet"/>
      <w:lvlText w:val=""/>
      <w:lvlJc w:val="left"/>
      <w:pPr>
        <w:ind w:left="7560" w:hanging="360"/>
      </w:pPr>
      <w:rPr>
        <w:rFonts w:ascii="Wingdings" w:hAnsi="Wingdings" w:hint="default"/>
      </w:rPr>
    </w:lvl>
  </w:abstractNum>
  <w:abstractNum w:abstractNumId="70" w15:restartNumberingAfterBreak="0">
    <w:nsid w:val="4EBD0B6F"/>
    <w:multiLevelType w:val="hybridMultilevel"/>
    <w:tmpl w:val="7BC805C4"/>
    <w:lvl w:ilvl="0" w:tplc="7A6264E6">
      <w:start w:val="1"/>
      <w:numFmt w:val="lowerLetter"/>
      <w:lvlText w:val="%1."/>
      <w:lvlJc w:val="left"/>
      <w:pPr>
        <w:ind w:left="1080" w:hanging="360"/>
      </w:pPr>
      <w:rPr>
        <w:b/>
        <w:bCs/>
      </w:rPr>
    </w:lvl>
    <w:lvl w:ilvl="1" w:tplc="D6E832BC">
      <w:start w:val="1"/>
      <w:numFmt w:val="lowerLetter"/>
      <w:lvlText w:val="%2."/>
      <w:lvlJc w:val="left"/>
      <w:pPr>
        <w:ind w:left="1800" w:hanging="360"/>
      </w:pPr>
    </w:lvl>
    <w:lvl w:ilvl="2" w:tplc="B3F8E68E">
      <w:start w:val="1"/>
      <w:numFmt w:val="lowerRoman"/>
      <w:lvlText w:val="%3."/>
      <w:lvlJc w:val="right"/>
      <w:pPr>
        <w:ind w:left="2520" w:hanging="180"/>
      </w:pPr>
    </w:lvl>
    <w:lvl w:ilvl="3" w:tplc="9830F7E0">
      <w:start w:val="1"/>
      <w:numFmt w:val="decimal"/>
      <w:lvlText w:val="%4."/>
      <w:lvlJc w:val="left"/>
      <w:pPr>
        <w:ind w:left="3240" w:hanging="360"/>
      </w:pPr>
    </w:lvl>
    <w:lvl w:ilvl="4" w:tplc="E836E210">
      <w:start w:val="1"/>
      <w:numFmt w:val="lowerLetter"/>
      <w:lvlText w:val="%5."/>
      <w:lvlJc w:val="left"/>
      <w:pPr>
        <w:ind w:left="3960" w:hanging="360"/>
      </w:pPr>
    </w:lvl>
    <w:lvl w:ilvl="5" w:tplc="0B12FC72">
      <w:start w:val="1"/>
      <w:numFmt w:val="lowerRoman"/>
      <w:lvlText w:val="%6."/>
      <w:lvlJc w:val="right"/>
      <w:pPr>
        <w:ind w:left="4680" w:hanging="180"/>
      </w:pPr>
    </w:lvl>
    <w:lvl w:ilvl="6" w:tplc="3AF2DC9A">
      <w:start w:val="1"/>
      <w:numFmt w:val="decimal"/>
      <w:lvlText w:val="%7."/>
      <w:lvlJc w:val="left"/>
      <w:pPr>
        <w:ind w:left="5400" w:hanging="360"/>
      </w:pPr>
    </w:lvl>
    <w:lvl w:ilvl="7" w:tplc="B72A748A">
      <w:start w:val="1"/>
      <w:numFmt w:val="lowerLetter"/>
      <w:lvlText w:val="%8."/>
      <w:lvlJc w:val="left"/>
      <w:pPr>
        <w:ind w:left="6120" w:hanging="360"/>
      </w:pPr>
    </w:lvl>
    <w:lvl w:ilvl="8" w:tplc="2F6231F2">
      <w:start w:val="1"/>
      <w:numFmt w:val="lowerRoman"/>
      <w:lvlText w:val="%9."/>
      <w:lvlJc w:val="right"/>
      <w:pPr>
        <w:ind w:left="6840" w:hanging="180"/>
      </w:pPr>
    </w:lvl>
  </w:abstractNum>
  <w:abstractNum w:abstractNumId="71" w15:restartNumberingAfterBreak="0">
    <w:nsid w:val="4FDE6265"/>
    <w:multiLevelType w:val="hybridMultilevel"/>
    <w:tmpl w:val="D3A85A4C"/>
    <w:lvl w:ilvl="0" w:tplc="A6B03102">
      <w:start w:val="1"/>
      <w:numFmt w:val="bullet"/>
      <w:lvlText w:val="·"/>
      <w:lvlJc w:val="left"/>
      <w:pPr>
        <w:ind w:left="1800" w:hanging="360"/>
      </w:pPr>
      <w:rPr>
        <w:rFonts w:ascii="Symbol" w:hAnsi="Symbol" w:hint="default"/>
      </w:rPr>
    </w:lvl>
    <w:lvl w:ilvl="1" w:tplc="82EAADD0">
      <w:start w:val="1"/>
      <w:numFmt w:val="bullet"/>
      <w:lvlText w:val="o"/>
      <w:lvlJc w:val="left"/>
      <w:pPr>
        <w:ind w:left="2520" w:hanging="360"/>
      </w:pPr>
      <w:rPr>
        <w:rFonts w:ascii="Courier New" w:hAnsi="Courier New" w:hint="default"/>
      </w:rPr>
    </w:lvl>
    <w:lvl w:ilvl="2" w:tplc="8D0A3AA6">
      <w:start w:val="1"/>
      <w:numFmt w:val="bullet"/>
      <w:lvlText w:val=""/>
      <w:lvlJc w:val="left"/>
      <w:pPr>
        <w:ind w:left="3240" w:hanging="360"/>
      </w:pPr>
      <w:rPr>
        <w:rFonts w:ascii="Wingdings" w:hAnsi="Wingdings" w:hint="default"/>
      </w:rPr>
    </w:lvl>
    <w:lvl w:ilvl="3" w:tplc="4F92E5C6">
      <w:start w:val="1"/>
      <w:numFmt w:val="bullet"/>
      <w:lvlText w:val=""/>
      <w:lvlJc w:val="left"/>
      <w:pPr>
        <w:ind w:left="3960" w:hanging="360"/>
      </w:pPr>
      <w:rPr>
        <w:rFonts w:ascii="Symbol" w:hAnsi="Symbol" w:hint="default"/>
      </w:rPr>
    </w:lvl>
    <w:lvl w:ilvl="4" w:tplc="9F2869F4">
      <w:start w:val="1"/>
      <w:numFmt w:val="bullet"/>
      <w:lvlText w:val="o"/>
      <w:lvlJc w:val="left"/>
      <w:pPr>
        <w:ind w:left="4680" w:hanging="360"/>
      </w:pPr>
      <w:rPr>
        <w:rFonts w:ascii="Courier New" w:hAnsi="Courier New" w:hint="default"/>
      </w:rPr>
    </w:lvl>
    <w:lvl w:ilvl="5" w:tplc="18F6F9F6">
      <w:start w:val="1"/>
      <w:numFmt w:val="bullet"/>
      <w:lvlText w:val=""/>
      <w:lvlJc w:val="left"/>
      <w:pPr>
        <w:ind w:left="5400" w:hanging="360"/>
      </w:pPr>
      <w:rPr>
        <w:rFonts w:ascii="Wingdings" w:hAnsi="Wingdings" w:hint="default"/>
      </w:rPr>
    </w:lvl>
    <w:lvl w:ilvl="6" w:tplc="0598002E">
      <w:start w:val="1"/>
      <w:numFmt w:val="bullet"/>
      <w:lvlText w:val=""/>
      <w:lvlJc w:val="left"/>
      <w:pPr>
        <w:ind w:left="6120" w:hanging="360"/>
      </w:pPr>
      <w:rPr>
        <w:rFonts w:ascii="Symbol" w:hAnsi="Symbol" w:hint="default"/>
      </w:rPr>
    </w:lvl>
    <w:lvl w:ilvl="7" w:tplc="5A1EAB04">
      <w:start w:val="1"/>
      <w:numFmt w:val="bullet"/>
      <w:lvlText w:val="o"/>
      <w:lvlJc w:val="left"/>
      <w:pPr>
        <w:ind w:left="6840" w:hanging="360"/>
      </w:pPr>
      <w:rPr>
        <w:rFonts w:ascii="Courier New" w:hAnsi="Courier New" w:hint="default"/>
      </w:rPr>
    </w:lvl>
    <w:lvl w:ilvl="8" w:tplc="3FB09A20">
      <w:start w:val="1"/>
      <w:numFmt w:val="bullet"/>
      <w:lvlText w:val=""/>
      <w:lvlJc w:val="left"/>
      <w:pPr>
        <w:ind w:left="7560" w:hanging="360"/>
      </w:pPr>
      <w:rPr>
        <w:rFonts w:ascii="Wingdings" w:hAnsi="Wingdings" w:hint="default"/>
      </w:rPr>
    </w:lvl>
  </w:abstractNum>
  <w:abstractNum w:abstractNumId="72" w15:restartNumberingAfterBreak="0">
    <w:nsid w:val="503F3F02"/>
    <w:multiLevelType w:val="multilevel"/>
    <w:tmpl w:val="D1625B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15:restartNumberingAfterBreak="0">
    <w:nsid w:val="50ED4EB4"/>
    <w:multiLevelType w:val="hybridMultilevel"/>
    <w:tmpl w:val="15EA1CA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51F090AE"/>
    <w:multiLevelType w:val="hybridMultilevel"/>
    <w:tmpl w:val="C3646EF6"/>
    <w:lvl w:ilvl="0" w:tplc="40D497BC">
      <w:start w:val="1"/>
      <w:numFmt w:val="bullet"/>
      <w:lvlText w:val="§"/>
      <w:lvlJc w:val="left"/>
      <w:pPr>
        <w:ind w:left="1800" w:hanging="360"/>
      </w:pPr>
      <w:rPr>
        <w:rFonts w:ascii="Wingdings" w:hAnsi="Wingdings" w:hint="default"/>
      </w:rPr>
    </w:lvl>
    <w:lvl w:ilvl="1" w:tplc="93D244E6">
      <w:start w:val="1"/>
      <w:numFmt w:val="bullet"/>
      <w:lvlText w:val="o"/>
      <w:lvlJc w:val="left"/>
      <w:pPr>
        <w:ind w:left="2520" w:hanging="360"/>
      </w:pPr>
      <w:rPr>
        <w:rFonts w:ascii="Courier New" w:hAnsi="Courier New" w:hint="default"/>
      </w:rPr>
    </w:lvl>
    <w:lvl w:ilvl="2" w:tplc="7B46932A">
      <w:start w:val="1"/>
      <w:numFmt w:val="bullet"/>
      <w:lvlText w:val=""/>
      <w:lvlJc w:val="left"/>
      <w:pPr>
        <w:ind w:left="3240" w:hanging="360"/>
      </w:pPr>
      <w:rPr>
        <w:rFonts w:ascii="Wingdings" w:hAnsi="Wingdings" w:hint="default"/>
      </w:rPr>
    </w:lvl>
    <w:lvl w:ilvl="3" w:tplc="59E89190">
      <w:start w:val="1"/>
      <w:numFmt w:val="bullet"/>
      <w:lvlText w:val=""/>
      <w:lvlJc w:val="left"/>
      <w:pPr>
        <w:ind w:left="3960" w:hanging="360"/>
      </w:pPr>
      <w:rPr>
        <w:rFonts w:ascii="Symbol" w:hAnsi="Symbol" w:hint="default"/>
      </w:rPr>
    </w:lvl>
    <w:lvl w:ilvl="4" w:tplc="B192C5D0">
      <w:start w:val="1"/>
      <w:numFmt w:val="bullet"/>
      <w:lvlText w:val="o"/>
      <w:lvlJc w:val="left"/>
      <w:pPr>
        <w:ind w:left="4680" w:hanging="360"/>
      </w:pPr>
      <w:rPr>
        <w:rFonts w:ascii="Courier New" w:hAnsi="Courier New" w:hint="default"/>
      </w:rPr>
    </w:lvl>
    <w:lvl w:ilvl="5" w:tplc="478C43AE">
      <w:start w:val="1"/>
      <w:numFmt w:val="bullet"/>
      <w:lvlText w:val=""/>
      <w:lvlJc w:val="left"/>
      <w:pPr>
        <w:ind w:left="5400" w:hanging="360"/>
      </w:pPr>
      <w:rPr>
        <w:rFonts w:ascii="Wingdings" w:hAnsi="Wingdings" w:hint="default"/>
      </w:rPr>
    </w:lvl>
    <w:lvl w:ilvl="6" w:tplc="DE7A6D7C">
      <w:start w:val="1"/>
      <w:numFmt w:val="bullet"/>
      <w:lvlText w:val=""/>
      <w:lvlJc w:val="left"/>
      <w:pPr>
        <w:ind w:left="6120" w:hanging="360"/>
      </w:pPr>
      <w:rPr>
        <w:rFonts w:ascii="Symbol" w:hAnsi="Symbol" w:hint="default"/>
      </w:rPr>
    </w:lvl>
    <w:lvl w:ilvl="7" w:tplc="9BBAAFD8">
      <w:start w:val="1"/>
      <w:numFmt w:val="bullet"/>
      <w:lvlText w:val="o"/>
      <w:lvlJc w:val="left"/>
      <w:pPr>
        <w:ind w:left="6840" w:hanging="360"/>
      </w:pPr>
      <w:rPr>
        <w:rFonts w:ascii="Courier New" w:hAnsi="Courier New" w:hint="default"/>
      </w:rPr>
    </w:lvl>
    <w:lvl w:ilvl="8" w:tplc="82F2E64A">
      <w:start w:val="1"/>
      <w:numFmt w:val="bullet"/>
      <w:lvlText w:val=""/>
      <w:lvlJc w:val="left"/>
      <w:pPr>
        <w:ind w:left="7560" w:hanging="360"/>
      </w:pPr>
      <w:rPr>
        <w:rFonts w:ascii="Wingdings" w:hAnsi="Wingdings" w:hint="default"/>
      </w:rPr>
    </w:lvl>
  </w:abstractNum>
  <w:abstractNum w:abstractNumId="75" w15:restartNumberingAfterBreak="0">
    <w:nsid w:val="51FE3310"/>
    <w:multiLevelType w:val="hybridMultilevel"/>
    <w:tmpl w:val="F8FA3FC2"/>
    <w:lvl w:ilvl="0" w:tplc="1832B7CE">
      <w:start w:val="2022"/>
      <w:numFmt w:val="bullet"/>
      <w:lvlText w:val="-"/>
      <w:lvlJc w:val="left"/>
      <w:pPr>
        <w:ind w:left="672" w:hanging="360"/>
      </w:pPr>
      <w:rPr>
        <w:rFonts w:ascii="Calibri" w:eastAsiaTheme="minorHAnsi" w:hAnsi="Calibri" w:cs="Calibri" w:hint="default"/>
      </w:rPr>
    </w:lvl>
    <w:lvl w:ilvl="1" w:tplc="34090003" w:tentative="1">
      <w:start w:val="1"/>
      <w:numFmt w:val="bullet"/>
      <w:lvlText w:val="o"/>
      <w:lvlJc w:val="left"/>
      <w:pPr>
        <w:ind w:left="1392" w:hanging="360"/>
      </w:pPr>
      <w:rPr>
        <w:rFonts w:ascii="Courier New" w:hAnsi="Courier New" w:cs="Courier New" w:hint="default"/>
      </w:rPr>
    </w:lvl>
    <w:lvl w:ilvl="2" w:tplc="34090005" w:tentative="1">
      <w:start w:val="1"/>
      <w:numFmt w:val="bullet"/>
      <w:lvlText w:val=""/>
      <w:lvlJc w:val="left"/>
      <w:pPr>
        <w:ind w:left="2112" w:hanging="360"/>
      </w:pPr>
      <w:rPr>
        <w:rFonts w:ascii="Wingdings" w:hAnsi="Wingdings" w:hint="default"/>
      </w:rPr>
    </w:lvl>
    <w:lvl w:ilvl="3" w:tplc="34090001" w:tentative="1">
      <w:start w:val="1"/>
      <w:numFmt w:val="bullet"/>
      <w:lvlText w:val=""/>
      <w:lvlJc w:val="left"/>
      <w:pPr>
        <w:ind w:left="2832" w:hanging="360"/>
      </w:pPr>
      <w:rPr>
        <w:rFonts w:ascii="Symbol" w:hAnsi="Symbol" w:hint="default"/>
      </w:rPr>
    </w:lvl>
    <w:lvl w:ilvl="4" w:tplc="34090003" w:tentative="1">
      <w:start w:val="1"/>
      <w:numFmt w:val="bullet"/>
      <w:lvlText w:val="o"/>
      <w:lvlJc w:val="left"/>
      <w:pPr>
        <w:ind w:left="3552" w:hanging="360"/>
      </w:pPr>
      <w:rPr>
        <w:rFonts w:ascii="Courier New" w:hAnsi="Courier New" w:cs="Courier New" w:hint="default"/>
      </w:rPr>
    </w:lvl>
    <w:lvl w:ilvl="5" w:tplc="34090005" w:tentative="1">
      <w:start w:val="1"/>
      <w:numFmt w:val="bullet"/>
      <w:lvlText w:val=""/>
      <w:lvlJc w:val="left"/>
      <w:pPr>
        <w:ind w:left="4272" w:hanging="360"/>
      </w:pPr>
      <w:rPr>
        <w:rFonts w:ascii="Wingdings" w:hAnsi="Wingdings" w:hint="default"/>
      </w:rPr>
    </w:lvl>
    <w:lvl w:ilvl="6" w:tplc="34090001" w:tentative="1">
      <w:start w:val="1"/>
      <w:numFmt w:val="bullet"/>
      <w:lvlText w:val=""/>
      <w:lvlJc w:val="left"/>
      <w:pPr>
        <w:ind w:left="4992" w:hanging="360"/>
      </w:pPr>
      <w:rPr>
        <w:rFonts w:ascii="Symbol" w:hAnsi="Symbol" w:hint="default"/>
      </w:rPr>
    </w:lvl>
    <w:lvl w:ilvl="7" w:tplc="34090003" w:tentative="1">
      <w:start w:val="1"/>
      <w:numFmt w:val="bullet"/>
      <w:lvlText w:val="o"/>
      <w:lvlJc w:val="left"/>
      <w:pPr>
        <w:ind w:left="5712" w:hanging="360"/>
      </w:pPr>
      <w:rPr>
        <w:rFonts w:ascii="Courier New" w:hAnsi="Courier New" w:cs="Courier New" w:hint="default"/>
      </w:rPr>
    </w:lvl>
    <w:lvl w:ilvl="8" w:tplc="34090005" w:tentative="1">
      <w:start w:val="1"/>
      <w:numFmt w:val="bullet"/>
      <w:lvlText w:val=""/>
      <w:lvlJc w:val="left"/>
      <w:pPr>
        <w:ind w:left="6432" w:hanging="360"/>
      </w:pPr>
      <w:rPr>
        <w:rFonts w:ascii="Wingdings" w:hAnsi="Wingdings" w:hint="default"/>
      </w:rPr>
    </w:lvl>
  </w:abstractNum>
  <w:abstractNum w:abstractNumId="76" w15:restartNumberingAfterBreak="0">
    <w:nsid w:val="525E2320"/>
    <w:multiLevelType w:val="hybridMultilevel"/>
    <w:tmpl w:val="33FE176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534A139E"/>
    <w:multiLevelType w:val="hybridMultilevel"/>
    <w:tmpl w:val="8A6827EA"/>
    <w:lvl w:ilvl="0" w:tplc="34090017">
      <w:start w:val="1"/>
      <w:numFmt w:val="lowerLetter"/>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8" w15:restartNumberingAfterBreak="0">
    <w:nsid w:val="56176883"/>
    <w:multiLevelType w:val="hybridMultilevel"/>
    <w:tmpl w:val="8D64AE38"/>
    <w:lvl w:ilvl="0" w:tplc="3409000F">
      <w:start w:val="1"/>
      <w:numFmt w:val="decimal"/>
      <w:lvlText w:val="%1."/>
      <w:lvlJc w:val="left"/>
      <w:pPr>
        <w:ind w:left="720" w:hanging="36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9" w15:restartNumberingAfterBreak="0">
    <w:nsid w:val="567F1CE2"/>
    <w:multiLevelType w:val="hybridMultilevel"/>
    <w:tmpl w:val="E3F60348"/>
    <w:lvl w:ilvl="0" w:tplc="A3300338">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0" w15:restartNumberingAfterBreak="0">
    <w:nsid w:val="57010FC0"/>
    <w:multiLevelType w:val="hybridMultilevel"/>
    <w:tmpl w:val="EDE0706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1" w15:restartNumberingAfterBreak="0">
    <w:nsid w:val="57B2A346"/>
    <w:multiLevelType w:val="hybridMultilevel"/>
    <w:tmpl w:val="257A3BF2"/>
    <w:lvl w:ilvl="0" w:tplc="43ACA972">
      <w:start w:val="1"/>
      <w:numFmt w:val="bullet"/>
      <w:lvlText w:val="·"/>
      <w:lvlJc w:val="left"/>
      <w:pPr>
        <w:ind w:left="1800" w:hanging="360"/>
      </w:pPr>
      <w:rPr>
        <w:rFonts w:ascii="Symbol" w:hAnsi="Symbol" w:hint="default"/>
      </w:rPr>
    </w:lvl>
    <w:lvl w:ilvl="1" w:tplc="13CE05C8">
      <w:start w:val="1"/>
      <w:numFmt w:val="bullet"/>
      <w:lvlText w:val="o"/>
      <w:lvlJc w:val="left"/>
      <w:pPr>
        <w:ind w:left="2520" w:hanging="360"/>
      </w:pPr>
      <w:rPr>
        <w:rFonts w:ascii="Courier New" w:hAnsi="Courier New" w:hint="default"/>
      </w:rPr>
    </w:lvl>
    <w:lvl w:ilvl="2" w:tplc="02061DD6">
      <w:start w:val="1"/>
      <w:numFmt w:val="bullet"/>
      <w:lvlText w:val=""/>
      <w:lvlJc w:val="left"/>
      <w:pPr>
        <w:ind w:left="3240" w:hanging="360"/>
      </w:pPr>
      <w:rPr>
        <w:rFonts w:ascii="Wingdings" w:hAnsi="Wingdings" w:hint="default"/>
      </w:rPr>
    </w:lvl>
    <w:lvl w:ilvl="3" w:tplc="07A83748">
      <w:start w:val="1"/>
      <w:numFmt w:val="bullet"/>
      <w:lvlText w:val=""/>
      <w:lvlJc w:val="left"/>
      <w:pPr>
        <w:ind w:left="3960" w:hanging="360"/>
      </w:pPr>
      <w:rPr>
        <w:rFonts w:ascii="Symbol" w:hAnsi="Symbol" w:hint="default"/>
      </w:rPr>
    </w:lvl>
    <w:lvl w:ilvl="4" w:tplc="377279FC">
      <w:start w:val="1"/>
      <w:numFmt w:val="bullet"/>
      <w:lvlText w:val="o"/>
      <w:lvlJc w:val="left"/>
      <w:pPr>
        <w:ind w:left="4680" w:hanging="360"/>
      </w:pPr>
      <w:rPr>
        <w:rFonts w:ascii="Courier New" w:hAnsi="Courier New" w:hint="default"/>
      </w:rPr>
    </w:lvl>
    <w:lvl w:ilvl="5" w:tplc="51DE3FDE">
      <w:start w:val="1"/>
      <w:numFmt w:val="bullet"/>
      <w:lvlText w:val=""/>
      <w:lvlJc w:val="left"/>
      <w:pPr>
        <w:ind w:left="5400" w:hanging="360"/>
      </w:pPr>
      <w:rPr>
        <w:rFonts w:ascii="Wingdings" w:hAnsi="Wingdings" w:hint="default"/>
      </w:rPr>
    </w:lvl>
    <w:lvl w:ilvl="6" w:tplc="BCE07ACA">
      <w:start w:val="1"/>
      <w:numFmt w:val="bullet"/>
      <w:lvlText w:val=""/>
      <w:lvlJc w:val="left"/>
      <w:pPr>
        <w:ind w:left="6120" w:hanging="360"/>
      </w:pPr>
      <w:rPr>
        <w:rFonts w:ascii="Symbol" w:hAnsi="Symbol" w:hint="default"/>
      </w:rPr>
    </w:lvl>
    <w:lvl w:ilvl="7" w:tplc="1F8ED9F6">
      <w:start w:val="1"/>
      <w:numFmt w:val="bullet"/>
      <w:lvlText w:val="o"/>
      <w:lvlJc w:val="left"/>
      <w:pPr>
        <w:ind w:left="6840" w:hanging="360"/>
      </w:pPr>
      <w:rPr>
        <w:rFonts w:ascii="Courier New" w:hAnsi="Courier New" w:hint="default"/>
      </w:rPr>
    </w:lvl>
    <w:lvl w:ilvl="8" w:tplc="6BEA6DEA">
      <w:start w:val="1"/>
      <w:numFmt w:val="bullet"/>
      <w:lvlText w:val=""/>
      <w:lvlJc w:val="left"/>
      <w:pPr>
        <w:ind w:left="7560" w:hanging="360"/>
      </w:pPr>
      <w:rPr>
        <w:rFonts w:ascii="Wingdings" w:hAnsi="Wingdings" w:hint="default"/>
      </w:rPr>
    </w:lvl>
  </w:abstractNum>
  <w:abstractNum w:abstractNumId="82" w15:restartNumberingAfterBreak="0">
    <w:nsid w:val="5918A292"/>
    <w:multiLevelType w:val="hybridMultilevel"/>
    <w:tmpl w:val="F8100458"/>
    <w:lvl w:ilvl="0" w:tplc="07967C32">
      <w:start w:val="1"/>
      <w:numFmt w:val="bullet"/>
      <w:lvlText w:val="·"/>
      <w:lvlJc w:val="left"/>
      <w:pPr>
        <w:ind w:left="1800" w:hanging="360"/>
      </w:pPr>
      <w:rPr>
        <w:rFonts w:ascii="Symbol" w:hAnsi="Symbol" w:hint="default"/>
      </w:rPr>
    </w:lvl>
    <w:lvl w:ilvl="1" w:tplc="0DD05A2E">
      <w:start w:val="1"/>
      <w:numFmt w:val="bullet"/>
      <w:lvlText w:val="o"/>
      <w:lvlJc w:val="left"/>
      <w:pPr>
        <w:ind w:left="2520" w:hanging="360"/>
      </w:pPr>
      <w:rPr>
        <w:rFonts w:ascii="Courier New" w:hAnsi="Courier New" w:hint="default"/>
      </w:rPr>
    </w:lvl>
    <w:lvl w:ilvl="2" w:tplc="F0DEF460">
      <w:start w:val="1"/>
      <w:numFmt w:val="bullet"/>
      <w:lvlText w:val=""/>
      <w:lvlJc w:val="left"/>
      <w:pPr>
        <w:ind w:left="3240" w:hanging="360"/>
      </w:pPr>
      <w:rPr>
        <w:rFonts w:ascii="Wingdings" w:hAnsi="Wingdings" w:hint="default"/>
      </w:rPr>
    </w:lvl>
    <w:lvl w:ilvl="3" w:tplc="B8BA515C">
      <w:start w:val="1"/>
      <w:numFmt w:val="bullet"/>
      <w:lvlText w:val=""/>
      <w:lvlJc w:val="left"/>
      <w:pPr>
        <w:ind w:left="3960" w:hanging="360"/>
      </w:pPr>
      <w:rPr>
        <w:rFonts w:ascii="Symbol" w:hAnsi="Symbol" w:hint="default"/>
      </w:rPr>
    </w:lvl>
    <w:lvl w:ilvl="4" w:tplc="87BEE456">
      <w:start w:val="1"/>
      <w:numFmt w:val="bullet"/>
      <w:lvlText w:val="o"/>
      <w:lvlJc w:val="left"/>
      <w:pPr>
        <w:ind w:left="4680" w:hanging="360"/>
      </w:pPr>
      <w:rPr>
        <w:rFonts w:ascii="Courier New" w:hAnsi="Courier New" w:hint="default"/>
      </w:rPr>
    </w:lvl>
    <w:lvl w:ilvl="5" w:tplc="4724B5F8">
      <w:start w:val="1"/>
      <w:numFmt w:val="bullet"/>
      <w:lvlText w:val=""/>
      <w:lvlJc w:val="left"/>
      <w:pPr>
        <w:ind w:left="5400" w:hanging="360"/>
      </w:pPr>
      <w:rPr>
        <w:rFonts w:ascii="Wingdings" w:hAnsi="Wingdings" w:hint="default"/>
      </w:rPr>
    </w:lvl>
    <w:lvl w:ilvl="6" w:tplc="62A84DB0">
      <w:start w:val="1"/>
      <w:numFmt w:val="bullet"/>
      <w:lvlText w:val=""/>
      <w:lvlJc w:val="left"/>
      <w:pPr>
        <w:ind w:left="6120" w:hanging="360"/>
      </w:pPr>
      <w:rPr>
        <w:rFonts w:ascii="Symbol" w:hAnsi="Symbol" w:hint="default"/>
      </w:rPr>
    </w:lvl>
    <w:lvl w:ilvl="7" w:tplc="CD3E7E04">
      <w:start w:val="1"/>
      <w:numFmt w:val="bullet"/>
      <w:lvlText w:val="o"/>
      <w:lvlJc w:val="left"/>
      <w:pPr>
        <w:ind w:left="6840" w:hanging="360"/>
      </w:pPr>
      <w:rPr>
        <w:rFonts w:ascii="Courier New" w:hAnsi="Courier New" w:hint="default"/>
      </w:rPr>
    </w:lvl>
    <w:lvl w:ilvl="8" w:tplc="EC9EE76E">
      <w:start w:val="1"/>
      <w:numFmt w:val="bullet"/>
      <w:lvlText w:val=""/>
      <w:lvlJc w:val="left"/>
      <w:pPr>
        <w:ind w:left="7560" w:hanging="360"/>
      </w:pPr>
      <w:rPr>
        <w:rFonts w:ascii="Wingdings" w:hAnsi="Wingdings" w:hint="default"/>
      </w:rPr>
    </w:lvl>
  </w:abstractNum>
  <w:abstractNum w:abstractNumId="83" w15:restartNumberingAfterBreak="0">
    <w:nsid w:val="5B3259D7"/>
    <w:multiLevelType w:val="multilevel"/>
    <w:tmpl w:val="C330B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5DF3782E"/>
    <w:multiLevelType w:val="multilevel"/>
    <w:tmpl w:val="D6FC3D0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5" w15:restartNumberingAfterBreak="0">
    <w:nsid w:val="5F1B474A"/>
    <w:multiLevelType w:val="hybridMultilevel"/>
    <w:tmpl w:val="53926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6" w15:restartNumberingAfterBreak="0">
    <w:nsid w:val="5F312698"/>
    <w:multiLevelType w:val="hybridMultilevel"/>
    <w:tmpl w:val="B734D790"/>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7" w15:restartNumberingAfterBreak="0">
    <w:nsid w:val="60C4153A"/>
    <w:multiLevelType w:val="hybridMultilevel"/>
    <w:tmpl w:val="A9A26160"/>
    <w:lvl w:ilvl="0" w:tplc="FC027A20">
      <w:start w:val="1"/>
      <w:numFmt w:val="upperLetter"/>
      <w:lvlText w:val="%1."/>
      <w:lvlJc w:val="left"/>
      <w:pPr>
        <w:ind w:left="720" w:hanging="360"/>
      </w:pPr>
      <w:rPr>
        <w:b/>
        <w:bCs/>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8" w15:restartNumberingAfterBreak="0">
    <w:nsid w:val="61FA7137"/>
    <w:multiLevelType w:val="hybridMultilevel"/>
    <w:tmpl w:val="5950E28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9" w15:restartNumberingAfterBreak="0">
    <w:nsid w:val="66D541D2"/>
    <w:multiLevelType w:val="hybridMultilevel"/>
    <w:tmpl w:val="8EF84C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67527F8B"/>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67AF6109"/>
    <w:multiLevelType w:val="hybridMultilevel"/>
    <w:tmpl w:val="A7B07A5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69C0349F"/>
    <w:multiLevelType w:val="hybridMultilevel"/>
    <w:tmpl w:val="E6AE4C72"/>
    <w:lvl w:ilvl="0" w:tplc="3409000F">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3" w15:restartNumberingAfterBreak="0">
    <w:nsid w:val="6B197F27"/>
    <w:multiLevelType w:val="hybridMultilevel"/>
    <w:tmpl w:val="84B2264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4" w15:restartNumberingAfterBreak="0">
    <w:nsid w:val="6B339951"/>
    <w:multiLevelType w:val="hybridMultilevel"/>
    <w:tmpl w:val="9D1E110E"/>
    <w:lvl w:ilvl="0" w:tplc="8C8AF512">
      <w:start w:val="1"/>
      <w:numFmt w:val="bullet"/>
      <w:lvlText w:val="·"/>
      <w:lvlJc w:val="left"/>
      <w:pPr>
        <w:ind w:left="1800" w:hanging="360"/>
      </w:pPr>
      <w:rPr>
        <w:rFonts w:ascii="Symbol" w:hAnsi="Symbol" w:hint="default"/>
      </w:rPr>
    </w:lvl>
    <w:lvl w:ilvl="1" w:tplc="39807296">
      <w:start w:val="1"/>
      <w:numFmt w:val="bullet"/>
      <w:lvlText w:val="o"/>
      <w:lvlJc w:val="left"/>
      <w:pPr>
        <w:ind w:left="2520" w:hanging="360"/>
      </w:pPr>
      <w:rPr>
        <w:rFonts w:ascii="Courier New" w:hAnsi="Courier New" w:hint="default"/>
      </w:rPr>
    </w:lvl>
    <w:lvl w:ilvl="2" w:tplc="8312D9D8">
      <w:start w:val="1"/>
      <w:numFmt w:val="bullet"/>
      <w:lvlText w:val=""/>
      <w:lvlJc w:val="left"/>
      <w:pPr>
        <w:ind w:left="3240" w:hanging="360"/>
      </w:pPr>
      <w:rPr>
        <w:rFonts w:ascii="Wingdings" w:hAnsi="Wingdings" w:hint="default"/>
      </w:rPr>
    </w:lvl>
    <w:lvl w:ilvl="3" w:tplc="DA965404">
      <w:start w:val="1"/>
      <w:numFmt w:val="bullet"/>
      <w:lvlText w:val=""/>
      <w:lvlJc w:val="left"/>
      <w:pPr>
        <w:ind w:left="3960" w:hanging="360"/>
      </w:pPr>
      <w:rPr>
        <w:rFonts w:ascii="Symbol" w:hAnsi="Symbol" w:hint="default"/>
      </w:rPr>
    </w:lvl>
    <w:lvl w:ilvl="4" w:tplc="AEB26A4C">
      <w:start w:val="1"/>
      <w:numFmt w:val="bullet"/>
      <w:lvlText w:val="o"/>
      <w:lvlJc w:val="left"/>
      <w:pPr>
        <w:ind w:left="4680" w:hanging="360"/>
      </w:pPr>
      <w:rPr>
        <w:rFonts w:ascii="Courier New" w:hAnsi="Courier New" w:hint="default"/>
      </w:rPr>
    </w:lvl>
    <w:lvl w:ilvl="5" w:tplc="80C486A4">
      <w:start w:val="1"/>
      <w:numFmt w:val="bullet"/>
      <w:lvlText w:val=""/>
      <w:lvlJc w:val="left"/>
      <w:pPr>
        <w:ind w:left="5400" w:hanging="360"/>
      </w:pPr>
      <w:rPr>
        <w:rFonts w:ascii="Wingdings" w:hAnsi="Wingdings" w:hint="default"/>
      </w:rPr>
    </w:lvl>
    <w:lvl w:ilvl="6" w:tplc="C94AA946">
      <w:start w:val="1"/>
      <w:numFmt w:val="bullet"/>
      <w:lvlText w:val=""/>
      <w:lvlJc w:val="left"/>
      <w:pPr>
        <w:ind w:left="6120" w:hanging="360"/>
      </w:pPr>
      <w:rPr>
        <w:rFonts w:ascii="Symbol" w:hAnsi="Symbol" w:hint="default"/>
      </w:rPr>
    </w:lvl>
    <w:lvl w:ilvl="7" w:tplc="8418FE14">
      <w:start w:val="1"/>
      <w:numFmt w:val="bullet"/>
      <w:lvlText w:val="o"/>
      <w:lvlJc w:val="left"/>
      <w:pPr>
        <w:ind w:left="6840" w:hanging="360"/>
      </w:pPr>
      <w:rPr>
        <w:rFonts w:ascii="Courier New" w:hAnsi="Courier New" w:hint="default"/>
      </w:rPr>
    </w:lvl>
    <w:lvl w:ilvl="8" w:tplc="CA1880C8">
      <w:start w:val="1"/>
      <w:numFmt w:val="bullet"/>
      <w:lvlText w:val=""/>
      <w:lvlJc w:val="left"/>
      <w:pPr>
        <w:ind w:left="7560" w:hanging="360"/>
      </w:pPr>
      <w:rPr>
        <w:rFonts w:ascii="Wingdings" w:hAnsi="Wingdings" w:hint="default"/>
      </w:rPr>
    </w:lvl>
  </w:abstractNum>
  <w:abstractNum w:abstractNumId="95" w15:restartNumberingAfterBreak="0">
    <w:nsid w:val="6CFD0393"/>
    <w:multiLevelType w:val="hybridMultilevel"/>
    <w:tmpl w:val="2202EC4E"/>
    <w:lvl w:ilvl="0" w:tplc="B5D8AFF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D145EF3"/>
    <w:multiLevelType w:val="hybridMultilevel"/>
    <w:tmpl w:val="C55007CA"/>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97" w15:restartNumberingAfterBreak="0">
    <w:nsid w:val="6DA52848"/>
    <w:multiLevelType w:val="hybridMultilevel"/>
    <w:tmpl w:val="1F3461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8" w15:restartNumberingAfterBreak="0">
    <w:nsid w:val="6E8D5EA7"/>
    <w:multiLevelType w:val="hybridMultilevel"/>
    <w:tmpl w:val="4A32EA86"/>
    <w:lvl w:ilvl="0" w:tplc="D88AD7B2">
      <w:start w:val="1"/>
      <w:numFmt w:val="bullet"/>
      <w:lvlText w:val="·"/>
      <w:lvlJc w:val="left"/>
      <w:pPr>
        <w:ind w:left="1800" w:hanging="360"/>
      </w:pPr>
      <w:rPr>
        <w:rFonts w:ascii="Symbol" w:hAnsi="Symbol" w:hint="default"/>
      </w:rPr>
    </w:lvl>
    <w:lvl w:ilvl="1" w:tplc="5484E288">
      <w:start w:val="1"/>
      <w:numFmt w:val="bullet"/>
      <w:lvlText w:val="o"/>
      <w:lvlJc w:val="left"/>
      <w:pPr>
        <w:ind w:left="2520" w:hanging="360"/>
      </w:pPr>
      <w:rPr>
        <w:rFonts w:ascii="Courier New" w:hAnsi="Courier New" w:hint="default"/>
      </w:rPr>
    </w:lvl>
    <w:lvl w:ilvl="2" w:tplc="FD843A6E">
      <w:start w:val="1"/>
      <w:numFmt w:val="bullet"/>
      <w:lvlText w:val=""/>
      <w:lvlJc w:val="left"/>
      <w:pPr>
        <w:ind w:left="3240" w:hanging="360"/>
      </w:pPr>
      <w:rPr>
        <w:rFonts w:ascii="Wingdings" w:hAnsi="Wingdings" w:hint="default"/>
      </w:rPr>
    </w:lvl>
    <w:lvl w:ilvl="3" w:tplc="F642F790">
      <w:start w:val="1"/>
      <w:numFmt w:val="bullet"/>
      <w:lvlText w:val=""/>
      <w:lvlJc w:val="left"/>
      <w:pPr>
        <w:ind w:left="3960" w:hanging="360"/>
      </w:pPr>
      <w:rPr>
        <w:rFonts w:ascii="Symbol" w:hAnsi="Symbol" w:hint="default"/>
      </w:rPr>
    </w:lvl>
    <w:lvl w:ilvl="4" w:tplc="09C08B40">
      <w:start w:val="1"/>
      <w:numFmt w:val="bullet"/>
      <w:lvlText w:val="o"/>
      <w:lvlJc w:val="left"/>
      <w:pPr>
        <w:ind w:left="4680" w:hanging="360"/>
      </w:pPr>
      <w:rPr>
        <w:rFonts w:ascii="Courier New" w:hAnsi="Courier New" w:hint="default"/>
      </w:rPr>
    </w:lvl>
    <w:lvl w:ilvl="5" w:tplc="B072982A">
      <w:start w:val="1"/>
      <w:numFmt w:val="bullet"/>
      <w:lvlText w:val=""/>
      <w:lvlJc w:val="left"/>
      <w:pPr>
        <w:ind w:left="5400" w:hanging="360"/>
      </w:pPr>
      <w:rPr>
        <w:rFonts w:ascii="Wingdings" w:hAnsi="Wingdings" w:hint="default"/>
      </w:rPr>
    </w:lvl>
    <w:lvl w:ilvl="6" w:tplc="158CE21C">
      <w:start w:val="1"/>
      <w:numFmt w:val="bullet"/>
      <w:lvlText w:val=""/>
      <w:lvlJc w:val="left"/>
      <w:pPr>
        <w:ind w:left="6120" w:hanging="360"/>
      </w:pPr>
      <w:rPr>
        <w:rFonts w:ascii="Symbol" w:hAnsi="Symbol" w:hint="default"/>
      </w:rPr>
    </w:lvl>
    <w:lvl w:ilvl="7" w:tplc="EC1EEBB2">
      <w:start w:val="1"/>
      <w:numFmt w:val="bullet"/>
      <w:lvlText w:val="o"/>
      <w:lvlJc w:val="left"/>
      <w:pPr>
        <w:ind w:left="6840" w:hanging="360"/>
      </w:pPr>
      <w:rPr>
        <w:rFonts w:ascii="Courier New" w:hAnsi="Courier New" w:hint="default"/>
      </w:rPr>
    </w:lvl>
    <w:lvl w:ilvl="8" w:tplc="C3B227C2">
      <w:start w:val="1"/>
      <w:numFmt w:val="bullet"/>
      <w:lvlText w:val=""/>
      <w:lvlJc w:val="left"/>
      <w:pPr>
        <w:ind w:left="7560" w:hanging="360"/>
      </w:pPr>
      <w:rPr>
        <w:rFonts w:ascii="Wingdings" w:hAnsi="Wingdings" w:hint="default"/>
      </w:rPr>
    </w:lvl>
  </w:abstractNum>
  <w:abstractNum w:abstractNumId="99" w15:restartNumberingAfterBreak="0">
    <w:nsid w:val="7066B139"/>
    <w:multiLevelType w:val="hybridMultilevel"/>
    <w:tmpl w:val="0044A180"/>
    <w:lvl w:ilvl="0" w:tplc="56DE1E2C">
      <w:start w:val="1"/>
      <w:numFmt w:val="bullet"/>
      <w:lvlText w:val="·"/>
      <w:lvlJc w:val="left"/>
      <w:pPr>
        <w:ind w:left="1800" w:hanging="360"/>
      </w:pPr>
      <w:rPr>
        <w:rFonts w:ascii="Symbol" w:hAnsi="Symbol" w:hint="default"/>
      </w:rPr>
    </w:lvl>
    <w:lvl w:ilvl="1" w:tplc="E006DC6A">
      <w:start w:val="1"/>
      <w:numFmt w:val="bullet"/>
      <w:lvlText w:val="o"/>
      <w:lvlJc w:val="left"/>
      <w:pPr>
        <w:ind w:left="2520" w:hanging="360"/>
      </w:pPr>
      <w:rPr>
        <w:rFonts w:ascii="Courier New" w:hAnsi="Courier New" w:hint="default"/>
      </w:rPr>
    </w:lvl>
    <w:lvl w:ilvl="2" w:tplc="7DA220E4">
      <w:start w:val="1"/>
      <w:numFmt w:val="bullet"/>
      <w:lvlText w:val=""/>
      <w:lvlJc w:val="left"/>
      <w:pPr>
        <w:ind w:left="3240" w:hanging="360"/>
      </w:pPr>
      <w:rPr>
        <w:rFonts w:ascii="Wingdings" w:hAnsi="Wingdings" w:hint="default"/>
      </w:rPr>
    </w:lvl>
    <w:lvl w:ilvl="3" w:tplc="3252EA90">
      <w:start w:val="1"/>
      <w:numFmt w:val="bullet"/>
      <w:lvlText w:val=""/>
      <w:lvlJc w:val="left"/>
      <w:pPr>
        <w:ind w:left="3960" w:hanging="360"/>
      </w:pPr>
      <w:rPr>
        <w:rFonts w:ascii="Symbol" w:hAnsi="Symbol" w:hint="default"/>
      </w:rPr>
    </w:lvl>
    <w:lvl w:ilvl="4" w:tplc="2F6CA616">
      <w:start w:val="1"/>
      <w:numFmt w:val="bullet"/>
      <w:lvlText w:val="o"/>
      <w:lvlJc w:val="left"/>
      <w:pPr>
        <w:ind w:left="4680" w:hanging="360"/>
      </w:pPr>
      <w:rPr>
        <w:rFonts w:ascii="Courier New" w:hAnsi="Courier New" w:hint="default"/>
      </w:rPr>
    </w:lvl>
    <w:lvl w:ilvl="5" w:tplc="038A23AA">
      <w:start w:val="1"/>
      <w:numFmt w:val="bullet"/>
      <w:lvlText w:val=""/>
      <w:lvlJc w:val="left"/>
      <w:pPr>
        <w:ind w:left="5400" w:hanging="360"/>
      </w:pPr>
      <w:rPr>
        <w:rFonts w:ascii="Wingdings" w:hAnsi="Wingdings" w:hint="default"/>
      </w:rPr>
    </w:lvl>
    <w:lvl w:ilvl="6" w:tplc="724E7CE6">
      <w:start w:val="1"/>
      <w:numFmt w:val="bullet"/>
      <w:lvlText w:val=""/>
      <w:lvlJc w:val="left"/>
      <w:pPr>
        <w:ind w:left="6120" w:hanging="360"/>
      </w:pPr>
      <w:rPr>
        <w:rFonts w:ascii="Symbol" w:hAnsi="Symbol" w:hint="default"/>
      </w:rPr>
    </w:lvl>
    <w:lvl w:ilvl="7" w:tplc="05F041FC">
      <w:start w:val="1"/>
      <w:numFmt w:val="bullet"/>
      <w:lvlText w:val="o"/>
      <w:lvlJc w:val="left"/>
      <w:pPr>
        <w:ind w:left="6840" w:hanging="360"/>
      </w:pPr>
      <w:rPr>
        <w:rFonts w:ascii="Courier New" w:hAnsi="Courier New" w:hint="default"/>
      </w:rPr>
    </w:lvl>
    <w:lvl w:ilvl="8" w:tplc="F45E46F2">
      <w:start w:val="1"/>
      <w:numFmt w:val="bullet"/>
      <w:lvlText w:val=""/>
      <w:lvlJc w:val="left"/>
      <w:pPr>
        <w:ind w:left="7560" w:hanging="360"/>
      </w:pPr>
      <w:rPr>
        <w:rFonts w:ascii="Wingdings" w:hAnsi="Wingdings" w:hint="default"/>
      </w:rPr>
    </w:lvl>
  </w:abstractNum>
  <w:abstractNum w:abstractNumId="100" w15:restartNumberingAfterBreak="0">
    <w:nsid w:val="71297600"/>
    <w:multiLevelType w:val="hybridMultilevel"/>
    <w:tmpl w:val="55B6BFF0"/>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1" w15:restartNumberingAfterBreak="0">
    <w:nsid w:val="71C6C1F3"/>
    <w:multiLevelType w:val="hybridMultilevel"/>
    <w:tmpl w:val="3684B800"/>
    <w:lvl w:ilvl="0" w:tplc="914488F2">
      <w:start w:val="1"/>
      <w:numFmt w:val="bullet"/>
      <w:lvlText w:val="·"/>
      <w:lvlJc w:val="left"/>
      <w:pPr>
        <w:ind w:left="1800" w:hanging="360"/>
      </w:pPr>
      <w:rPr>
        <w:rFonts w:ascii="Symbol" w:hAnsi="Symbol" w:hint="default"/>
      </w:rPr>
    </w:lvl>
    <w:lvl w:ilvl="1" w:tplc="1160EA50">
      <w:start w:val="1"/>
      <w:numFmt w:val="bullet"/>
      <w:lvlText w:val="o"/>
      <w:lvlJc w:val="left"/>
      <w:pPr>
        <w:ind w:left="2520" w:hanging="360"/>
      </w:pPr>
      <w:rPr>
        <w:rFonts w:ascii="Courier New" w:hAnsi="Courier New" w:hint="default"/>
      </w:rPr>
    </w:lvl>
    <w:lvl w:ilvl="2" w:tplc="7D080340">
      <w:start w:val="1"/>
      <w:numFmt w:val="bullet"/>
      <w:lvlText w:val=""/>
      <w:lvlJc w:val="left"/>
      <w:pPr>
        <w:ind w:left="3240" w:hanging="360"/>
      </w:pPr>
      <w:rPr>
        <w:rFonts w:ascii="Wingdings" w:hAnsi="Wingdings" w:hint="default"/>
      </w:rPr>
    </w:lvl>
    <w:lvl w:ilvl="3" w:tplc="2D2A291A">
      <w:start w:val="1"/>
      <w:numFmt w:val="bullet"/>
      <w:lvlText w:val=""/>
      <w:lvlJc w:val="left"/>
      <w:pPr>
        <w:ind w:left="3960" w:hanging="360"/>
      </w:pPr>
      <w:rPr>
        <w:rFonts w:ascii="Symbol" w:hAnsi="Symbol" w:hint="default"/>
      </w:rPr>
    </w:lvl>
    <w:lvl w:ilvl="4" w:tplc="0F22FCBC">
      <w:start w:val="1"/>
      <w:numFmt w:val="bullet"/>
      <w:lvlText w:val="o"/>
      <w:lvlJc w:val="left"/>
      <w:pPr>
        <w:ind w:left="4680" w:hanging="360"/>
      </w:pPr>
      <w:rPr>
        <w:rFonts w:ascii="Courier New" w:hAnsi="Courier New" w:hint="default"/>
      </w:rPr>
    </w:lvl>
    <w:lvl w:ilvl="5" w:tplc="640A3DA2">
      <w:start w:val="1"/>
      <w:numFmt w:val="bullet"/>
      <w:lvlText w:val=""/>
      <w:lvlJc w:val="left"/>
      <w:pPr>
        <w:ind w:left="5400" w:hanging="360"/>
      </w:pPr>
      <w:rPr>
        <w:rFonts w:ascii="Wingdings" w:hAnsi="Wingdings" w:hint="default"/>
      </w:rPr>
    </w:lvl>
    <w:lvl w:ilvl="6" w:tplc="C074C9C2">
      <w:start w:val="1"/>
      <w:numFmt w:val="bullet"/>
      <w:lvlText w:val=""/>
      <w:lvlJc w:val="left"/>
      <w:pPr>
        <w:ind w:left="6120" w:hanging="360"/>
      </w:pPr>
      <w:rPr>
        <w:rFonts w:ascii="Symbol" w:hAnsi="Symbol" w:hint="default"/>
      </w:rPr>
    </w:lvl>
    <w:lvl w:ilvl="7" w:tplc="B5C2810A">
      <w:start w:val="1"/>
      <w:numFmt w:val="bullet"/>
      <w:lvlText w:val="o"/>
      <w:lvlJc w:val="left"/>
      <w:pPr>
        <w:ind w:left="6840" w:hanging="360"/>
      </w:pPr>
      <w:rPr>
        <w:rFonts w:ascii="Courier New" w:hAnsi="Courier New" w:hint="default"/>
      </w:rPr>
    </w:lvl>
    <w:lvl w:ilvl="8" w:tplc="FE5A7EDA">
      <w:start w:val="1"/>
      <w:numFmt w:val="bullet"/>
      <w:lvlText w:val=""/>
      <w:lvlJc w:val="left"/>
      <w:pPr>
        <w:ind w:left="7560" w:hanging="360"/>
      </w:pPr>
      <w:rPr>
        <w:rFonts w:ascii="Wingdings" w:hAnsi="Wingdings" w:hint="default"/>
      </w:rPr>
    </w:lvl>
  </w:abstractNum>
  <w:abstractNum w:abstractNumId="102" w15:restartNumberingAfterBreak="0">
    <w:nsid w:val="721803FD"/>
    <w:multiLevelType w:val="hybridMultilevel"/>
    <w:tmpl w:val="772E9D2C"/>
    <w:lvl w:ilvl="0" w:tplc="18EEACEC">
      <w:start w:val="1"/>
      <w:numFmt w:val="bullet"/>
      <w:lvlText w:val="·"/>
      <w:lvlJc w:val="left"/>
      <w:pPr>
        <w:ind w:left="1800" w:hanging="360"/>
      </w:pPr>
      <w:rPr>
        <w:rFonts w:ascii="Symbol" w:hAnsi="Symbol" w:hint="default"/>
      </w:rPr>
    </w:lvl>
    <w:lvl w:ilvl="1" w:tplc="59F6BEE2">
      <w:start w:val="1"/>
      <w:numFmt w:val="bullet"/>
      <w:lvlText w:val="o"/>
      <w:lvlJc w:val="left"/>
      <w:pPr>
        <w:ind w:left="2520" w:hanging="360"/>
      </w:pPr>
      <w:rPr>
        <w:rFonts w:ascii="Courier New" w:hAnsi="Courier New" w:hint="default"/>
      </w:rPr>
    </w:lvl>
    <w:lvl w:ilvl="2" w:tplc="9AB8237A">
      <w:start w:val="1"/>
      <w:numFmt w:val="bullet"/>
      <w:lvlText w:val=""/>
      <w:lvlJc w:val="left"/>
      <w:pPr>
        <w:ind w:left="3240" w:hanging="360"/>
      </w:pPr>
      <w:rPr>
        <w:rFonts w:ascii="Wingdings" w:hAnsi="Wingdings" w:hint="default"/>
      </w:rPr>
    </w:lvl>
    <w:lvl w:ilvl="3" w:tplc="6664A59A">
      <w:start w:val="1"/>
      <w:numFmt w:val="bullet"/>
      <w:lvlText w:val=""/>
      <w:lvlJc w:val="left"/>
      <w:pPr>
        <w:ind w:left="3960" w:hanging="360"/>
      </w:pPr>
      <w:rPr>
        <w:rFonts w:ascii="Symbol" w:hAnsi="Symbol" w:hint="default"/>
      </w:rPr>
    </w:lvl>
    <w:lvl w:ilvl="4" w:tplc="B1D02F4C">
      <w:start w:val="1"/>
      <w:numFmt w:val="bullet"/>
      <w:lvlText w:val="o"/>
      <w:lvlJc w:val="left"/>
      <w:pPr>
        <w:ind w:left="4680" w:hanging="360"/>
      </w:pPr>
      <w:rPr>
        <w:rFonts w:ascii="Courier New" w:hAnsi="Courier New" w:hint="default"/>
      </w:rPr>
    </w:lvl>
    <w:lvl w:ilvl="5" w:tplc="DDAEE87C">
      <w:start w:val="1"/>
      <w:numFmt w:val="bullet"/>
      <w:lvlText w:val=""/>
      <w:lvlJc w:val="left"/>
      <w:pPr>
        <w:ind w:left="5400" w:hanging="360"/>
      </w:pPr>
      <w:rPr>
        <w:rFonts w:ascii="Wingdings" w:hAnsi="Wingdings" w:hint="default"/>
      </w:rPr>
    </w:lvl>
    <w:lvl w:ilvl="6" w:tplc="7D721D7C">
      <w:start w:val="1"/>
      <w:numFmt w:val="bullet"/>
      <w:lvlText w:val=""/>
      <w:lvlJc w:val="left"/>
      <w:pPr>
        <w:ind w:left="6120" w:hanging="360"/>
      </w:pPr>
      <w:rPr>
        <w:rFonts w:ascii="Symbol" w:hAnsi="Symbol" w:hint="default"/>
      </w:rPr>
    </w:lvl>
    <w:lvl w:ilvl="7" w:tplc="6FBAB6DE">
      <w:start w:val="1"/>
      <w:numFmt w:val="bullet"/>
      <w:lvlText w:val="o"/>
      <w:lvlJc w:val="left"/>
      <w:pPr>
        <w:ind w:left="6840" w:hanging="360"/>
      </w:pPr>
      <w:rPr>
        <w:rFonts w:ascii="Courier New" w:hAnsi="Courier New" w:hint="default"/>
      </w:rPr>
    </w:lvl>
    <w:lvl w:ilvl="8" w:tplc="F5FA1000">
      <w:start w:val="1"/>
      <w:numFmt w:val="bullet"/>
      <w:lvlText w:val=""/>
      <w:lvlJc w:val="left"/>
      <w:pPr>
        <w:ind w:left="7560" w:hanging="360"/>
      </w:pPr>
      <w:rPr>
        <w:rFonts w:ascii="Wingdings" w:hAnsi="Wingdings" w:hint="default"/>
      </w:rPr>
    </w:lvl>
  </w:abstractNum>
  <w:abstractNum w:abstractNumId="103" w15:restartNumberingAfterBreak="0">
    <w:nsid w:val="72951325"/>
    <w:multiLevelType w:val="hybridMultilevel"/>
    <w:tmpl w:val="6344C2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729D3927"/>
    <w:multiLevelType w:val="hybridMultilevel"/>
    <w:tmpl w:val="862E134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5" w15:restartNumberingAfterBreak="0">
    <w:nsid w:val="758B2741"/>
    <w:multiLevelType w:val="hybridMultilevel"/>
    <w:tmpl w:val="5DAABA9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75FD2DF8"/>
    <w:multiLevelType w:val="hybridMultilevel"/>
    <w:tmpl w:val="17A0BA8E"/>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07" w15:restartNumberingAfterBreak="0">
    <w:nsid w:val="78164048"/>
    <w:multiLevelType w:val="hybridMultilevel"/>
    <w:tmpl w:val="8B3E6D8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788857F9"/>
    <w:multiLevelType w:val="hybridMultilevel"/>
    <w:tmpl w:val="5628BE9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09" w15:restartNumberingAfterBreak="0">
    <w:nsid w:val="79754CAC"/>
    <w:multiLevelType w:val="hybridMultilevel"/>
    <w:tmpl w:val="2D46500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79844FAD"/>
    <w:multiLevelType w:val="hybridMultilevel"/>
    <w:tmpl w:val="F648D8F8"/>
    <w:lvl w:ilvl="0" w:tplc="4EE055DA">
      <w:start w:val="1"/>
      <w:numFmt w:val="bullet"/>
      <w:lvlText w:val="·"/>
      <w:lvlJc w:val="left"/>
      <w:pPr>
        <w:ind w:left="1800" w:hanging="360"/>
      </w:pPr>
      <w:rPr>
        <w:rFonts w:ascii="Symbol" w:hAnsi="Symbol" w:hint="default"/>
      </w:rPr>
    </w:lvl>
    <w:lvl w:ilvl="1" w:tplc="223241EC">
      <w:start w:val="1"/>
      <w:numFmt w:val="bullet"/>
      <w:lvlText w:val="o"/>
      <w:lvlJc w:val="left"/>
      <w:pPr>
        <w:ind w:left="2520" w:hanging="360"/>
      </w:pPr>
      <w:rPr>
        <w:rFonts w:ascii="Courier New" w:hAnsi="Courier New" w:hint="default"/>
      </w:rPr>
    </w:lvl>
    <w:lvl w:ilvl="2" w:tplc="55E83B1C">
      <w:start w:val="1"/>
      <w:numFmt w:val="bullet"/>
      <w:lvlText w:val=""/>
      <w:lvlJc w:val="left"/>
      <w:pPr>
        <w:ind w:left="3240" w:hanging="360"/>
      </w:pPr>
      <w:rPr>
        <w:rFonts w:ascii="Wingdings" w:hAnsi="Wingdings" w:hint="default"/>
      </w:rPr>
    </w:lvl>
    <w:lvl w:ilvl="3" w:tplc="22F6AA0A">
      <w:start w:val="1"/>
      <w:numFmt w:val="bullet"/>
      <w:lvlText w:val=""/>
      <w:lvlJc w:val="left"/>
      <w:pPr>
        <w:ind w:left="3960" w:hanging="360"/>
      </w:pPr>
      <w:rPr>
        <w:rFonts w:ascii="Symbol" w:hAnsi="Symbol" w:hint="default"/>
      </w:rPr>
    </w:lvl>
    <w:lvl w:ilvl="4" w:tplc="BF46922E">
      <w:start w:val="1"/>
      <w:numFmt w:val="bullet"/>
      <w:lvlText w:val="o"/>
      <w:lvlJc w:val="left"/>
      <w:pPr>
        <w:ind w:left="4680" w:hanging="360"/>
      </w:pPr>
      <w:rPr>
        <w:rFonts w:ascii="Courier New" w:hAnsi="Courier New" w:hint="default"/>
      </w:rPr>
    </w:lvl>
    <w:lvl w:ilvl="5" w:tplc="5FAA7C96">
      <w:start w:val="1"/>
      <w:numFmt w:val="bullet"/>
      <w:lvlText w:val=""/>
      <w:lvlJc w:val="left"/>
      <w:pPr>
        <w:ind w:left="5400" w:hanging="360"/>
      </w:pPr>
      <w:rPr>
        <w:rFonts w:ascii="Wingdings" w:hAnsi="Wingdings" w:hint="default"/>
      </w:rPr>
    </w:lvl>
    <w:lvl w:ilvl="6" w:tplc="EEF6D718">
      <w:start w:val="1"/>
      <w:numFmt w:val="bullet"/>
      <w:lvlText w:val=""/>
      <w:lvlJc w:val="left"/>
      <w:pPr>
        <w:ind w:left="6120" w:hanging="360"/>
      </w:pPr>
      <w:rPr>
        <w:rFonts w:ascii="Symbol" w:hAnsi="Symbol" w:hint="default"/>
      </w:rPr>
    </w:lvl>
    <w:lvl w:ilvl="7" w:tplc="700E2D86">
      <w:start w:val="1"/>
      <w:numFmt w:val="bullet"/>
      <w:lvlText w:val="o"/>
      <w:lvlJc w:val="left"/>
      <w:pPr>
        <w:ind w:left="6840" w:hanging="360"/>
      </w:pPr>
      <w:rPr>
        <w:rFonts w:ascii="Courier New" w:hAnsi="Courier New" w:hint="default"/>
      </w:rPr>
    </w:lvl>
    <w:lvl w:ilvl="8" w:tplc="CB9CBC76">
      <w:start w:val="1"/>
      <w:numFmt w:val="bullet"/>
      <w:lvlText w:val=""/>
      <w:lvlJc w:val="left"/>
      <w:pPr>
        <w:ind w:left="7560" w:hanging="360"/>
      </w:pPr>
      <w:rPr>
        <w:rFonts w:ascii="Wingdings" w:hAnsi="Wingdings" w:hint="default"/>
      </w:rPr>
    </w:lvl>
  </w:abstractNum>
  <w:abstractNum w:abstractNumId="111" w15:restartNumberingAfterBreak="0">
    <w:nsid w:val="7AFA1523"/>
    <w:multiLevelType w:val="multilevel"/>
    <w:tmpl w:val="460E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7BC86959"/>
    <w:multiLevelType w:val="hybridMultilevel"/>
    <w:tmpl w:val="83CEDAB0"/>
    <w:lvl w:ilvl="0" w:tplc="04090001">
      <w:start w:val="1"/>
      <w:numFmt w:val="bullet"/>
      <w:lvlText w:val=""/>
      <w:lvlJc w:val="left"/>
      <w:pPr>
        <w:ind w:left="363" w:hanging="360"/>
      </w:pPr>
      <w:rPr>
        <w:rFonts w:ascii="Symbol" w:hAnsi="Symbol" w:hint="default"/>
      </w:rPr>
    </w:lvl>
    <w:lvl w:ilvl="1" w:tplc="04090003" w:tentative="1">
      <w:start w:val="1"/>
      <w:numFmt w:val="bullet"/>
      <w:lvlText w:val="o"/>
      <w:lvlJc w:val="left"/>
      <w:pPr>
        <w:ind w:left="1083" w:hanging="360"/>
      </w:pPr>
      <w:rPr>
        <w:rFonts w:ascii="Courier New" w:hAnsi="Courier New" w:cs="Courier New" w:hint="default"/>
      </w:rPr>
    </w:lvl>
    <w:lvl w:ilvl="2" w:tplc="04090005" w:tentative="1">
      <w:start w:val="1"/>
      <w:numFmt w:val="bullet"/>
      <w:lvlText w:val=""/>
      <w:lvlJc w:val="left"/>
      <w:pPr>
        <w:ind w:left="1803" w:hanging="360"/>
      </w:pPr>
      <w:rPr>
        <w:rFonts w:ascii="Wingdings" w:hAnsi="Wingdings" w:hint="default"/>
      </w:rPr>
    </w:lvl>
    <w:lvl w:ilvl="3" w:tplc="04090001" w:tentative="1">
      <w:start w:val="1"/>
      <w:numFmt w:val="bullet"/>
      <w:lvlText w:val=""/>
      <w:lvlJc w:val="left"/>
      <w:pPr>
        <w:ind w:left="2523" w:hanging="360"/>
      </w:pPr>
      <w:rPr>
        <w:rFonts w:ascii="Symbol" w:hAnsi="Symbol" w:hint="default"/>
      </w:rPr>
    </w:lvl>
    <w:lvl w:ilvl="4" w:tplc="04090003" w:tentative="1">
      <w:start w:val="1"/>
      <w:numFmt w:val="bullet"/>
      <w:lvlText w:val="o"/>
      <w:lvlJc w:val="left"/>
      <w:pPr>
        <w:ind w:left="3243" w:hanging="360"/>
      </w:pPr>
      <w:rPr>
        <w:rFonts w:ascii="Courier New" w:hAnsi="Courier New" w:cs="Courier New" w:hint="default"/>
      </w:rPr>
    </w:lvl>
    <w:lvl w:ilvl="5" w:tplc="04090005" w:tentative="1">
      <w:start w:val="1"/>
      <w:numFmt w:val="bullet"/>
      <w:lvlText w:val=""/>
      <w:lvlJc w:val="left"/>
      <w:pPr>
        <w:ind w:left="3963" w:hanging="360"/>
      </w:pPr>
      <w:rPr>
        <w:rFonts w:ascii="Wingdings" w:hAnsi="Wingdings" w:hint="default"/>
      </w:rPr>
    </w:lvl>
    <w:lvl w:ilvl="6" w:tplc="04090001" w:tentative="1">
      <w:start w:val="1"/>
      <w:numFmt w:val="bullet"/>
      <w:lvlText w:val=""/>
      <w:lvlJc w:val="left"/>
      <w:pPr>
        <w:ind w:left="4683" w:hanging="360"/>
      </w:pPr>
      <w:rPr>
        <w:rFonts w:ascii="Symbol" w:hAnsi="Symbol" w:hint="default"/>
      </w:rPr>
    </w:lvl>
    <w:lvl w:ilvl="7" w:tplc="04090003" w:tentative="1">
      <w:start w:val="1"/>
      <w:numFmt w:val="bullet"/>
      <w:lvlText w:val="o"/>
      <w:lvlJc w:val="left"/>
      <w:pPr>
        <w:ind w:left="5403" w:hanging="360"/>
      </w:pPr>
      <w:rPr>
        <w:rFonts w:ascii="Courier New" w:hAnsi="Courier New" w:cs="Courier New" w:hint="default"/>
      </w:rPr>
    </w:lvl>
    <w:lvl w:ilvl="8" w:tplc="04090005" w:tentative="1">
      <w:start w:val="1"/>
      <w:numFmt w:val="bullet"/>
      <w:lvlText w:val=""/>
      <w:lvlJc w:val="left"/>
      <w:pPr>
        <w:ind w:left="6123" w:hanging="360"/>
      </w:pPr>
      <w:rPr>
        <w:rFonts w:ascii="Wingdings" w:hAnsi="Wingdings" w:hint="default"/>
      </w:rPr>
    </w:lvl>
  </w:abstractNum>
  <w:abstractNum w:abstractNumId="113" w15:restartNumberingAfterBreak="0">
    <w:nsid w:val="7C2B8647"/>
    <w:multiLevelType w:val="hybridMultilevel"/>
    <w:tmpl w:val="F96EB174"/>
    <w:lvl w:ilvl="0" w:tplc="3E640B06">
      <w:start w:val="1"/>
      <w:numFmt w:val="decimal"/>
      <w:lvlText w:val="%1."/>
      <w:lvlJc w:val="left"/>
      <w:pPr>
        <w:ind w:left="1800" w:hanging="360"/>
      </w:pPr>
    </w:lvl>
    <w:lvl w:ilvl="1" w:tplc="4EDA8C14">
      <w:start w:val="1"/>
      <w:numFmt w:val="lowerLetter"/>
      <w:lvlText w:val="%2."/>
      <w:lvlJc w:val="left"/>
      <w:pPr>
        <w:ind w:left="2520" w:hanging="360"/>
      </w:pPr>
    </w:lvl>
    <w:lvl w:ilvl="2" w:tplc="7D92E410">
      <w:start w:val="1"/>
      <w:numFmt w:val="lowerRoman"/>
      <w:lvlText w:val="%3."/>
      <w:lvlJc w:val="right"/>
      <w:pPr>
        <w:ind w:left="3240" w:hanging="180"/>
      </w:pPr>
    </w:lvl>
    <w:lvl w:ilvl="3" w:tplc="C2C0F3FC">
      <w:start w:val="1"/>
      <w:numFmt w:val="decimal"/>
      <w:lvlText w:val="%4."/>
      <w:lvlJc w:val="left"/>
      <w:pPr>
        <w:ind w:left="3960" w:hanging="360"/>
      </w:pPr>
    </w:lvl>
    <w:lvl w:ilvl="4" w:tplc="B75A6730">
      <w:start w:val="1"/>
      <w:numFmt w:val="lowerLetter"/>
      <w:lvlText w:val="%5."/>
      <w:lvlJc w:val="left"/>
      <w:pPr>
        <w:ind w:left="4680" w:hanging="360"/>
      </w:pPr>
    </w:lvl>
    <w:lvl w:ilvl="5" w:tplc="2CA40C98">
      <w:start w:val="1"/>
      <w:numFmt w:val="lowerRoman"/>
      <w:lvlText w:val="%6."/>
      <w:lvlJc w:val="right"/>
      <w:pPr>
        <w:ind w:left="5400" w:hanging="180"/>
      </w:pPr>
    </w:lvl>
    <w:lvl w:ilvl="6" w:tplc="6BA03C9C">
      <w:start w:val="1"/>
      <w:numFmt w:val="decimal"/>
      <w:lvlText w:val="%7."/>
      <w:lvlJc w:val="left"/>
      <w:pPr>
        <w:ind w:left="6120" w:hanging="360"/>
      </w:pPr>
    </w:lvl>
    <w:lvl w:ilvl="7" w:tplc="860C247E">
      <w:start w:val="1"/>
      <w:numFmt w:val="lowerLetter"/>
      <w:lvlText w:val="%8."/>
      <w:lvlJc w:val="left"/>
      <w:pPr>
        <w:ind w:left="6840" w:hanging="360"/>
      </w:pPr>
    </w:lvl>
    <w:lvl w:ilvl="8" w:tplc="6616BBE2">
      <w:start w:val="1"/>
      <w:numFmt w:val="lowerRoman"/>
      <w:lvlText w:val="%9."/>
      <w:lvlJc w:val="right"/>
      <w:pPr>
        <w:ind w:left="7560" w:hanging="180"/>
      </w:pPr>
    </w:lvl>
  </w:abstractNum>
  <w:abstractNum w:abstractNumId="114" w15:restartNumberingAfterBreak="0">
    <w:nsid w:val="7D33160C"/>
    <w:multiLevelType w:val="hybridMultilevel"/>
    <w:tmpl w:val="54E8B850"/>
    <w:lvl w:ilvl="0" w:tplc="8E4EDED0">
      <w:start w:val="1"/>
      <w:numFmt w:val="bullet"/>
      <w:lvlText w:val="·"/>
      <w:lvlJc w:val="left"/>
      <w:pPr>
        <w:ind w:left="1800" w:hanging="360"/>
      </w:pPr>
      <w:rPr>
        <w:rFonts w:ascii="Symbol" w:hAnsi="Symbol" w:hint="default"/>
      </w:rPr>
    </w:lvl>
    <w:lvl w:ilvl="1" w:tplc="9500BCC6">
      <w:start w:val="1"/>
      <w:numFmt w:val="bullet"/>
      <w:lvlText w:val="o"/>
      <w:lvlJc w:val="left"/>
      <w:pPr>
        <w:ind w:left="2520" w:hanging="360"/>
      </w:pPr>
      <w:rPr>
        <w:rFonts w:ascii="Courier New" w:hAnsi="Courier New" w:hint="default"/>
      </w:rPr>
    </w:lvl>
    <w:lvl w:ilvl="2" w:tplc="8202FF9E">
      <w:start w:val="1"/>
      <w:numFmt w:val="bullet"/>
      <w:lvlText w:val=""/>
      <w:lvlJc w:val="left"/>
      <w:pPr>
        <w:ind w:left="3240" w:hanging="360"/>
      </w:pPr>
      <w:rPr>
        <w:rFonts w:ascii="Wingdings" w:hAnsi="Wingdings" w:hint="default"/>
      </w:rPr>
    </w:lvl>
    <w:lvl w:ilvl="3" w:tplc="E7487D24">
      <w:start w:val="1"/>
      <w:numFmt w:val="bullet"/>
      <w:lvlText w:val=""/>
      <w:lvlJc w:val="left"/>
      <w:pPr>
        <w:ind w:left="3960" w:hanging="360"/>
      </w:pPr>
      <w:rPr>
        <w:rFonts w:ascii="Symbol" w:hAnsi="Symbol" w:hint="default"/>
      </w:rPr>
    </w:lvl>
    <w:lvl w:ilvl="4" w:tplc="69F4507A">
      <w:start w:val="1"/>
      <w:numFmt w:val="bullet"/>
      <w:lvlText w:val="o"/>
      <w:lvlJc w:val="left"/>
      <w:pPr>
        <w:ind w:left="4680" w:hanging="360"/>
      </w:pPr>
      <w:rPr>
        <w:rFonts w:ascii="Courier New" w:hAnsi="Courier New" w:hint="default"/>
      </w:rPr>
    </w:lvl>
    <w:lvl w:ilvl="5" w:tplc="CC3C9228">
      <w:start w:val="1"/>
      <w:numFmt w:val="bullet"/>
      <w:lvlText w:val=""/>
      <w:lvlJc w:val="left"/>
      <w:pPr>
        <w:ind w:left="5400" w:hanging="360"/>
      </w:pPr>
      <w:rPr>
        <w:rFonts w:ascii="Wingdings" w:hAnsi="Wingdings" w:hint="default"/>
      </w:rPr>
    </w:lvl>
    <w:lvl w:ilvl="6" w:tplc="7BCCE61A">
      <w:start w:val="1"/>
      <w:numFmt w:val="bullet"/>
      <w:lvlText w:val=""/>
      <w:lvlJc w:val="left"/>
      <w:pPr>
        <w:ind w:left="6120" w:hanging="360"/>
      </w:pPr>
      <w:rPr>
        <w:rFonts w:ascii="Symbol" w:hAnsi="Symbol" w:hint="default"/>
      </w:rPr>
    </w:lvl>
    <w:lvl w:ilvl="7" w:tplc="33B4F7E0">
      <w:start w:val="1"/>
      <w:numFmt w:val="bullet"/>
      <w:lvlText w:val="o"/>
      <w:lvlJc w:val="left"/>
      <w:pPr>
        <w:ind w:left="6840" w:hanging="360"/>
      </w:pPr>
      <w:rPr>
        <w:rFonts w:ascii="Courier New" w:hAnsi="Courier New" w:hint="default"/>
      </w:rPr>
    </w:lvl>
    <w:lvl w:ilvl="8" w:tplc="138E7770">
      <w:start w:val="1"/>
      <w:numFmt w:val="bullet"/>
      <w:lvlText w:val=""/>
      <w:lvlJc w:val="left"/>
      <w:pPr>
        <w:ind w:left="7560" w:hanging="360"/>
      </w:pPr>
      <w:rPr>
        <w:rFonts w:ascii="Wingdings" w:hAnsi="Wingdings" w:hint="default"/>
      </w:rPr>
    </w:lvl>
  </w:abstractNum>
  <w:abstractNum w:abstractNumId="115" w15:restartNumberingAfterBreak="0">
    <w:nsid w:val="7E294BAA"/>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7FA47ADF"/>
    <w:multiLevelType w:val="hybridMultilevel"/>
    <w:tmpl w:val="D78A703C"/>
    <w:lvl w:ilvl="0" w:tplc="96048F2A">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num w:numId="1" w16cid:durableId="895706995">
    <w:abstractNumId w:val="24"/>
  </w:num>
  <w:num w:numId="2" w16cid:durableId="1836023543">
    <w:abstractNumId w:val="23"/>
  </w:num>
  <w:num w:numId="3" w16cid:durableId="1158961687">
    <w:abstractNumId w:val="35"/>
  </w:num>
  <w:num w:numId="4" w16cid:durableId="329065029">
    <w:abstractNumId w:val="33"/>
  </w:num>
  <w:num w:numId="5" w16cid:durableId="565992154">
    <w:abstractNumId w:val="69"/>
  </w:num>
  <w:num w:numId="6" w16cid:durableId="781651171">
    <w:abstractNumId w:val="51"/>
  </w:num>
  <w:num w:numId="7" w16cid:durableId="771777690">
    <w:abstractNumId w:val="63"/>
  </w:num>
  <w:num w:numId="8" w16cid:durableId="1729186003">
    <w:abstractNumId w:val="34"/>
  </w:num>
  <w:num w:numId="9" w16cid:durableId="829638017">
    <w:abstractNumId w:val="98"/>
  </w:num>
  <w:num w:numId="10" w16cid:durableId="1816019631">
    <w:abstractNumId w:val="40"/>
  </w:num>
  <w:num w:numId="11" w16cid:durableId="616181068">
    <w:abstractNumId w:val="21"/>
  </w:num>
  <w:num w:numId="12" w16cid:durableId="772628132">
    <w:abstractNumId w:val="27"/>
  </w:num>
  <w:num w:numId="13" w16cid:durableId="165363019">
    <w:abstractNumId w:val="65"/>
  </w:num>
  <w:num w:numId="14" w16cid:durableId="599685795">
    <w:abstractNumId w:val="64"/>
  </w:num>
  <w:num w:numId="15" w16cid:durableId="1303268241">
    <w:abstractNumId w:val="71"/>
  </w:num>
  <w:num w:numId="16" w16cid:durableId="1032917893">
    <w:abstractNumId w:val="81"/>
  </w:num>
  <w:num w:numId="17" w16cid:durableId="1040787168">
    <w:abstractNumId w:val="39"/>
  </w:num>
  <w:num w:numId="18" w16cid:durableId="936325820">
    <w:abstractNumId w:val="70"/>
  </w:num>
  <w:num w:numId="19" w16cid:durableId="86460715">
    <w:abstractNumId w:val="18"/>
  </w:num>
  <w:num w:numId="20" w16cid:durableId="157424190">
    <w:abstractNumId w:val="7"/>
  </w:num>
  <w:num w:numId="21" w16cid:durableId="1454865475">
    <w:abstractNumId w:val="49"/>
  </w:num>
  <w:num w:numId="22" w16cid:durableId="196436382">
    <w:abstractNumId w:val="94"/>
  </w:num>
  <w:num w:numId="23" w16cid:durableId="205291230">
    <w:abstractNumId w:val="82"/>
  </w:num>
  <w:num w:numId="24" w16cid:durableId="1996452768">
    <w:abstractNumId w:val="114"/>
  </w:num>
  <w:num w:numId="25" w16cid:durableId="1715883185">
    <w:abstractNumId w:val="110"/>
  </w:num>
  <w:num w:numId="26" w16cid:durableId="598611386">
    <w:abstractNumId w:val="99"/>
  </w:num>
  <w:num w:numId="27" w16cid:durableId="1710445825">
    <w:abstractNumId w:val="16"/>
  </w:num>
  <w:num w:numId="28" w16cid:durableId="736169770">
    <w:abstractNumId w:val="74"/>
  </w:num>
  <w:num w:numId="29" w16cid:durableId="960377629">
    <w:abstractNumId w:val="26"/>
  </w:num>
  <w:num w:numId="30" w16cid:durableId="468593704">
    <w:abstractNumId w:val="4"/>
  </w:num>
  <w:num w:numId="31" w16cid:durableId="240212990">
    <w:abstractNumId w:val="41"/>
  </w:num>
  <w:num w:numId="32" w16cid:durableId="1831021411">
    <w:abstractNumId w:val="101"/>
  </w:num>
  <w:num w:numId="33" w16cid:durableId="327370380">
    <w:abstractNumId w:val="102"/>
  </w:num>
  <w:num w:numId="34" w16cid:durableId="916482072">
    <w:abstractNumId w:val="113"/>
  </w:num>
  <w:num w:numId="35" w16cid:durableId="113256411">
    <w:abstractNumId w:val="22"/>
  </w:num>
  <w:num w:numId="36" w16cid:durableId="741413030">
    <w:abstractNumId w:val="6"/>
  </w:num>
  <w:num w:numId="37" w16cid:durableId="1749690234">
    <w:abstractNumId w:val="62"/>
  </w:num>
  <w:num w:numId="38" w16cid:durableId="87433717">
    <w:abstractNumId w:val="112"/>
  </w:num>
  <w:num w:numId="39" w16cid:durableId="333800716">
    <w:abstractNumId w:val="89"/>
  </w:num>
  <w:num w:numId="40" w16cid:durableId="984704668">
    <w:abstractNumId w:val="73"/>
  </w:num>
  <w:num w:numId="41" w16cid:durableId="287321769">
    <w:abstractNumId w:val="103"/>
  </w:num>
  <w:num w:numId="42" w16cid:durableId="1705712871">
    <w:abstractNumId w:val="91"/>
  </w:num>
  <w:num w:numId="43" w16cid:durableId="1948193796">
    <w:abstractNumId w:val="115"/>
  </w:num>
  <w:num w:numId="44" w16cid:durableId="87432137">
    <w:abstractNumId w:val="90"/>
  </w:num>
  <w:num w:numId="45" w16cid:durableId="55517139">
    <w:abstractNumId w:val="44"/>
  </w:num>
  <w:num w:numId="46" w16cid:durableId="1664893468">
    <w:abstractNumId w:val="105"/>
  </w:num>
  <w:num w:numId="47" w16cid:durableId="764114796">
    <w:abstractNumId w:val="95"/>
  </w:num>
  <w:num w:numId="48" w16cid:durableId="590158752">
    <w:abstractNumId w:val="52"/>
  </w:num>
  <w:num w:numId="49" w16cid:durableId="2097362856">
    <w:abstractNumId w:val="57"/>
  </w:num>
  <w:num w:numId="50" w16cid:durableId="135418604">
    <w:abstractNumId w:val="109"/>
  </w:num>
  <w:num w:numId="51" w16cid:durableId="1029377943">
    <w:abstractNumId w:val="107"/>
  </w:num>
  <w:num w:numId="52" w16cid:durableId="219904250">
    <w:abstractNumId w:val="47"/>
  </w:num>
  <w:num w:numId="53" w16cid:durableId="403453986">
    <w:abstractNumId w:val="28"/>
  </w:num>
  <w:num w:numId="54" w16cid:durableId="759565309">
    <w:abstractNumId w:val="88"/>
  </w:num>
  <w:num w:numId="55" w16cid:durableId="794637303">
    <w:abstractNumId w:val="53"/>
  </w:num>
  <w:num w:numId="56" w16cid:durableId="1648895354">
    <w:abstractNumId w:val="1"/>
  </w:num>
  <w:num w:numId="57" w16cid:durableId="1979457211">
    <w:abstractNumId w:val="19"/>
  </w:num>
  <w:num w:numId="58" w16cid:durableId="181164587">
    <w:abstractNumId w:val="97"/>
  </w:num>
  <w:num w:numId="59" w16cid:durableId="118455028">
    <w:abstractNumId w:val="54"/>
  </w:num>
  <w:num w:numId="60" w16cid:durableId="452794460">
    <w:abstractNumId w:val="42"/>
  </w:num>
  <w:num w:numId="61" w16cid:durableId="970087759">
    <w:abstractNumId w:val="15"/>
  </w:num>
  <w:num w:numId="62" w16cid:durableId="2112160816">
    <w:abstractNumId w:val="80"/>
  </w:num>
  <w:num w:numId="63" w16cid:durableId="562175578">
    <w:abstractNumId w:val="32"/>
  </w:num>
  <w:num w:numId="64" w16cid:durableId="1118521645">
    <w:abstractNumId w:val="75"/>
  </w:num>
  <w:num w:numId="65" w16cid:durableId="344210808">
    <w:abstractNumId w:val="77"/>
  </w:num>
  <w:num w:numId="66" w16cid:durableId="345138823">
    <w:abstractNumId w:val="5"/>
  </w:num>
  <w:num w:numId="67" w16cid:durableId="779491536">
    <w:abstractNumId w:val="37"/>
  </w:num>
  <w:num w:numId="68" w16cid:durableId="1578246669">
    <w:abstractNumId w:val="11"/>
  </w:num>
  <w:num w:numId="69" w16cid:durableId="1702780455">
    <w:abstractNumId w:val="79"/>
  </w:num>
  <w:num w:numId="70" w16cid:durableId="1283422045">
    <w:abstractNumId w:val="92"/>
  </w:num>
  <w:num w:numId="71" w16cid:durableId="1875846073">
    <w:abstractNumId w:val="45"/>
  </w:num>
  <w:num w:numId="72" w16cid:durableId="705834365">
    <w:abstractNumId w:val="116"/>
  </w:num>
  <w:num w:numId="73" w16cid:durableId="792090804">
    <w:abstractNumId w:val="43"/>
  </w:num>
  <w:num w:numId="74" w16cid:durableId="1558710155">
    <w:abstractNumId w:val="2"/>
  </w:num>
  <w:num w:numId="75" w16cid:durableId="1971858874">
    <w:abstractNumId w:val="3"/>
  </w:num>
  <w:num w:numId="76" w16cid:durableId="2146771699">
    <w:abstractNumId w:val="108"/>
  </w:num>
  <w:num w:numId="77" w16cid:durableId="1675839746">
    <w:abstractNumId w:val="30"/>
  </w:num>
  <w:num w:numId="78" w16cid:durableId="814297307">
    <w:abstractNumId w:val="106"/>
  </w:num>
  <w:num w:numId="79" w16cid:durableId="1144857889">
    <w:abstractNumId w:val="111"/>
  </w:num>
  <w:num w:numId="80" w16cid:durableId="2103908913">
    <w:abstractNumId w:val="14"/>
  </w:num>
  <w:num w:numId="81" w16cid:durableId="149869108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97804993">
    <w:abstractNumId w:val="68"/>
  </w:num>
  <w:num w:numId="83" w16cid:durableId="1989895162">
    <w:abstractNumId w:val="58"/>
  </w:num>
  <w:num w:numId="84" w16cid:durableId="977566716">
    <w:abstractNumId w:val="66"/>
  </w:num>
  <w:num w:numId="85" w16cid:durableId="1683167781">
    <w:abstractNumId w:val="55"/>
  </w:num>
  <w:num w:numId="86" w16cid:durableId="668751821">
    <w:abstractNumId w:val="0"/>
  </w:num>
  <w:num w:numId="87" w16cid:durableId="583417985">
    <w:abstractNumId w:val="9"/>
  </w:num>
  <w:num w:numId="88" w16cid:durableId="1693649798">
    <w:abstractNumId w:val="59"/>
  </w:num>
  <w:num w:numId="89" w16cid:durableId="882057497">
    <w:abstractNumId w:val="93"/>
  </w:num>
  <w:num w:numId="90" w16cid:durableId="1794865560">
    <w:abstractNumId w:val="17"/>
  </w:num>
  <w:num w:numId="91" w16cid:durableId="32198455">
    <w:abstractNumId w:val="72"/>
  </w:num>
  <w:num w:numId="92" w16cid:durableId="1072237390">
    <w:abstractNumId w:val="87"/>
  </w:num>
  <w:num w:numId="93" w16cid:durableId="269438644">
    <w:abstractNumId w:val="29"/>
  </w:num>
  <w:num w:numId="94" w16cid:durableId="674961486">
    <w:abstractNumId w:val="83"/>
  </w:num>
  <w:num w:numId="95" w16cid:durableId="523714193">
    <w:abstractNumId w:val="46"/>
  </w:num>
  <w:num w:numId="96" w16cid:durableId="1510099460">
    <w:abstractNumId w:val="10"/>
  </w:num>
  <w:num w:numId="97" w16cid:durableId="1103695054">
    <w:abstractNumId w:val="56"/>
  </w:num>
  <w:num w:numId="98" w16cid:durableId="1551724963">
    <w:abstractNumId w:val="50"/>
  </w:num>
  <w:num w:numId="99" w16cid:durableId="1627155902">
    <w:abstractNumId w:val="84"/>
  </w:num>
  <w:num w:numId="100" w16cid:durableId="686097281">
    <w:abstractNumId w:val="48"/>
  </w:num>
  <w:num w:numId="101" w16cid:durableId="1992901902">
    <w:abstractNumId w:val="100"/>
  </w:num>
  <w:num w:numId="102" w16cid:durableId="1171027746">
    <w:abstractNumId w:val="31"/>
  </w:num>
  <w:num w:numId="103" w16cid:durableId="579558911">
    <w:abstractNumId w:val="61"/>
  </w:num>
  <w:num w:numId="104" w16cid:durableId="1853955934">
    <w:abstractNumId w:val="25"/>
  </w:num>
  <w:num w:numId="105" w16cid:durableId="1325084731">
    <w:abstractNumId w:val="104"/>
  </w:num>
  <w:num w:numId="106" w16cid:durableId="1141769242">
    <w:abstractNumId w:val="8"/>
  </w:num>
  <w:num w:numId="107" w16cid:durableId="1809738180">
    <w:abstractNumId w:val="85"/>
  </w:num>
  <w:num w:numId="108" w16cid:durableId="763695568">
    <w:abstractNumId w:val="13"/>
  </w:num>
  <w:num w:numId="109" w16cid:durableId="1202204810">
    <w:abstractNumId w:val="67"/>
  </w:num>
  <w:num w:numId="110" w16cid:durableId="2126849283">
    <w:abstractNumId w:val="36"/>
  </w:num>
  <w:num w:numId="111" w16cid:durableId="56711685">
    <w:abstractNumId w:val="60"/>
  </w:num>
  <w:num w:numId="112" w16cid:durableId="1534031708">
    <w:abstractNumId w:val="78"/>
  </w:num>
  <w:num w:numId="113" w16cid:durableId="1478106015">
    <w:abstractNumId w:val="42"/>
  </w:num>
  <w:num w:numId="114" w16cid:durableId="160170647">
    <w:abstractNumId w:val="20"/>
  </w:num>
  <w:num w:numId="115" w16cid:durableId="1001154639">
    <w:abstractNumId w:val="86"/>
  </w:num>
  <w:num w:numId="116" w16cid:durableId="1892695120">
    <w:abstractNumId w:val="12"/>
  </w:num>
  <w:num w:numId="117" w16cid:durableId="1216696719">
    <w:abstractNumId w:val="38"/>
  </w:num>
  <w:num w:numId="118" w16cid:durableId="881209312">
    <w:abstractNumId w:val="96"/>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B81A7C"/>
    <w:rsid w:val="000060BC"/>
    <w:rsid w:val="0001033B"/>
    <w:rsid w:val="00010FD2"/>
    <w:rsid w:val="000156FE"/>
    <w:rsid w:val="0001730D"/>
    <w:rsid w:val="00017468"/>
    <w:rsid w:val="00024F9A"/>
    <w:rsid w:val="00026319"/>
    <w:rsid w:val="00031711"/>
    <w:rsid w:val="00033B07"/>
    <w:rsid w:val="00037100"/>
    <w:rsid w:val="00040FC8"/>
    <w:rsid w:val="00041DD6"/>
    <w:rsid w:val="000459C5"/>
    <w:rsid w:val="00046103"/>
    <w:rsid w:val="00064368"/>
    <w:rsid w:val="00070630"/>
    <w:rsid w:val="000760D4"/>
    <w:rsid w:val="000802F9"/>
    <w:rsid w:val="00080C7E"/>
    <w:rsid w:val="00084E22"/>
    <w:rsid w:val="000863F3"/>
    <w:rsid w:val="00093960"/>
    <w:rsid w:val="00093EF6"/>
    <w:rsid w:val="000A5189"/>
    <w:rsid w:val="000A6FC3"/>
    <w:rsid w:val="000B7163"/>
    <w:rsid w:val="000D52D7"/>
    <w:rsid w:val="000D6084"/>
    <w:rsid w:val="000E6249"/>
    <w:rsid w:val="000E6351"/>
    <w:rsid w:val="000E7DD7"/>
    <w:rsid w:val="000F1D27"/>
    <w:rsid w:val="000F3447"/>
    <w:rsid w:val="00116D13"/>
    <w:rsid w:val="00123461"/>
    <w:rsid w:val="001269B7"/>
    <w:rsid w:val="001277C2"/>
    <w:rsid w:val="00131183"/>
    <w:rsid w:val="00133D0F"/>
    <w:rsid w:val="00133E61"/>
    <w:rsid w:val="0013419C"/>
    <w:rsid w:val="001407F6"/>
    <w:rsid w:val="00142A6C"/>
    <w:rsid w:val="00142E5A"/>
    <w:rsid w:val="00143F13"/>
    <w:rsid w:val="00145624"/>
    <w:rsid w:val="001457FC"/>
    <w:rsid w:val="001466E3"/>
    <w:rsid w:val="00147435"/>
    <w:rsid w:val="001502EA"/>
    <w:rsid w:val="001539E1"/>
    <w:rsid w:val="0015770E"/>
    <w:rsid w:val="00157D71"/>
    <w:rsid w:val="00171847"/>
    <w:rsid w:val="00171B07"/>
    <w:rsid w:val="0017245F"/>
    <w:rsid w:val="00173D55"/>
    <w:rsid w:val="00177554"/>
    <w:rsid w:val="00177B21"/>
    <w:rsid w:val="001814A9"/>
    <w:rsid w:val="001818BA"/>
    <w:rsid w:val="001843F4"/>
    <w:rsid w:val="00195484"/>
    <w:rsid w:val="00196B49"/>
    <w:rsid w:val="001974AE"/>
    <w:rsid w:val="001A2CE1"/>
    <w:rsid w:val="001A6227"/>
    <w:rsid w:val="001B3436"/>
    <w:rsid w:val="001B6155"/>
    <w:rsid w:val="001C042C"/>
    <w:rsid w:val="001C057D"/>
    <w:rsid w:val="001C363E"/>
    <w:rsid w:val="001D6C3D"/>
    <w:rsid w:val="001D7A02"/>
    <w:rsid w:val="001E3881"/>
    <w:rsid w:val="001E72EC"/>
    <w:rsid w:val="001F1C9B"/>
    <w:rsid w:val="002054C5"/>
    <w:rsid w:val="0020690B"/>
    <w:rsid w:val="00214728"/>
    <w:rsid w:val="002167C2"/>
    <w:rsid w:val="00216E0F"/>
    <w:rsid w:val="00226EC9"/>
    <w:rsid w:val="00235FC0"/>
    <w:rsid w:val="00236A77"/>
    <w:rsid w:val="002377E2"/>
    <w:rsid w:val="00241AC4"/>
    <w:rsid w:val="0024361E"/>
    <w:rsid w:val="0024558F"/>
    <w:rsid w:val="00256C26"/>
    <w:rsid w:val="00260627"/>
    <w:rsid w:val="00266779"/>
    <w:rsid w:val="00270743"/>
    <w:rsid w:val="00272DAD"/>
    <w:rsid w:val="0028742C"/>
    <w:rsid w:val="002874C1"/>
    <w:rsid w:val="002925AF"/>
    <w:rsid w:val="002A4581"/>
    <w:rsid w:val="002A78AC"/>
    <w:rsid w:val="002B6B7C"/>
    <w:rsid w:val="002B7C33"/>
    <w:rsid w:val="002C416B"/>
    <w:rsid w:val="002C5098"/>
    <w:rsid w:val="002C5476"/>
    <w:rsid w:val="002D5CCF"/>
    <w:rsid w:val="002D7D5F"/>
    <w:rsid w:val="002E38A2"/>
    <w:rsid w:val="002E397A"/>
    <w:rsid w:val="002F2C1E"/>
    <w:rsid w:val="002F53A8"/>
    <w:rsid w:val="002F5616"/>
    <w:rsid w:val="003001F5"/>
    <w:rsid w:val="00306309"/>
    <w:rsid w:val="00306B4A"/>
    <w:rsid w:val="00310D4D"/>
    <w:rsid w:val="003114F5"/>
    <w:rsid w:val="0031364F"/>
    <w:rsid w:val="00313A71"/>
    <w:rsid w:val="00315920"/>
    <w:rsid w:val="00315AFF"/>
    <w:rsid w:val="00316CAE"/>
    <w:rsid w:val="00317373"/>
    <w:rsid w:val="00321300"/>
    <w:rsid w:val="00322139"/>
    <w:rsid w:val="003225B3"/>
    <w:rsid w:val="00323A22"/>
    <w:rsid w:val="003302DB"/>
    <w:rsid w:val="003336D0"/>
    <w:rsid w:val="003340A2"/>
    <w:rsid w:val="00335CAC"/>
    <w:rsid w:val="003360F2"/>
    <w:rsid w:val="003446B8"/>
    <w:rsid w:val="00344CFF"/>
    <w:rsid w:val="00347193"/>
    <w:rsid w:val="00347315"/>
    <w:rsid w:val="00351090"/>
    <w:rsid w:val="00353F54"/>
    <w:rsid w:val="0035556B"/>
    <w:rsid w:val="00357240"/>
    <w:rsid w:val="00366BD9"/>
    <w:rsid w:val="00374FC4"/>
    <w:rsid w:val="003753D5"/>
    <w:rsid w:val="0037744D"/>
    <w:rsid w:val="003839A5"/>
    <w:rsid w:val="003843D7"/>
    <w:rsid w:val="00387311"/>
    <w:rsid w:val="00390FF2"/>
    <w:rsid w:val="00396474"/>
    <w:rsid w:val="003A67AE"/>
    <w:rsid w:val="003A721D"/>
    <w:rsid w:val="003A783F"/>
    <w:rsid w:val="003B12BB"/>
    <w:rsid w:val="003B3001"/>
    <w:rsid w:val="003B6259"/>
    <w:rsid w:val="003B65C9"/>
    <w:rsid w:val="003B750E"/>
    <w:rsid w:val="003C069B"/>
    <w:rsid w:val="003C076F"/>
    <w:rsid w:val="003C3A2B"/>
    <w:rsid w:val="003C7659"/>
    <w:rsid w:val="003D1AF0"/>
    <w:rsid w:val="003E12A1"/>
    <w:rsid w:val="003E40DE"/>
    <w:rsid w:val="003F3E9D"/>
    <w:rsid w:val="003F66D7"/>
    <w:rsid w:val="004030D9"/>
    <w:rsid w:val="00410822"/>
    <w:rsid w:val="00431336"/>
    <w:rsid w:val="00432BB4"/>
    <w:rsid w:val="00433AE2"/>
    <w:rsid w:val="004368D6"/>
    <w:rsid w:val="00439C09"/>
    <w:rsid w:val="00440BCB"/>
    <w:rsid w:val="00443278"/>
    <w:rsid w:val="00443319"/>
    <w:rsid w:val="00446229"/>
    <w:rsid w:val="004466B2"/>
    <w:rsid w:val="0045245F"/>
    <w:rsid w:val="00452EFF"/>
    <w:rsid w:val="00452FCD"/>
    <w:rsid w:val="004564CF"/>
    <w:rsid w:val="004577E8"/>
    <w:rsid w:val="004608CB"/>
    <w:rsid w:val="004631C6"/>
    <w:rsid w:val="004714BC"/>
    <w:rsid w:val="00473507"/>
    <w:rsid w:val="00474C7F"/>
    <w:rsid w:val="00484305"/>
    <w:rsid w:val="0049464C"/>
    <w:rsid w:val="004975AF"/>
    <w:rsid w:val="004A1BE4"/>
    <w:rsid w:val="004A1C1C"/>
    <w:rsid w:val="004A39AD"/>
    <w:rsid w:val="004A4367"/>
    <w:rsid w:val="004A5B39"/>
    <w:rsid w:val="004A63F9"/>
    <w:rsid w:val="004A6AD3"/>
    <w:rsid w:val="004A70ED"/>
    <w:rsid w:val="004B126D"/>
    <w:rsid w:val="004B15EB"/>
    <w:rsid w:val="004B3A37"/>
    <w:rsid w:val="004B47F1"/>
    <w:rsid w:val="004C3B63"/>
    <w:rsid w:val="004D2998"/>
    <w:rsid w:val="004D4508"/>
    <w:rsid w:val="004D647A"/>
    <w:rsid w:val="004E13C1"/>
    <w:rsid w:val="004F195C"/>
    <w:rsid w:val="004F3700"/>
    <w:rsid w:val="005045E3"/>
    <w:rsid w:val="00505FD8"/>
    <w:rsid w:val="005060C3"/>
    <w:rsid w:val="0051356C"/>
    <w:rsid w:val="00514CDC"/>
    <w:rsid w:val="00515216"/>
    <w:rsid w:val="00530DA0"/>
    <w:rsid w:val="005331A4"/>
    <w:rsid w:val="0053616A"/>
    <w:rsid w:val="00536B21"/>
    <w:rsid w:val="0053AE08"/>
    <w:rsid w:val="00541C85"/>
    <w:rsid w:val="005424E8"/>
    <w:rsid w:val="0054259B"/>
    <w:rsid w:val="00543797"/>
    <w:rsid w:val="005446DA"/>
    <w:rsid w:val="00547148"/>
    <w:rsid w:val="00554013"/>
    <w:rsid w:val="0055635F"/>
    <w:rsid w:val="00556B97"/>
    <w:rsid w:val="00556F5A"/>
    <w:rsid w:val="00557DDB"/>
    <w:rsid w:val="00560631"/>
    <w:rsid w:val="00582B38"/>
    <w:rsid w:val="00585372"/>
    <w:rsid w:val="00585BDD"/>
    <w:rsid w:val="0058785E"/>
    <w:rsid w:val="005906A4"/>
    <w:rsid w:val="00590EDA"/>
    <w:rsid w:val="00593009"/>
    <w:rsid w:val="005A07D2"/>
    <w:rsid w:val="005A0B8F"/>
    <w:rsid w:val="005A3814"/>
    <w:rsid w:val="005B4346"/>
    <w:rsid w:val="005B539C"/>
    <w:rsid w:val="005B6246"/>
    <w:rsid w:val="005C084B"/>
    <w:rsid w:val="005C0D51"/>
    <w:rsid w:val="005C62ED"/>
    <w:rsid w:val="005C7DB0"/>
    <w:rsid w:val="005C7F30"/>
    <w:rsid w:val="005D0321"/>
    <w:rsid w:val="005E2E69"/>
    <w:rsid w:val="005E4F4D"/>
    <w:rsid w:val="005E52A8"/>
    <w:rsid w:val="005E6AD8"/>
    <w:rsid w:val="005E6F07"/>
    <w:rsid w:val="005E7BB2"/>
    <w:rsid w:val="005F1D1B"/>
    <w:rsid w:val="005F5298"/>
    <w:rsid w:val="00601C1A"/>
    <w:rsid w:val="006024FF"/>
    <w:rsid w:val="006042D4"/>
    <w:rsid w:val="0062386B"/>
    <w:rsid w:val="00627C5B"/>
    <w:rsid w:val="00632418"/>
    <w:rsid w:val="00635306"/>
    <w:rsid w:val="00641B88"/>
    <w:rsid w:val="00645355"/>
    <w:rsid w:val="00661987"/>
    <w:rsid w:val="006623A1"/>
    <w:rsid w:val="006643CA"/>
    <w:rsid w:val="00674CBB"/>
    <w:rsid w:val="00677BDE"/>
    <w:rsid w:val="00677D94"/>
    <w:rsid w:val="0068132E"/>
    <w:rsid w:val="006841C6"/>
    <w:rsid w:val="006865AD"/>
    <w:rsid w:val="00694846"/>
    <w:rsid w:val="006956A5"/>
    <w:rsid w:val="0069670C"/>
    <w:rsid w:val="00696891"/>
    <w:rsid w:val="006A2FED"/>
    <w:rsid w:val="006B00B8"/>
    <w:rsid w:val="006B7357"/>
    <w:rsid w:val="006C1D16"/>
    <w:rsid w:val="006C480E"/>
    <w:rsid w:val="006C6E60"/>
    <w:rsid w:val="006C7DBC"/>
    <w:rsid w:val="006D1A89"/>
    <w:rsid w:val="006D51BB"/>
    <w:rsid w:val="006D58F0"/>
    <w:rsid w:val="006E0C88"/>
    <w:rsid w:val="006E557E"/>
    <w:rsid w:val="006E6672"/>
    <w:rsid w:val="006E7112"/>
    <w:rsid w:val="006F08E7"/>
    <w:rsid w:val="006F1B76"/>
    <w:rsid w:val="006F2B56"/>
    <w:rsid w:val="00700714"/>
    <w:rsid w:val="00705048"/>
    <w:rsid w:val="00712D93"/>
    <w:rsid w:val="0071768B"/>
    <w:rsid w:val="007209AB"/>
    <w:rsid w:val="00725F47"/>
    <w:rsid w:val="00734E74"/>
    <w:rsid w:val="00735B8E"/>
    <w:rsid w:val="00736D0F"/>
    <w:rsid w:val="00740AEA"/>
    <w:rsid w:val="007428B1"/>
    <w:rsid w:val="00742EC7"/>
    <w:rsid w:val="0074667F"/>
    <w:rsid w:val="00750870"/>
    <w:rsid w:val="007527FE"/>
    <w:rsid w:val="00753E1A"/>
    <w:rsid w:val="00755D7E"/>
    <w:rsid w:val="0075612F"/>
    <w:rsid w:val="00762802"/>
    <w:rsid w:val="00764012"/>
    <w:rsid w:val="007721A0"/>
    <w:rsid w:val="0078200D"/>
    <w:rsid w:val="00783B02"/>
    <w:rsid w:val="00785F54"/>
    <w:rsid w:val="00787763"/>
    <w:rsid w:val="00796AF4"/>
    <w:rsid w:val="00797222"/>
    <w:rsid w:val="007A008E"/>
    <w:rsid w:val="007A11CC"/>
    <w:rsid w:val="007A3281"/>
    <w:rsid w:val="007A364E"/>
    <w:rsid w:val="007A3D6A"/>
    <w:rsid w:val="007A66F5"/>
    <w:rsid w:val="007B1148"/>
    <w:rsid w:val="007C0354"/>
    <w:rsid w:val="007C1A04"/>
    <w:rsid w:val="007C76A4"/>
    <w:rsid w:val="007D0FDB"/>
    <w:rsid w:val="007D782D"/>
    <w:rsid w:val="007F549D"/>
    <w:rsid w:val="007F7E2E"/>
    <w:rsid w:val="00804ECE"/>
    <w:rsid w:val="0081172F"/>
    <w:rsid w:val="00811C1E"/>
    <w:rsid w:val="00812EFF"/>
    <w:rsid w:val="00813361"/>
    <w:rsid w:val="00815C50"/>
    <w:rsid w:val="0081736A"/>
    <w:rsid w:val="0083059E"/>
    <w:rsid w:val="00832539"/>
    <w:rsid w:val="00835676"/>
    <w:rsid w:val="00835884"/>
    <w:rsid w:val="00836E5E"/>
    <w:rsid w:val="00837FE9"/>
    <w:rsid w:val="00841F6B"/>
    <w:rsid w:val="00851D42"/>
    <w:rsid w:val="00851FB4"/>
    <w:rsid w:val="00855EFB"/>
    <w:rsid w:val="0086088C"/>
    <w:rsid w:val="00861C71"/>
    <w:rsid w:val="00861ED6"/>
    <w:rsid w:val="008625CC"/>
    <w:rsid w:val="00864D68"/>
    <w:rsid w:val="00866AE3"/>
    <w:rsid w:val="00866E17"/>
    <w:rsid w:val="008678FE"/>
    <w:rsid w:val="00872632"/>
    <w:rsid w:val="00873DB5"/>
    <w:rsid w:val="00877F13"/>
    <w:rsid w:val="0088061C"/>
    <w:rsid w:val="00884514"/>
    <w:rsid w:val="008934A9"/>
    <w:rsid w:val="008A2343"/>
    <w:rsid w:val="008A555E"/>
    <w:rsid w:val="008B045F"/>
    <w:rsid w:val="008B4504"/>
    <w:rsid w:val="008B4D68"/>
    <w:rsid w:val="008B7D0A"/>
    <w:rsid w:val="008C3897"/>
    <w:rsid w:val="008C7E88"/>
    <w:rsid w:val="008E0218"/>
    <w:rsid w:val="008E480C"/>
    <w:rsid w:val="00900A47"/>
    <w:rsid w:val="00903653"/>
    <w:rsid w:val="009051DC"/>
    <w:rsid w:val="0091598D"/>
    <w:rsid w:val="00926CC4"/>
    <w:rsid w:val="00931178"/>
    <w:rsid w:val="0093427A"/>
    <w:rsid w:val="00934911"/>
    <w:rsid w:val="009433DC"/>
    <w:rsid w:val="00947698"/>
    <w:rsid w:val="00951279"/>
    <w:rsid w:val="00953694"/>
    <w:rsid w:val="0096202D"/>
    <w:rsid w:val="00970E72"/>
    <w:rsid w:val="00974D42"/>
    <w:rsid w:val="0097750C"/>
    <w:rsid w:val="009816FE"/>
    <w:rsid w:val="00982129"/>
    <w:rsid w:val="00982A93"/>
    <w:rsid w:val="00984BA9"/>
    <w:rsid w:val="00984C29"/>
    <w:rsid w:val="0099065E"/>
    <w:rsid w:val="009909E7"/>
    <w:rsid w:val="00991560"/>
    <w:rsid w:val="00993BDC"/>
    <w:rsid w:val="009A3519"/>
    <w:rsid w:val="009A50AD"/>
    <w:rsid w:val="009B4CD0"/>
    <w:rsid w:val="009B6450"/>
    <w:rsid w:val="009C1386"/>
    <w:rsid w:val="009C5378"/>
    <w:rsid w:val="009C798C"/>
    <w:rsid w:val="009D17D2"/>
    <w:rsid w:val="009E2856"/>
    <w:rsid w:val="009E2A3B"/>
    <w:rsid w:val="009E2F2D"/>
    <w:rsid w:val="009E7BB8"/>
    <w:rsid w:val="00A028F3"/>
    <w:rsid w:val="00A06921"/>
    <w:rsid w:val="00A07801"/>
    <w:rsid w:val="00A14AC2"/>
    <w:rsid w:val="00A20D08"/>
    <w:rsid w:val="00A21948"/>
    <w:rsid w:val="00A21BF6"/>
    <w:rsid w:val="00A318FD"/>
    <w:rsid w:val="00A41978"/>
    <w:rsid w:val="00A44E7F"/>
    <w:rsid w:val="00A47B1C"/>
    <w:rsid w:val="00A51B6C"/>
    <w:rsid w:val="00A51CA1"/>
    <w:rsid w:val="00A522A0"/>
    <w:rsid w:val="00A52A79"/>
    <w:rsid w:val="00A564A8"/>
    <w:rsid w:val="00A57DD2"/>
    <w:rsid w:val="00A625E5"/>
    <w:rsid w:val="00A65926"/>
    <w:rsid w:val="00A66B5E"/>
    <w:rsid w:val="00A6731A"/>
    <w:rsid w:val="00A70FCD"/>
    <w:rsid w:val="00A72611"/>
    <w:rsid w:val="00A7334C"/>
    <w:rsid w:val="00A77C57"/>
    <w:rsid w:val="00A91553"/>
    <w:rsid w:val="00A97805"/>
    <w:rsid w:val="00AA46D3"/>
    <w:rsid w:val="00AA68B6"/>
    <w:rsid w:val="00AC58D8"/>
    <w:rsid w:val="00AC5B51"/>
    <w:rsid w:val="00AD2DA6"/>
    <w:rsid w:val="00AD5641"/>
    <w:rsid w:val="00AD6726"/>
    <w:rsid w:val="00AD6CA0"/>
    <w:rsid w:val="00AE2D02"/>
    <w:rsid w:val="00AE2FB4"/>
    <w:rsid w:val="00AF2BEC"/>
    <w:rsid w:val="00AF7A01"/>
    <w:rsid w:val="00B00B79"/>
    <w:rsid w:val="00B0727B"/>
    <w:rsid w:val="00B107F2"/>
    <w:rsid w:val="00B17C2B"/>
    <w:rsid w:val="00B21257"/>
    <w:rsid w:val="00B260FA"/>
    <w:rsid w:val="00B27D1A"/>
    <w:rsid w:val="00B30FE8"/>
    <w:rsid w:val="00B32F2C"/>
    <w:rsid w:val="00B35371"/>
    <w:rsid w:val="00B4428F"/>
    <w:rsid w:val="00B532A9"/>
    <w:rsid w:val="00B6421D"/>
    <w:rsid w:val="00B66864"/>
    <w:rsid w:val="00B72878"/>
    <w:rsid w:val="00B76898"/>
    <w:rsid w:val="00B81FED"/>
    <w:rsid w:val="00B83787"/>
    <w:rsid w:val="00B84B0A"/>
    <w:rsid w:val="00B87E8F"/>
    <w:rsid w:val="00B90A15"/>
    <w:rsid w:val="00B96A21"/>
    <w:rsid w:val="00BB58CB"/>
    <w:rsid w:val="00BC181F"/>
    <w:rsid w:val="00BC4997"/>
    <w:rsid w:val="00BC7CA8"/>
    <w:rsid w:val="00BD14C6"/>
    <w:rsid w:val="00BD2212"/>
    <w:rsid w:val="00BD5344"/>
    <w:rsid w:val="00BE0E6D"/>
    <w:rsid w:val="00BE4923"/>
    <w:rsid w:val="00BF0C62"/>
    <w:rsid w:val="00BF686E"/>
    <w:rsid w:val="00C00FC6"/>
    <w:rsid w:val="00C04DAC"/>
    <w:rsid w:val="00C07A69"/>
    <w:rsid w:val="00C13D22"/>
    <w:rsid w:val="00C20185"/>
    <w:rsid w:val="00C35859"/>
    <w:rsid w:val="00C3A891"/>
    <w:rsid w:val="00C42F15"/>
    <w:rsid w:val="00C44AA2"/>
    <w:rsid w:val="00C45AEE"/>
    <w:rsid w:val="00C47AE8"/>
    <w:rsid w:val="00C52441"/>
    <w:rsid w:val="00C540F6"/>
    <w:rsid w:val="00C61B3E"/>
    <w:rsid w:val="00C61E97"/>
    <w:rsid w:val="00C63C04"/>
    <w:rsid w:val="00C6649A"/>
    <w:rsid w:val="00C67A70"/>
    <w:rsid w:val="00C73CE0"/>
    <w:rsid w:val="00C76948"/>
    <w:rsid w:val="00C77CE4"/>
    <w:rsid w:val="00C8228F"/>
    <w:rsid w:val="00C82492"/>
    <w:rsid w:val="00C88882"/>
    <w:rsid w:val="00C910EF"/>
    <w:rsid w:val="00CA40A8"/>
    <w:rsid w:val="00CC128D"/>
    <w:rsid w:val="00CC2516"/>
    <w:rsid w:val="00CC274B"/>
    <w:rsid w:val="00CC7014"/>
    <w:rsid w:val="00CD1AE3"/>
    <w:rsid w:val="00CD7E06"/>
    <w:rsid w:val="00CE0ED3"/>
    <w:rsid w:val="00CE19ED"/>
    <w:rsid w:val="00CE5332"/>
    <w:rsid w:val="00CE7805"/>
    <w:rsid w:val="00CF0D11"/>
    <w:rsid w:val="00CF308D"/>
    <w:rsid w:val="00CF3781"/>
    <w:rsid w:val="00CF40D6"/>
    <w:rsid w:val="00CF428B"/>
    <w:rsid w:val="00CF45A2"/>
    <w:rsid w:val="00CF54C3"/>
    <w:rsid w:val="00D01153"/>
    <w:rsid w:val="00D01DFC"/>
    <w:rsid w:val="00D038C0"/>
    <w:rsid w:val="00D04A84"/>
    <w:rsid w:val="00D0678D"/>
    <w:rsid w:val="00D10FD7"/>
    <w:rsid w:val="00D114D8"/>
    <w:rsid w:val="00D11FA7"/>
    <w:rsid w:val="00D148A7"/>
    <w:rsid w:val="00D216C3"/>
    <w:rsid w:val="00D3024C"/>
    <w:rsid w:val="00D31BD9"/>
    <w:rsid w:val="00D34E41"/>
    <w:rsid w:val="00D36EE6"/>
    <w:rsid w:val="00D431CC"/>
    <w:rsid w:val="00D44F7F"/>
    <w:rsid w:val="00D47F16"/>
    <w:rsid w:val="00D50A24"/>
    <w:rsid w:val="00D573AC"/>
    <w:rsid w:val="00D57602"/>
    <w:rsid w:val="00D647A4"/>
    <w:rsid w:val="00D64C74"/>
    <w:rsid w:val="00D6722E"/>
    <w:rsid w:val="00D700DF"/>
    <w:rsid w:val="00D72F83"/>
    <w:rsid w:val="00D73593"/>
    <w:rsid w:val="00D742C8"/>
    <w:rsid w:val="00D82282"/>
    <w:rsid w:val="00D83CDF"/>
    <w:rsid w:val="00D84B1C"/>
    <w:rsid w:val="00D8724C"/>
    <w:rsid w:val="00D919F8"/>
    <w:rsid w:val="00D91FED"/>
    <w:rsid w:val="00D922E9"/>
    <w:rsid w:val="00DA271E"/>
    <w:rsid w:val="00DA2B30"/>
    <w:rsid w:val="00DB3C46"/>
    <w:rsid w:val="00DB5C08"/>
    <w:rsid w:val="00DCD0C1"/>
    <w:rsid w:val="00DD1023"/>
    <w:rsid w:val="00DD26CD"/>
    <w:rsid w:val="00DD3B5C"/>
    <w:rsid w:val="00DD450A"/>
    <w:rsid w:val="00DD6760"/>
    <w:rsid w:val="00DD762A"/>
    <w:rsid w:val="00DE042E"/>
    <w:rsid w:val="00DE5030"/>
    <w:rsid w:val="00DE50D7"/>
    <w:rsid w:val="00DE77A5"/>
    <w:rsid w:val="00DE7C11"/>
    <w:rsid w:val="00DF3ED4"/>
    <w:rsid w:val="00DF45E9"/>
    <w:rsid w:val="00DF603F"/>
    <w:rsid w:val="00E001C7"/>
    <w:rsid w:val="00E01330"/>
    <w:rsid w:val="00E07600"/>
    <w:rsid w:val="00E103D4"/>
    <w:rsid w:val="00E10E97"/>
    <w:rsid w:val="00E11111"/>
    <w:rsid w:val="00E1506F"/>
    <w:rsid w:val="00E15A52"/>
    <w:rsid w:val="00E16870"/>
    <w:rsid w:val="00E2238F"/>
    <w:rsid w:val="00E23DC1"/>
    <w:rsid w:val="00E350D1"/>
    <w:rsid w:val="00E37D76"/>
    <w:rsid w:val="00E40EFD"/>
    <w:rsid w:val="00E43EE5"/>
    <w:rsid w:val="00E4625F"/>
    <w:rsid w:val="00E560C1"/>
    <w:rsid w:val="00E61CB0"/>
    <w:rsid w:val="00E635A3"/>
    <w:rsid w:val="00E638A2"/>
    <w:rsid w:val="00E70538"/>
    <w:rsid w:val="00E720AF"/>
    <w:rsid w:val="00E73268"/>
    <w:rsid w:val="00E81064"/>
    <w:rsid w:val="00E81384"/>
    <w:rsid w:val="00E8199F"/>
    <w:rsid w:val="00E82149"/>
    <w:rsid w:val="00E90799"/>
    <w:rsid w:val="00E91F2E"/>
    <w:rsid w:val="00E924C8"/>
    <w:rsid w:val="00E93011"/>
    <w:rsid w:val="00E94AF7"/>
    <w:rsid w:val="00E96638"/>
    <w:rsid w:val="00EA4329"/>
    <w:rsid w:val="00EB16B4"/>
    <w:rsid w:val="00EB26F6"/>
    <w:rsid w:val="00EB7500"/>
    <w:rsid w:val="00EC34F5"/>
    <w:rsid w:val="00EC7F0D"/>
    <w:rsid w:val="00ED1602"/>
    <w:rsid w:val="00ED55ED"/>
    <w:rsid w:val="00EE417A"/>
    <w:rsid w:val="00EE5200"/>
    <w:rsid w:val="00EE5484"/>
    <w:rsid w:val="00EF0C1D"/>
    <w:rsid w:val="00EF7CDA"/>
    <w:rsid w:val="00F005E0"/>
    <w:rsid w:val="00F037DB"/>
    <w:rsid w:val="00F0707A"/>
    <w:rsid w:val="00F13CA5"/>
    <w:rsid w:val="00F22F61"/>
    <w:rsid w:val="00F273F6"/>
    <w:rsid w:val="00F3271B"/>
    <w:rsid w:val="00F33033"/>
    <w:rsid w:val="00F3627D"/>
    <w:rsid w:val="00F37034"/>
    <w:rsid w:val="00F442EA"/>
    <w:rsid w:val="00F44D3E"/>
    <w:rsid w:val="00F467CC"/>
    <w:rsid w:val="00F51010"/>
    <w:rsid w:val="00F608CE"/>
    <w:rsid w:val="00F675D5"/>
    <w:rsid w:val="00F71318"/>
    <w:rsid w:val="00F72D7B"/>
    <w:rsid w:val="00F72E59"/>
    <w:rsid w:val="00F7363D"/>
    <w:rsid w:val="00F73733"/>
    <w:rsid w:val="00F81E4C"/>
    <w:rsid w:val="00F81ED0"/>
    <w:rsid w:val="00F83F89"/>
    <w:rsid w:val="00F872CE"/>
    <w:rsid w:val="00F92DE5"/>
    <w:rsid w:val="00F92E24"/>
    <w:rsid w:val="00F941B8"/>
    <w:rsid w:val="00F96842"/>
    <w:rsid w:val="00FA0C00"/>
    <w:rsid w:val="00FA1FEA"/>
    <w:rsid w:val="00FA4905"/>
    <w:rsid w:val="00FB0E0C"/>
    <w:rsid w:val="00FB369A"/>
    <w:rsid w:val="00FB4504"/>
    <w:rsid w:val="00FC53CA"/>
    <w:rsid w:val="00FC77D1"/>
    <w:rsid w:val="00FC7DAE"/>
    <w:rsid w:val="00FD1BBA"/>
    <w:rsid w:val="00FD6FDA"/>
    <w:rsid w:val="00FE07B9"/>
    <w:rsid w:val="00FF3950"/>
    <w:rsid w:val="00FF4070"/>
    <w:rsid w:val="00FF59C0"/>
    <w:rsid w:val="010F4EE4"/>
    <w:rsid w:val="01402DDD"/>
    <w:rsid w:val="01960CD8"/>
    <w:rsid w:val="01B5A31D"/>
    <w:rsid w:val="022F16B1"/>
    <w:rsid w:val="02478F42"/>
    <w:rsid w:val="026CD318"/>
    <w:rsid w:val="02805E4B"/>
    <w:rsid w:val="029225AE"/>
    <w:rsid w:val="02AFA58D"/>
    <w:rsid w:val="02E146EE"/>
    <w:rsid w:val="02F23BBF"/>
    <w:rsid w:val="030357D2"/>
    <w:rsid w:val="031BE696"/>
    <w:rsid w:val="032DB98B"/>
    <w:rsid w:val="036BD656"/>
    <w:rsid w:val="03EA4BC6"/>
    <w:rsid w:val="0406FF03"/>
    <w:rsid w:val="042B40C9"/>
    <w:rsid w:val="04424647"/>
    <w:rsid w:val="04B04CE2"/>
    <w:rsid w:val="04F085D3"/>
    <w:rsid w:val="0500C932"/>
    <w:rsid w:val="0518AFBB"/>
    <w:rsid w:val="051ED6FF"/>
    <w:rsid w:val="053E9936"/>
    <w:rsid w:val="05452225"/>
    <w:rsid w:val="059E1D34"/>
    <w:rsid w:val="05B04187"/>
    <w:rsid w:val="05B08ADE"/>
    <w:rsid w:val="05C0CC7A"/>
    <w:rsid w:val="05C15FDE"/>
    <w:rsid w:val="05D7D378"/>
    <w:rsid w:val="05D8F2D3"/>
    <w:rsid w:val="05F7E650"/>
    <w:rsid w:val="06B6D0B1"/>
    <w:rsid w:val="06C2551B"/>
    <w:rsid w:val="06D3B7AB"/>
    <w:rsid w:val="06DC6557"/>
    <w:rsid w:val="073AADAF"/>
    <w:rsid w:val="07558DE3"/>
    <w:rsid w:val="076DABC2"/>
    <w:rsid w:val="07C70169"/>
    <w:rsid w:val="07F831E7"/>
    <w:rsid w:val="080BD986"/>
    <w:rsid w:val="082FE073"/>
    <w:rsid w:val="08353523"/>
    <w:rsid w:val="0873606A"/>
    <w:rsid w:val="089BA77A"/>
    <w:rsid w:val="08A97A1E"/>
    <w:rsid w:val="08BAB0E5"/>
    <w:rsid w:val="0905A297"/>
    <w:rsid w:val="090A52EA"/>
    <w:rsid w:val="090BCAA1"/>
    <w:rsid w:val="09131AC5"/>
    <w:rsid w:val="095BF226"/>
    <w:rsid w:val="096071E1"/>
    <w:rsid w:val="0968AE83"/>
    <w:rsid w:val="09B558FD"/>
    <w:rsid w:val="09D0667D"/>
    <w:rsid w:val="09DDB036"/>
    <w:rsid w:val="0A637C3B"/>
    <w:rsid w:val="0A647471"/>
    <w:rsid w:val="0A6BF9FB"/>
    <w:rsid w:val="0A7E7EAA"/>
    <w:rsid w:val="0A7F482D"/>
    <w:rsid w:val="0AD44D16"/>
    <w:rsid w:val="0AD599B7"/>
    <w:rsid w:val="0ADD29D1"/>
    <w:rsid w:val="0BABDBCF"/>
    <w:rsid w:val="0BF5AA5E"/>
    <w:rsid w:val="0C18E39D"/>
    <w:rsid w:val="0C60B8AB"/>
    <w:rsid w:val="0C846D9E"/>
    <w:rsid w:val="0D0AD2F6"/>
    <w:rsid w:val="0D4A7C2F"/>
    <w:rsid w:val="0DAA7A6C"/>
    <w:rsid w:val="0DD8C509"/>
    <w:rsid w:val="0E4678FE"/>
    <w:rsid w:val="0E63D11F"/>
    <w:rsid w:val="0E8FDD63"/>
    <w:rsid w:val="0F09160D"/>
    <w:rsid w:val="0F67F5AA"/>
    <w:rsid w:val="0F822559"/>
    <w:rsid w:val="1025C9AA"/>
    <w:rsid w:val="10339E0C"/>
    <w:rsid w:val="10860AC3"/>
    <w:rsid w:val="109476D9"/>
    <w:rsid w:val="1094E196"/>
    <w:rsid w:val="10E2C28A"/>
    <w:rsid w:val="10E60EB2"/>
    <w:rsid w:val="110D471B"/>
    <w:rsid w:val="111C4C01"/>
    <w:rsid w:val="11214B1A"/>
    <w:rsid w:val="112CB767"/>
    <w:rsid w:val="112E0DED"/>
    <w:rsid w:val="1188BB02"/>
    <w:rsid w:val="11E1CF89"/>
    <w:rsid w:val="122DF008"/>
    <w:rsid w:val="12391B9B"/>
    <w:rsid w:val="12541417"/>
    <w:rsid w:val="1276CF51"/>
    <w:rsid w:val="12ACC4DD"/>
    <w:rsid w:val="12D9399D"/>
    <w:rsid w:val="12DC5208"/>
    <w:rsid w:val="1307DA2B"/>
    <w:rsid w:val="134916F9"/>
    <w:rsid w:val="136F6671"/>
    <w:rsid w:val="138BEEAF"/>
    <w:rsid w:val="13955F24"/>
    <w:rsid w:val="13B488F4"/>
    <w:rsid w:val="13B6374B"/>
    <w:rsid w:val="13C11BDF"/>
    <w:rsid w:val="13C7D52C"/>
    <w:rsid w:val="13E259F6"/>
    <w:rsid w:val="140D1BB1"/>
    <w:rsid w:val="140DA0DC"/>
    <w:rsid w:val="141DF97E"/>
    <w:rsid w:val="141EA2EB"/>
    <w:rsid w:val="14200876"/>
    <w:rsid w:val="146DF9E0"/>
    <w:rsid w:val="149A5958"/>
    <w:rsid w:val="15151BD7"/>
    <w:rsid w:val="152FD482"/>
    <w:rsid w:val="1544ECFE"/>
    <w:rsid w:val="1566BC8A"/>
    <w:rsid w:val="156E326F"/>
    <w:rsid w:val="1573EF40"/>
    <w:rsid w:val="159197DB"/>
    <w:rsid w:val="15C04B97"/>
    <w:rsid w:val="15E2FAA9"/>
    <w:rsid w:val="16205DCF"/>
    <w:rsid w:val="1648731A"/>
    <w:rsid w:val="1648C2EB"/>
    <w:rsid w:val="16833B09"/>
    <w:rsid w:val="1686E504"/>
    <w:rsid w:val="169D6090"/>
    <w:rsid w:val="16AD31CB"/>
    <w:rsid w:val="16F512B3"/>
    <w:rsid w:val="174E01EA"/>
    <w:rsid w:val="1752FAA2"/>
    <w:rsid w:val="178BE281"/>
    <w:rsid w:val="17BCFA00"/>
    <w:rsid w:val="17CD66B9"/>
    <w:rsid w:val="183B3129"/>
    <w:rsid w:val="1847B1EB"/>
    <w:rsid w:val="185417C5"/>
    <w:rsid w:val="1859C095"/>
    <w:rsid w:val="187115FD"/>
    <w:rsid w:val="18B6FFA1"/>
    <w:rsid w:val="18B81A7C"/>
    <w:rsid w:val="18ECF260"/>
    <w:rsid w:val="1908EC59"/>
    <w:rsid w:val="1945642D"/>
    <w:rsid w:val="19AA5CAD"/>
    <w:rsid w:val="19CDF11E"/>
    <w:rsid w:val="1A2B5977"/>
    <w:rsid w:val="1A2B6A6F"/>
    <w:rsid w:val="1A3BB3F3"/>
    <w:rsid w:val="1A659742"/>
    <w:rsid w:val="1AA1CC16"/>
    <w:rsid w:val="1B69E914"/>
    <w:rsid w:val="1B9936D8"/>
    <w:rsid w:val="1B9D11BD"/>
    <w:rsid w:val="1BAD9F2C"/>
    <w:rsid w:val="1BB00F59"/>
    <w:rsid w:val="1BC616ED"/>
    <w:rsid w:val="1C02E8E4"/>
    <w:rsid w:val="1C50AAD6"/>
    <w:rsid w:val="1CA493E8"/>
    <w:rsid w:val="1CB50FCC"/>
    <w:rsid w:val="1CBFE46D"/>
    <w:rsid w:val="1CD4AF3C"/>
    <w:rsid w:val="1D43FB3F"/>
    <w:rsid w:val="1D5AFC8C"/>
    <w:rsid w:val="1D894183"/>
    <w:rsid w:val="1D8E0275"/>
    <w:rsid w:val="1DC15002"/>
    <w:rsid w:val="1DC8D77C"/>
    <w:rsid w:val="1DF3D113"/>
    <w:rsid w:val="1DFBDE2B"/>
    <w:rsid w:val="1E09F67F"/>
    <w:rsid w:val="1E0D0FB5"/>
    <w:rsid w:val="1E1671A1"/>
    <w:rsid w:val="1E518BAD"/>
    <w:rsid w:val="1E867594"/>
    <w:rsid w:val="1E8D8F34"/>
    <w:rsid w:val="1EBE04D5"/>
    <w:rsid w:val="1F0951C0"/>
    <w:rsid w:val="1F096F88"/>
    <w:rsid w:val="1F2BEC57"/>
    <w:rsid w:val="1F69DACD"/>
    <w:rsid w:val="1FB86E03"/>
    <w:rsid w:val="1FCEF328"/>
    <w:rsid w:val="1FD5224F"/>
    <w:rsid w:val="1FEE8FEE"/>
    <w:rsid w:val="1FF22175"/>
    <w:rsid w:val="2049412F"/>
    <w:rsid w:val="20494E17"/>
    <w:rsid w:val="20768ACD"/>
    <w:rsid w:val="20811996"/>
    <w:rsid w:val="20AA0B5E"/>
    <w:rsid w:val="20B4CAB7"/>
    <w:rsid w:val="20BD85AF"/>
    <w:rsid w:val="21037C3B"/>
    <w:rsid w:val="2123919C"/>
    <w:rsid w:val="21385C80"/>
    <w:rsid w:val="213ACF61"/>
    <w:rsid w:val="214D801D"/>
    <w:rsid w:val="217FAB68"/>
    <w:rsid w:val="219542E2"/>
    <w:rsid w:val="21B78F61"/>
    <w:rsid w:val="21FD149B"/>
    <w:rsid w:val="22435502"/>
    <w:rsid w:val="226BA398"/>
    <w:rsid w:val="22A69E97"/>
    <w:rsid w:val="22BE1F90"/>
    <w:rsid w:val="22C0D461"/>
    <w:rsid w:val="232C6503"/>
    <w:rsid w:val="233CA7BD"/>
    <w:rsid w:val="23550802"/>
    <w:rsid w:val="23D5CC5F"/>
    <w:rsid w:val="241367FF"/>
    <w:rsid w:val="24189F2D"/>
    <w:rsid w:val="244D22CC"/>
    <w:rsid w:val="249854CC"/>
    <w:rsid w:val="24B764AC"/>
    <w:rsid w:val="24C826ED"/>
    <w:rsid w:val="24D15CEB"/>
    <w:rsid w:val="24D5101D"/>
    <w:rsid w:val="24E71EC6"/>
    <w:rsid w:val="25776EFA"/>
    <w:rsid w:val="258CE282"/>
    <w:rsid w:val="25BE2F9A"/>
    <w:rsid w:val="25C509DB"/>
    <w:rsid w:val="25CAD2A6"/>
    <w:rsid w:val="25CCEE9C"/>
    <w:rsid w:val="2636AE65"/>
    <w:rsid w:val="2695886B"/>
    <w:rsid w:val="2696495C"/>
    <w:rsid w:val="26B05DC2"/>
    <w:rsid w:val="26D4672C"/>
    <w:rsid w:val="26D817AA"/>
    <w:rsid w:val="26FC968D"/>
    <w:rsid w:val="27178C5A"/>
    <w:rsid w:val="274968F9"/>
    <w:rsid w:val="274E910D"/>
    <w:rsid w:val="2788EB0A"/>
    <w:rsid w:val="27D36E11"/>
    <w:rsid w:val="27EEC1EA"/>
    <w:rsid w:val="28159FBD"/>
    <w:rsid w:val="283EF61C"/>
    <w:rsid w:val="2879B925"/>
    <w:rsid w:val="288EA883"/>
    <w:rsid w:val="28BBF44B"/>
    <w:rsid w:val="28CC801C"/>
    <w:rsid w:val="28E2EA84"/>
    <w:rsid w:val="290DF524"/>
    <w:rsid w:val="290F0BD5"/>
    <w:rsid w:val="294E377D"/>
    <w:rsid w:val="2962651F"/>
    <w:rsid w:val="29847B60"/>
    <w:rsid w:val="29AE577D"/>
    <w:rsid w:val="2A215121"/>
    <w:rsid w:val="2A2BD69C"/>
    <w:rsid w:val="2A508210"/>
    <w:rsid w:val="2A568A28"/>
    <w:rsid w:val="2A5FC4EE"/>
    <w:rsid w:val="2AB0EF9C"/>
    <w:rsid w:val="2AE2AE96"/>
    <w:rsid w:val="2B347721"/>
    <w:rsid w:val="2B37EBF0"/>
    <w:rsid w:val="2B4A0073"/>
    <w:rsid w:val="2B7FE86E"/>
    <w:rsid w:val="2B9B148E"/>
    <w:rsid w:val="2BE7F582"/>
    <w:rsid w:val="2BEB180C"/>
    <w:rsid w:val="2C93D025"/>
    <w:rsid w:val="2C9C88B5"/>
    <w:rsid w:val="2CE0B414"/>
    <w:rsid w:val="2D0EC400"/>
    <w:rsid w:val="2D2F61BD"/>
    <w:rsid w:val="2D75975B"/>
    <w:rsid w:val="2DB5489B"/>
    <w:rsid w:val="2DB6D658"/>
    <w:rsid w:val="2DBA2B12"/>
    <w:rsid w:val="2DE8DCF9"/>
    <w:rsid w:val="2DF557D9"/>
    <w:rsid w:val="2E3C29BB"/>
    <w:rsid w:val="2E572DD2"/>
    <w:rsid w:val="2E5D55A6"/>
    <w:rsid w:val="2E6A8AFB"/>
    <w:rsid w:val="2E74D9CC"/>
    <w:rsid w:val="2EAC3F16"/>
    <w:rsid w:val="2EC5BF1E"/>
    <w:rsid w:val="2EDD1455"/>
    <w:rsid w:val="2F103094"/>
    <w:rsid w:val="2F1D09F7"/>
    <w:rsid w:val="2F1EC843"/>
    <w:rsid w:val="2F30562D"/>
    <w:rsid w:val="2F472A8A"/>
    <w:rsid w:val="2F854623"/>
    <w:rsid w:val="2FB2D616"/>
    <w:rsid w:val="2FDEBCE6"/>
    <w:rsid w:val="3027FED5"/>
    <w:rsid w:val="308CC184"/>
    <w:rsid w:val="3092996B"/>
    <w:rsid w:val="3099EC39"/>
    <w:rsid w:val="30FD00D1"/>
    <w:rsid w:val="3106F12E"/>
    <w:rsid w:val="31127BFD"/>
    <w:rsid w:val="311DFF33"/>
    <w:rsid w:val="314FAB74"/>
    <w:rsid w:val="316AF152"/>
    <w:rsid w:val="319C4B02"/>
    <w:rsid w:val="31AFE98F"/>
    <w:rsid w:val="31B92B94"/>
    <w:rsid w:val="31CBCF30"/>
    <w:rsid w:val="3221F83F"/>
    <w:rsid w:val="3267BEDE"/>
    <w:rsid w:val="3281D3B5"/>
    <w:rsid w:val="32844E5D"/>
    <w:rsid w:val="32A41304"/>
    <w:rsid w:val="330E51F7"/>
    <w:rsid w:val="332A5A07"/>
    <w:rsid w:val="33656395"/>
    <w:rsid w:val="3387E60C"/>
    <w:rsid w:val="33CE78CA"/>
    <w:rsid w:val="33F53A8A"/>
    <w:rsid w:val="33F73042"/>
    <w:rsid w:val="3415214D"/>
    <w:rsid w:val="343D939F"/>
    <w:rsid w:val="34920415"/>
    <w:rsid w:val="34E54159"/>
    <w:rsid w:val="35056266"/>
    <w:rsid w:val="3520BC2F"/>
    <w:rsid w:val="35538151"/>
    <w:rsid w:val="355A429F"/>
    <w:rsid w:val="356C75A5"/>
    <w:rsid w:val="358780AA"/>
    <w:rsid w:val="358CF793"/>
    <w:rsid w:val="35B91705"/>
    <w:rsid w:val="3601CC60"/>
    <w:rsid w:val="36106537"/>
    <w:rsid w:val="3646A6C1"/>
    <w:rsid w:val="3654FC82"/>
    <w:rsid w:val="366A4913"/>
    <w:rsid w:val="36C279E6"/>
    <w:rsid w:val="36D39347"/>
    <w:rsid w:val="36DC27CD"/>
    <w:rsid w:val="36F6A859"/>
    <w:rsid w:val="37490EF1"/>
    <w:rsid w:val="375F1D6E"/>
    <w:rsid w:val="3766928E"/>
    <w:rsid w:val="383560F3"/>
    <w:rsid w:val="38393D94"/>
    <w:rsid w:val="383CF7A6"/>
    <w:rsid w:val="38B68DA6"/>
    <w:rsid w:val="38E55251"/>
    <w:rsid w:val="397CFDBA"/>
    <w:rsid w:val="3988D192"/>
    <w:rsid w:val="3988EDEA"/>
    <w:rsid w:val="399BE5FF"/>
    <w:rsid w:val="39B7F4C1"/>
    <w:rsid w:val="39D075AE"/>
    <w:rsid w:val="39E92C69"/>
    <w:rsid w:val="3A263839"/>
    <w:rsid w:val="3A947900"/>
    <w:rsid w:val="3AA30A58"/>
    <w:rsid w:val="3ABA1185"/>
    <w:rsid w:val="3AFFFC21"/>
    <w:rsid w:val="3B077C7D"/>
    <w:rsid w:val="3B1ADBC8"/>
    <w:rsid w:val="3B633A69"/>
    <w:rsid w:val="3B7F24C6"/>
    <w:rsid w:val="3B86A590"/>
    <w:rsid w:val="3B8AC6C9"/>
    <w:rsid w:val="3BA55142"/>
    <w:rsid w:val="3BAAABE4"/>
    <w:rsid w:val="3BE468BC"/>
    <w:rsid w:val="3C5796CB"/>
    <w:rsid w:val="3CC0818A"/>
    <w:rsid w:val="3CC64AAB"/>
    <w:rsid w:val="3CE98051"/>
    <w:rsid w:val="3D5B4886"/>
    <w:rsid w:val="3D7DC115"/>
    <w:rsid w:val="3D93789F"/>
    <w:rsid w:val="3DA823CB"/>
    <w:rsid w:val="3DC36986"/>
    <w:rsid w:val="3DDA43D8"/>
    <w:rsid w:val="3E013687"/>
    <w:rsid w:val="3E1BB2A8"/>
    <w:rsid w:val="3E6CE659"/>
    <w:rsid w:val="3E6DDB12"/>
    <w:rsid w:val="3E9AD13F"/>
    <w:rsid w:val="3EBC47C4"/>
    <w:rsid w:val="3EEC6F5A"/>
    <w:rsid w:val="3F0A6F2D"/>
    <w:rsid w:val="3F265D5A"/>
    <w:rsid w:val="3F27BC4A"/>
    <w:rsid w:val="3F50EC9D"/>
    <w:rsid w:val="3F66CFBB"/>
    <w:rsid w:val="3F7A8CF8"/>
    <w:rsid w:val="3F88219E"/>
    <w:rsid w:val="3FAAE478"/>
    <w:rsid w:val="3FE4C8D5"/>
    <w:rsid w:val="3FE7BE3E"/>
    <w:rsid w:val="3FEF0757"/>
    <w:rsid w:val="400A79A4"/>
    <w:rsid w:val="40A0B40B"/>
    <w:rsid w:val="40C8CB6F"/>
    <w:rsid w:val="410B9AFD"/>
    <w:rsid w:val="41C5CD80"/>
    <w:rsid w:val="41DBFEED"/>
    <w:rsid w:val="41FCC019"/>
    <w:rsid w:val="4206E595"/>
    <w:rsid w:val="4276178F"/>
    <w:rsid w:val="42A2B9AE"/>
    <w:rsid w:val="42A6A5EA"/>
    <w:rsid w:val="43220230"/>
    <w:rsid w:val="4371440E"/>
    <w:rsid w:val="4372BD0E"/>
    <w:rsid w:val="43EC1BBC"/>
    <w:rsid w:val="441ED67E"/>
    <w:rsid w:val="446516B5"/>
    <w:rsid w:val="44934D9B"/>
    <w:rsid w:val="44A0F287"/>
    <w:rsid w:val="44A61A59"/>
    <w:rsid w:val="44C2D660"/>
    <w:rsid w:val="44C4E8D0"/>
    <w:rsid w:val="452358C6"/>
    <w:rsid w:val="4533A1C5"/>
    <w:rsid w:val="455F3453"/>
    <w:rsid w:val="458D6578"/>
    <w:rsid w:val="458F73B0"/>
    <w:rsid w:val="45D4C421"/>
    <w:rsid w:val="45D6E51B"/>
    <w:rsid w:val="45EE0265"/>
    <w:rsid w:val="461B74DA"/>
    <w:rsid w:val="463DE35E"/>
    <w:rsid w:val="4647F089"/>
    <w:rsid w:val="46491772"/>
    <w:rsid w:val="4649C7BE"/>
    <w:rsid w:val="46725690"/>
    <w:rsid w:val="46A5A6FC"/>
    <w:rsid w:val="46B16A8D"/>
    <w:rsid w:val="46D92EA2"/>
    <w:rsid w:val="47077B84"/>
    <w:rsid w:val="47566D8C"/>
    <w:rsid w:val="4760F8CA"/>
    <w:rsid w:val="4766BFEF"/>
    <w:rsid w:val="479D471E"/>
    <w:rsid w:val="47A48B4F"/>
    <w:rsid w:val="47DD8AE9"/>
    <w:rsid w:val="47E3FD59"/>
    <w:rsid w:val="487771B3"/>
    <w:rsid w:val="489E87E3"/>
    <w:rsid w:val="48CD4960"/>
    <w:rsid w:val="4903200F"/>
    <w:rsid w:val="49517BBC"/>
    <w:rsid w:val="4987FF7F"/>
    <w:rsid w:val="49EDC0F5"/>
    <w:rsid w:val="49EDC753"/>
    <w:rsid w:val="4A085E3F"/>
    <w:rsid w:val="4A16DD38"/>
    <w:rsid w:val="4A388468"/>
    <w:rsid w:val="4A63F95A"/>
    <w:rsid w:val="4AA364F4"/>
    <w:rsid w:val="4AD7CF1C"/>
    <w:rsid w:val="4ADD5F20"/>
    <w:rsid w:val="4AE705C2"/>
    <w:rsid w:val="4AFF4194"/>
    <w:rsid w:val="4B419BFD"/>
    <w:rsid w:val="4B41C0B5"/>
    <w:rsid w:val="4B6E8DED"/>
    <w:rsid w:val="4B72BCCC"/>
    <w:rsid w:val="4B831C16"/>
    <w:rsid w:val="4B861B5E"/>
    <w:rsid w:val="4BA89562"/>
    <w:rsid w:val="4BB6D093"/>
    <w:rsid w:val="4BF2B89E"/>
    <w:rsid w:val="4C1A3448"/>
    <w:rsid w:val="4C3B65BC"/>
    <w:rsid w:val="4C5FB1F5"/>
    <w:rsid w:val="4C78ADC4"/>
    <w:rsid w:val="4C9EA463"/>
    <w:rsid w:val="4CB335E3"/>
    <w:rsid w:val="4CB9DBDC"/>
    <w:rsid w:val="4CBE4384"/>
    <w:rsid w:val="4CCD06BE"/>
    <w:rsid w:val="4CD44E58"/>
    <w:rsid w:val="4CE49A1A"/>
    <w:rsid w:val="4CF7C3EC"/>
    <w:rsid w:val="4D0CE146"/>
    <w:rsid w:val="4D6126E3"/>
    <w:rsid w:val="4D687CA4"/>
    <w:rsid w:val="4DA4F185"/>
    <w:rsid w:val="4DAB9654"/>
    <w:rsid w:val="4DF0B8AE"/>
    <w:rsid w:val="4E1144AA"/>
    <w:rsid w:val="4E5E229B"/>
    <w:rsid w:val="4E97DA8B"/>
    <w:rsid w:val="4EAEEFDE"/>
    <w:rsid w:val="4ECDE6F9"/>
    <w:rsid w:val="4ED91071"/>
    <w:rsid w:val="4EF4A6B3"/>
    <w:rsid w:val="4F07479C"/>
    <w:rsid w:val="4F64EC92"/>
    <w:rsid w:val="4F7C78BC"/>
    <w:rsid w:val="4F9B58ED"/>
    <w:rsid w:val="4FA3D0DD"/>
    <w:rsid w:val="4FA4B881"/>
    <w:rsid w:val="4FCE1B6C"/>
    <w:rsid w:val="50DD1CED"/>
    <w:rsid w:val="50E4039A"/>
    <w:rsid w:val="50FF8C24"/>
    <w:rsid w:val="5185E824"/>
    <w:rsid w:val="51D7F884"/>
    <w:rsid w:val="522133A7"/>
    <w:rsid w:val="5247D0AB"/>
    <w:rsid w:val="525C5F55"/>
    <w:rsid w:val="525DFA88"/>
    <w:rsid w:val="526099ED"/>
    <w:rsid w:val="526553D8"/>
    <w:rsid w:val="53079DF6"/>
    <w:rsid w:val="531EFD2B"/>
    <w:rsid w:val="5340B5F2"/>
    <w:rsid w:val="535837A9"/>
    <w:rsid w:val="53925D19"/>
    <w:rsid w:val="5393D79A"/>
    <w:rsid w:val="53A8E3CE"/>
    <w:rsid w:val="53BC3B0A"/>
    <w:rsid w:val="53EE247F"/>
    <w:rsid w:val="544888E0"/>
    <w:rsid w:val="545949E5"/>
    <w:rsid w:val="5482B334"/>
    <w:rsid w:val="54D86213"/>
    <w:rsid w:val="54FDB0F5"/>
    <w:rsid w:val="55238665"/>
    <w:rsid w:val="55730182"/>
    <w:rsid w:val="55736E98"/>
    <w:rsid w:val="55B0EE7C"/>
    <w:rsid w:val="55B92AB9"/>
    <w:rsid w:val="55E7CB98"/>
    <w:rsid w:val="55EA447E"/>
    <w:rsid w:val="55F2DFD3"/>
    <w:rsid w:val="55FA5968"/>
    <w:rsid w:val="561660ED"/>
    <w:rsid w:val="56316771"/>
    <w:rsid w:val="569E19C0"/>
    <w:rsid w:val="56AC9169"/>
    <w:rsid w:val="56D59BE0"/>
    <w:rsid w:val="57399489"/>
    <w:rsid w:val="5778A125"/>
    <w:rsid w:val="57B4FA2B"/>
    <w:rsid w:val="584079D2"/>
    <w:rsid w:val="58583AED"/>
    <w:rsid w:val="58A36B8F"/>
    <w:rsid w:val="58C00F78"/>
    <w:rsid w:val="58CE1C5A"/>
    <w:rsid w:val="594BFF10"/>
    <w:rsid w:val="595EB1A8"/>
    <w:rsid w:val="5987820E"/>
    <w:rsid w:val="59EC9284"/>
    <w:rsid w:val="59F7B869"/>
    <w:rsid w:val="59FBA2C2"/>
    <w:rsid w:val="5A25A994"/>
    <w:rsid w:val="5A4A61A5"/>
    <w:rsid w:val="5A4F8C17"/>
    <w:rsid w:val="5A5BAABF"/>
    <w:rsid w:val="5A616842"/>
    <w:rsid w:val="5A6DA34A"/>
    <w:rsid w:val="5A8B54CE"/>
    <w:rsid w:val="5AB96CE4"/>
    <w:rsid w:val="5AEFDF58"/>
    <w:rsid w:val="5B15925A"/>
    <w:rsid w:val="5B811818"/>
    <w:rsid w:val="5BB509C0"/>
    <w:rsid w:val="5BB9BE17"/>
    <w:rsid w:val="5C18A174"/>
    <w:rsid w:val="5C1F630C"/>
    <w:rsid w:val="5C63B015"/>
    <w:rsid w:val="5C818F78"/>
    <w:rsid w:val="5C84DB1A"/>
    <w:rsid w:val="5C8F5D86"/>
    <w:rsid w:val="5C8FA3C9"/>
    <w:rsid w:val="5C926391"/>
    <w:rsid w:val="5C98AB6E"/>
    <w:rsid w:val="5C9CB62A"/>
    <w:rsid w:val="5CAFE4E7"/>
    <w:rsid w:val="5CB365A7"/>
    <w:rsid w:val="5CC83F39"/>
    <w:rsid w:val="5CD501D7"/>
    <w:rsid w:val="5CD6E882"/>
    <w:rsid w:val="5CDE81D5"/>
    <w:rsid w:val="5D083265"/>
    <w:rsid w:val="5D530115"/>
    <w:rsid w:val="5D552C06"/>
    <w:rsid w:val="5D5CC2F4"/>
    <w:rsid w:val="5D638202"/>
    <w:rsid w:val="5D6D3C84"/>
    <w:rsid w:val="5DD77E75"/>
    <w:rsid w:val="5E06BFAB"/>
    <w:rsid w:val="5E16DD64"/>
    <w:rsid w:val="5E1DCD46"/>
    <w:rsid w:val="5E25D660"/>
    <w:rsid w:val="5E448B8E"/>
    <w:rsid w:val="5E67752A"/>
    <w:rsid w:val="5EAC505F"/>
    <w:rsid w:val="5EAD307F"/>
    <w:rsid w:val="5EBC1149"/>
    <w:rsid w:val="5EDA5FE0"/>
    <w:rsid w:val="5EF27176"/>
    <w:rsid w:val="5F061E49"/>
    <w:rsid w:val="5F1AC3AA"/>
    <w:rsid w:val="5F2C51A0"/>
    <w:rsid w:val="5F93F664"/>
    <w:rsid w:val="5FBA1A96"/>
    <w:rsid w:val="5FD78EB3"/>
    <w:rsid w:val="5FE2AF2B"/>
    <w:rsid w:val="5FECEB7F"/>
    <w:rsid w:val="5FFE3BC0"/>
    <w:rsid w:val="6044903C"/>
    <w:rsid w:val="606FF9B6"/>
    <w:rsid w:val="608B178A"/>
    <w:rsid w:val="60938EA3"/>
    <w:rsid w:val="60A34993"/>
    <w:rsid w:val="60D26420"/>
    <w:rsid w:val="612052E1"/>
    <w:rsid w:val="61368A4A"/>
    <w:rsid w:val="61480502"/>
    <w:rsid w:val="615162AD"/>
    <w:rsid w:val="6162D23A"/>
    <w:rsid w:val="61ACBFF5"/>
    <w:rsid w:val="6205E09A"/>
    <w:rsid w:val="621C47F7"/>
    <w:rsid w:val="6274B9B6"/>
    <w:rsid w:val="62A53471"/>
    <w:rsid w:val="62A9FA2C"/>
    <w:rsid w:val="62F44373"/>
    <w:rsid w:val="635DD254"/>
    <w:rsid w:val="635DF5FD"/>
    <w:rsid w:val="635FB223"/>
    <w:rsid w:val="63D89686"/>
    <w:rsid w:val="63E61596"/>
    <w:rsid w:val="63EB4125"/>
    <w:rsid w:val="63FDFE7F"/>
    <w:rsid w:val="64355199"/>
    <w:rsid w:val="643A3217"/>
    <w:rsid w:val="643E1224"/>
    <w:rsid w:val="64987981"/>
    <w:rsid w:val="64AD9780"/>
    <w:rsid w:val="64DCF8D4"/>
    <w:rsid w:val="64EB83F2"/>
    <w:rsid w:val="64F22A2F"/>
    <w:rsid w:val="64FB9B2C"/>
    <w:rsid w:val="6553D042"/>
    <w:rsid w:val="65573683"/>
    <w:rsid w:val="65624AC0"/>
    <w:rsid w:val="656EEA37"/>
    <w:rsid w:val="6595A9AC"/>
    <w:rsid w:val="659DFB4C"/>
    <w:rsid w:val="65B26F01"/>
    <w:rsid w:val="65CA6953"/>
    <w:rsid w:val="65D44E64"/>
    <w:rsid w:val="65D8388A"/>
    <w:rsid w:val="65FB75BA"/>
    <w:rsid w:val="662364AF"/>
    <w:rsid w:val="663C7BA3"/>
    <w:rsid w:val="6657407B"/>
    <w:rsid w:val="669920D3"/>
    <w:rsid w:val="66A2A519"/>
    <w:rsid w:val="66A8E20D"/>
    <w:rsid w:val="66B7BD6D"/>
    <w:rsid w:val="66D27885"/>
    <w:rsid w:val="66EEF40C"/>
    <w:rsid w:val="675B487F"/>
    <w:rsid w:val="679F255A"/>
    <w:rsid w:val="67ADBA89"/>
    <w:rsid w:val="67D5C430"/>
    <w:rsid w:val="683C295E"/>
    <w:rsid w:val="6859F56D"/>
    <w:rsid w:val="689B82AF"/>
    <w:rsid w:val="68E9C807"/>
    <w:rsid w:val="6929D04B"/>
    <w:rsid w:val="69361DA0"/>
    <w:rsid w:val="697A500A"/>
    <w:rsid w:val="69817DE9"/>
    <w:rsid w:val="6981F1CB"/>
    <w:rsid w:val="69DCEB23"/>
    <w:rsid w:val="69FF9F6E"/>
    <w:rsid w:val="6A47BE79"/>
    <w:rsid w:val="6A6C9AE2"/>
    <w:rsid w:val="6A721F9D"/>
    <w:rsid w:val="6A8438E5"/>
    <w:rsid w:val="6AB44092"/>
    <w:rsid w:val="6AE713BD"/>
    <w:rsid w:val="6B3AECEB"/>
    <w:rsid w:val="6BABDD08"/>
    <w:rsid w:val="6C109325"/>
    <w:rsid w:val="6C36F780"/>
    <w:rsid w:val="6C517DC5"/>
    <w:rsid w:val="6C5E8E69"/>
    <w:rsid w:val="6C830EDD"/>
    <w:rsid w:val="6C9942D5"/>
    <w:rsid w:val="6CA987F0"/>
    <w:rsid w:val="6CCF36F2"/>
    <w:rsid w:val="6D0706B2"/>
    <w:rsid w:val="6D4D8971"/>
    <w:rsid w:val="6D7A1C43"/>
    <w:rsid w:val="6DA42CE8"/>
    <w:rsid w:val="6DBD54ED"/>
    <w:rsid w:val="6DCB6A41"/>
    <w:rsid w:val="6DE5F857"/>
    <w:rsid w:val="6E1AC9F1"/>
    <w:rsid w:val="6E1B3055"/>
    <w:rsid w:val="6E6E00AB"/>
    <w:rsid w:val="6EA4C90B"/>
    <w:rsid w:val="6EAD4E52"/>
    <w:rsid w:val="6EFEFBA3"/>
    <w:rsid w:val="6F1DEBD5"/>
    <w:rsid w:val="6F3F651B"/>
    <w:rsid w:val="6F3F9CD4"/>
    <w:rsid w:val="6F809E66"/>
    <w:rsid w:val="6F928632"/>
    <w:rsid w:val="6FB28B5C"/>
    <w:rsid w:val="6FCAD351"/>
    <w:rsid w:val="6FEAF77C"/>
    <w:rsid w:val="7048C240"/>
    <w:rsid w:val="7049B9AC"/>
    <w:rsid w:val="704E6231"/>
    <w:rsid w:val="70699D0A"/>
    <w:rsid w:val="706E8BC0"/>
    <w:rsid w:val="7084DA21"/>
    <w:rsid w:val="70D9166A"/>
    <w:rsid w:val="70F31D91"/>
    <w:rsid w:val="710BA6A4"/>
    <w:rsid w:val="7129BF1D"/>
    <w:rsid w:val="71492AEC"/>
    <w:rsid w:val="7161FB46"/>
    <w:rsid w:val="71983790"/>
    <w:rsid w:val="71AEB70F"/>
    <w:rsid w:val="71F9B814"/>
    <w:rsid w:val="723FDAB8"/>
    <w:rsid w:val="72563BEA"/>
    <w:rsid w:val="7258816C"/>
    <w:rsid w:val="72639F5F"/>
    <w:rsid w:val="72DA1EAD"/>
    <w:rsid w:val="72E91FB3"/>
    <w:rsid w:val="733C77E9"/>
    <w:rsid w:val="73482B8F"/>
    <w:rsid w:val="734BD5B0"/>
    <w:rsid w:val="737B0F07"/>
    <w:rsid w:val="7388080F"/>
    <w:rsid w:val="73933737"/>
    <w:rsid w:val="73B43734"/>
    <w:rsid w:val="740549C1"/>
    <w:rsid w:val="7417AEBD"/>
    <w:rsid w:val="74339A5E"/>
    <w:rsid w:val="74748274"/>
    <w:rsid w:val="74B33D0F"/>
    <w:rsid w:val="74D0196E"/>
    <w:rsid w:val="750AF321"/>
    <w:rsid w:val="752AC228"/>
    <w:rsid w:val="752E0FCB"/>
    <w:rsid w:val="753280FB"/>
    <w:rsid w:val="75851CC6"/>
    <w:rsid w:val="75889FD1"/>
    <w:rsid w:val="759991FD"/>
    <w:rsid w:val="75A7DEAB"/>
    <w:rsid w:val="75FD19B2"/>
    <w:rsid w:val="7604F683"/>
    <w:rsid w:val="760939B5"/>
    <w:rsid w:val="76450DFF"/>
    <w:rsid w:val="764E5EEE"/>
    <w:rsid w:val="765DAE62"/>
    <w:rsid w:val="76B17DA2"/>
    <w:rsid w:val="76BA329C"/>
    <w:rsid w:val="76E2818E"/>
    <w:rsid w:val="771BDF32"/>
    <w:rsid w:val="773558B1"/>
    <w:rsid w:val="7749B878"/>
    <w:rsid w:val="775CBB35"/>
    <w:rsid w:val="7771F301"/>
    <w:rsid w:val="7785D4ED"/>
    <w:rsid w:val="77D88311"/>
    <w:rsid w:val="77EB5A43"/>
    <w:rsid w:val="78558E83"/>
    <w:rsid w:val="787E0C3F"/>
    <w:rsid w:val="788385CD"/>
    <w:rsid w:val="78CA2FC5"/>
    <w:rsid w:val="78E8A5A8"/>
    <w:rsid w:val="78EA941A"/>
    <w:rsid w:val="78EDB53C"/>
    <w:rsid w:val="7905AFE7"/>
    <w:rsid w:val="790DEB42"/>
    <w:rsid w:val="793E2B9C"/>
    <w:rsid w:val="7960B71E"/>
    <w:rsid w:val="79A96FF7"/>
    <w:rsid w:val="79CD62E4"/>
    <w:rsid w:val="79CE6C79"/>
    <w:rsid w:val="7A170BD1"/>
    <w:rsid w:val="7A2F6E48"/>
    <w:rsid w:val="7A31E27C"/>
    <w:rsid w:val="7A8D2842"/>
    <w:rsid w:val="7A8DB880"/>
    <w:rsid w:val="7AC5C3EF"/>
    <w:rsid w:val="7AF0BCB9"/>
    <w:rsid w:val="7B2DB957"/>
    <w:rsid w:val="7B53FE18"/>
    <w:rsid w:val="7B7139AB"/>
    <w:rsid w:val="7B819A9E"/>
    <w:rsid w:val="7BA6DEE3"/>
    <w:rsid w:val="7BD373FC"/>
    <w:rsid w:val="7C3DCEE8"/>
    <w:rsid w:val="7C4E599B"/>
    <w:rsid w:val="7CAC3D4A"/>
    <w:rsid w:val="7CC107C4"/>
    <w:rsid w:val="7D291B24"/>
    <w:rsid w:val="7D37DF7E"/>
    <w:rsid w:val="7D489471"/>
    <w:rsid w:val="7D4BAD91"/>
    <w:rsid w:val="7D6738D3"/>
    <w:rsid w:val="7DAC92CC"/>
    <w:rsid w:val="7DACFA46"/>
    <w:rsid w:val="7DFE4781"/>
    <w:rsid w:val="7E1049B5"/>
    <w:rsid w:val="7E167A4C"/>
    <w:rsid w:val="7E8158B6"/>
    <w:rsid w:val="7EA43084"/>
    <w:rsid w:val="7EEBEB1F"/>
    <w:rsid w:val="7F0AB09D"/>
    <w:rsid w:val="7F246205"/>
    <w:rsid w:val="7F35684C"/>
    <w:rsid w:val="7F4E3E8F"/>
    <w:rsid w:val="7F509123"/>
    <w:rsid w:val="7F635AE8"/>
    <w:rsid w:val="7F67605B"/>
    <w:rsid w:val="7F85FF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B81A7C"/>
  <w15:chartTrackingRefBased/>
  <w15:docId w15:val="{ECD27998-D56D-45F5-8E71-80349D36C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1CBFE46D"/>
    <w:pPr>
      <w:spacing w:after="0"/>
      <w:ind w:firstLine="720"/>
      <w:jc w:val="both"/>
    </w:pPr>
    <w:rPr>
      <w:rFonts w:ascii="Times New Roman" w:eastAsia="Times New Roman" w:hAnsi="Times New Roman" w:cs="Times New Roman"/>
      <w:color w:val="000000" w:themeColor="text1"/>
      <w:sz w:val="20"/>
      <w:szCs w:val="20"/>
    </w:rPr>
  </w:style>
  <w:style w:type="paragraph" w:styleId="Heading1">
    <w:name w:val="heading 1"/>
    <w:basedOn w:val="Topic"/>
    <w:next w:val="Normal"/>
    <w:link w:val="Heading1Char"/>
    <w:uiPriority w:val="9"/>
    <w:qFormat/>
    <w:rsid w:val="1CBFE46D"/>
    <w:pPr>
      <w:outlineLvl w:val="0"/>
    </w:pPr>
  </w:style>
  <w:style w:type="paragraph" w:styleId="Heading2">
    <w:name w:val="heading 2"/>
    <w:basedOn w:val="Normal"/>
    <w:next w:val="Normal"/>
    <w:link w:val="Heading2Char"/>
    <w:uiPriority w:val="9"/>
    <w:unhideWhenUsed/>
    <w:qFormat/>
    <w:rsid w:val="1CBFE46D"/>
    <w:pPr>
      <w:keepNext/>
      <w:keepLines/>
      <w:spacing w:after="240"/>
      <w:ind w:firstLine="0"/>
      <w:outlineLvl w:val="1"/>
    </w:pPr>
    <w:rPr>
      <w:b/>
      <w:bCs/>
      <w:color w:val="auto"/>
    </w:rPr>
  </w:style>
  <w:style w:type="paragraph" w:styleId="Heading3">
    <w:name w:val="heading 3"/>
    <w:basedOn w:val="Normal"/>
    <w:next w:val="Normal"/>
    <w:link w:val="Heading3Char"/>
    <w:uiPriority w:val="9"/>
    <w:unhideWhenUsed/>
    <w:qFormat/>
    <w:rsid w:val="00AC5B51"/>
    <w:pPr>
      <w:keepNext/>
      <w:keepLines/>
      <w:spacing w:before="240" w:after="240" w:line="278" w:lineRule="auto"/>
      <w:ind w:firstLine="0"/>
      <w:outlineLvl w:val="2"/>
    </w:pPr>
    <w:rPr>
      <w:b/>
      <w:bCs/>
    </w:rPr>
  </w:style>
  <w:style w:type="paragraph" w:styleId="Heading4">
    <w:name w:val="heading 4"/>
    <w:basedOn w:val="Normal"/>
    <w:next w:val="Normal"/>
    <w:link w:val="Heading4Char"/>
    <w:uiPriority w:val="9"/>
    <w:unhideWhenUsed/>
    <w:qFormat/>
    <w:rsid w:val="00AD2DA6"/>
    <w:pPr>
      <w:keepNext/>
      <w:keepLines/>
      <w:spacing w:after="240" w:line="276" w:lineRule="auto"/>
      <w:ind w:firstLine="0"/>
      <w:outlineLvl w:val="3"/>
    </w:pPr>
    <w:rPr>
      <w:rFonts w:eastAsiaTheme="majorEastAsia"/>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2D2F61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7BB8"/>
    <w:pPr>
      <w:keepNext/>
      <w:keepLines/>
      <w:spacing w:before="40" w:line="276" w:lineRule="auto"/>
      <w:ind w:firstLine="0"/>
      <w:jc w:val="left"/>
      <w:outlineLvl w:val="6"/>
    </w:pPr>
    <w:rPr>
      <w:rFonts w:ascii="Arial" w:hAnsi="Arial"/>
      <w:color w:val="595959"/>
      <w:sz w:val="22"/>
      <w:szCs w:val="22"/>
      <w:lang w:val="en" w:eastAsia="en-PH"/>
    </w:rPr>
  </w:style>
  <w:style w:type="paragraph" w:styleId="Heading8">
    <w:name w:val="heading 8"/>
    <w:basedOn w:val="Normal"/>
    <w:next w:val="Normal"/>
    <w:link w:val="Heading8Char"/>
    <w:uiPriority w:val="9"/>
    <w:semiHidden/>
    <w:unhideWhenUsed/>
    <w:qFormat/>
    <w:rsid w:val="009E7BB8"/>
    <w:pPr>
      <w:keepNext/>
      <w:keepLines/>
      <w:spacing w:before="40" w:line="276" w:lineRule="auto"/>
      <w:ind w:firstLine="0"/>
      <w:jc w:val="left"/>
      <w:outlineLvl w:val="7"/>
    </w:pPr>
    <w:rPr>
      <w:rFonts w:ascii="Arial" w:hAnsi="Arial"/>
      <w:i/>
      <w:iCs/>
      <w:color w:val="272727"/>
      <w:sz w:val="22"/>
      <w:szCs w:val="22"/>
      <w:lang w:val="en" w:eastAsia="en-PH"/>
    </w:rPr>
  </w:style>
  <w:style w:type="paragraph" w:styleId="Heading9">
    <w:name w:val="heading 9"/>
    <w:basedOn w:val="Normal"/>
    <w:next w:val="Normal"/>
    <w:link w:val="Heading9Char"/>
    <w:uiPriority w:val="9"/>
    <w:semiHidden/>
    <w:unhideWhenUsed/>
    <w:qFormat/>
    <w:rsid w:val="009E7BB8"/>
    <w:pPr>
      <w:keepNext/>
      <w:keepLines/>
      <w:spacing w:before="40" w:line="276" w:lineRule="auto"/>
      <w:ind w:firstLine="0"/>
      <w:jc w:val="left"/>
      <w:outlineLvl w:val="8"/>
    </w:pPr>
    <w:rPr>
      <w:rFonts w:ascii="Arial" w:hAnsi="Arial"/>
      <w:color w:val="272727"/>
      <w:sz w:val="22"/>
      <w:szCs w:val="22"/>
      <w:lang w:val="en" w:eastAsia="en-P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1CBFE46D"/>
    <w:rPr>
      <w:color w:val="467886"/>
      <w:u w:val="single"/>
    </w:rPr>
  </w:style>
  <w:style w:type="paragraph" w:styleId="ListParagraph">
    <w:name w:val="List Paragraph"/>
    <w:basedOn w:val="Normal"/>
    <w:link w:val="ListParagraphChar"/>
    <w:uiPriority w:val="34"/>
    <w:qFormat/>
    <w:rsid w:val="1CBFE46D"/>
    <w:pPr>
      <w:ind w:left="720"/>
      <w:contextualSpacing/>
    </w:pPr>
  </w:style>
  <w:style w:type="paragraph" w:styleId="Header">
    <w:name w:val="header"/>
    <w:basedOn w:val="Normal"/>
    <w:link w:val="HeaderChar"/>
    <w:uiPriority w:val="99"/>
    <w:unhideWhenUsed/>
    <w:rsid w:val="1CBFE46D"/>
    <w:pPr>
      <w:tabs>
        <w:tab w:val="center" w:pos="4680"/>
        <w:tab w:val="right" w:pos="9360"/>
      </w:tabs>
    </w:pPr>
  </w:style>
  <w:style w:type="paragraph" w:styleId="Footer">
    <w:name w:val="footer"/>
    <w:basedOn w:val="Normal"/>
    <w:link w:val="FooterChar"/>
    <w:uiPriority w:val="99"/>
    <w:unhideWhenUsed/>
    <w:rsid w:val="1CBFE46D"/>
    <w:pPr>
      <w:tabs>
        <w:tab w:val="center" w:pos="4680"/>
        <w:tab w:val="right" w:pos="9360"/>
      </w:tabs>
    </w:pPr>
  </w:style>
  <w:style w:type="paragraph" w:customStyle="1" w:styleId="Topic">
    <w:name w:val="Topic"/>
    <w:basedOn w:val="Normal"/>
    <w:link w:val="TopicChar"/>
    <w:uiPriority w:val="1"/>
    <w:qFormat/>
    <w:rsid w:val="1CBFE46D"/>
    <w:pPr>
      <w:spacing w:after="240"/>
      <w:ind w:firstLine="0"/>
    </w:pPr>
    <w:rPr>
      <w:b/>
      <w:bCs/>
    </w:rPr>
  </w:style>
  <w:style w:type="character" w:customStyle="1" w:styleId="TopicChar">
    <w:name w:val="Topic Char"/>
    <w:basedOn w:val="DefaultParagraphFont"/>
    <w:link w:val="Topic"/>
    <w:rsid w:val="1CBFE46D"/>
    <w:rPr>
      <w:rFonts w:ascii="Times New Roman" w:eastAsia="Times New Roman" w:hAnsi="Times New Roman" w:cs="Times New Roman"/>
      <w:b/>
      <w:bCs/>
      <w:i w:val="0"/>
      <w:iCs w:val="0"/>
      <w:strike w:val="0"/>
      <w:dstrike w:val="0"/>
      <w:noProof w:val="0"/>
      <w:color w:val="000000" w:themeColor="text1"/>
      <w:sz w:val="20"/>
      <w:szCs w:val="20"/>
      <w:u w:val="none"/>
      <w:lang w:val="en-US"/>
    </w:rPr>
  </w:style>
  <w:style w:type="paragraph" w:customStyle="1" w:styleId="Figurelabel">
    <w:name w:val="Figure label"/>
    <w:basedOn w:val="ListBullet"/>
    <w:link w:val="FigurelabelChar"/>
    <w:uiPriority w:val="1"/>
    <w:qFormat/>
    <w:rsid w:val="000760D4"/>
    <w:pPr>
      <w:numPr>
        <w:numId w:val="0"/>
      </w:numPr>
      <w:spacing w:after="240"/>
      <w:contextualSpacing w:val="0"/>
      <w:jc w:val="center"/>
    </w:pPr>
    <w:rPr>
      <w:rFonts w:ascii="Times New Roman" w:hAnsi="Times New Roman" w:cs="Times New Roman"/>
      <w:b/>
      <w:bCs/>
      <w:sz w:val="18"/>
      <w:szCs w:val="18"/>
    </w:rPr>
  </w:style>
  <w:style w:type="character" w:customStyle="1" w:styleId="FigurelabelChar">
    <w:name w:val="Figure label Char"/>
    <w:basedOn w:val="DefaultParagraphFont"/>
    <w:link w:val="Figurelabel"/>
    <w:uiPriority w:val="1"/>
    <w:rsid w:val="000760D4"/>
    <w:rPr>
      <w:rFonts w:ascii="Times New Roman" w:hAnsi="Times New Roman" w:cs="Times New Roman"/>
      <w:b/>
      <w:bCs/>
      <w:sz w:val="18"/>
      <w:szCs w:val="18"/>
      <w:lang w:eastAsia="en-US"/>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635DF5FD"/>
    <w:pPr>
      <w:spacing w:after="0"/>
    </w:pPr>
  </w:style>
  <w:style w:type="table" w:styleId="GridTable1Light">
    <w:name w:val="Grid Table 1 Light"/>
    <w:basedOn w:val="TableNormal"/>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rPr>
      <w:rFonts w:ascii="Times New Roman" w:eastAsia="Times New Roman" w:hAnsi="Times New Roman" w:cs="Times New Roman"/>
      <w:color w:val="000000" w:themeColor="text1"/>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MainText">
    <w:name w:val="Main Text"/>
    <w:basedOn w:val="Normal"/>
    <w:link w:val="MainTextChar"/>
    <w:qFormat/>
    <w:rsid w:val="004608CB"/>
    <w:pPr>
      <w:spacing w:after="180" w:line="240" w:lineRule="auto"/>
      <w:ind w:firstLine="0"/>
    </w:pPr>
    <w:rPr>
      <w:rFonts w:eastAsiaTheme="minorHAnsi" w:cstheme="minorBidi"/>
      <w:color w:val="auto"/>
      <w:sz w:val="22"/>
      <w:szCs w:val="22"/>
      <w:lang w:val="en-PH" w:eastAsia="en-US"/>
    </w:rPr>
  </w:style>
  <w:style w:type="character" w:customStyle="1" w:styleId="MainTextChar">
    <w:name w:val="Main Text Char"/>
    <w:basedOn w:val="DefaultParagraphFont"/>
    <w:link w:val="MainText"/>
    <w:rsid w:val="004608CB"/>
    <w:rPr>
      <w:rFonts w:ascii="Times New Roman" w:eastAsiaTheme="minorHAnsi" w:hAnsi="Times New Roman"/>
      <w:sz w:val="22"/>
      <w:szCs w:val="22"/>
      <w:lang w:val="en-PH" w:eastAsia="en-US"/>
    </w:rPr>
  </w:style>
  <w:style w:type="character" w:customStyle="1" w:styleId="A1">
    <w:name w:val="A1"/>
    <w:uiPriority w:val="99"/>
    <w:rsid w:val="004608CB"/>
    <w:rPr>
      <w:rFonts w:cs="Product Sans"/>
      <w:color w:val="000000"/>
      <w:sz w:val="22"/>
      <w:szCs w:val="22"/>
    </w:rPr>
  </w:style>
  <w:style w:type="paragraph" w:styleId="FootnoteText">
    <w:name w:val="footnote text"/>
    <w:aliases w:val="ft,ft Char Char Char Char,(NECG) Footnote Text,single space,footnote text,ADB,FOOTNOTES,fn,Footnote Text Char Char Char,Footnote Text Char Char,ft Char Char Char,Char Char Char Char,Char Char Char,f,Footnote Text2,ft1, Char Char Char Char"/>
    <w:basedOn w:val="Normal"/>
    <w:link w:val="FootnoteTextChar"/>
    <w:uiPriority w:val="99"/>
    <w:unhideWhenUsed/>
    <w:qFormat/>
    <w:rsid w:val="004608CB"/>
    <w:pPr>
      <w:spacing w:line="240" w:lineRule="auto"/>
      <w:ind w:firstLine="0"/>
      <w:jc w:val="left"/>
    </w:pPr>
    <w:rPr>
      <w:rFonts w:asciiTheme="minorHAnsi" w:eastAsiaTheme="minorHAnsi" w:hAnsiTheme="minorHAnsi" w:cstheme="minorBidi"/>
      <w:color w:val="auto"/>
      <w:lang w:eastAsia="en-US"/>
    </w:rPr>
  </w:style>
  <w:style w:type="character" w:customStyle="1" w:styleId="FootnoteTextChar">
    <w:name w:val="Footnote Text Char"/>
    <w:aliases w:val="ft Char,ft Char Char Char Char Char,(NECG) Footnote Text Char,single space Char,footnote text Char,ADB Char,FOOTNOTES Char,fn Char,Footnote Text Char Char Char Char,Footnote Text Char Char Char1,ft Char Char Char Char1,f Char,ft1 Char"/>
    <w:basedOn w:val="DefaultParagraphFont"/>
    <w:link w:val="FootnoteText"/>
    <w:uiPriority w:val="99"/>
    <w:qFormat/>
    <w:rsid w:val="004608CB"/>
    <w:rPr>
      <w:rFonts w:eastAsiaTheme="minorHAnsi"/>
      <w:sz w:val="20"/>
      <w:szCs w:val="20"/>
      <w:lang w:eastAsia="en-US"/>
    </w:rPr>
  </w:style>
  <w:style w:type="character" w:styleId="FootnoteReference">
    <w:name w:val="footnote reference"/>
    <w:aliases w:val="FNRefe Char Char Char,BVI fnr Car Car Car Car Char Char Char Char Char Char,BVI fnr Car Car Char Char Char Char,4_G Char,BVI fnr Car Char Char Char Char,BVI fnr Char Char Char1,BVI fnr Char Char Char Char"/>
    <w:basedOn w:val="DefaultParagraphFont"/>
    <w:link w:val="FNRefeCharChar"/>
    <w:uiPriority w:val="99"/>
    <w:unhideWhenUsed/>
    <w:qFormat/>
    <w:rsid w:val="004608CB"/>
    <w:rPr>
      <w:vertAlign w:val="superscript"/>
    </w:rPr>
  </w:style>
  <w:style w:type="paragraph" w:customStyle="1" w:styleId="FNRefeCharChar">
    <w:name w:val="FNRefe Char Char"/>
    <w:aliases w:val="BVI fnr Car Car Car Car Char Char Char Char Char,BVI fnr Car Car Char Char Char,4_G,BVI fnr Car Char Char Char,BVI fnr Char Char,BVI fnr Char Char Char"/>
    <w:basedOn w:val="Normal"/>
    <w:link w:val="FootnoteReference"/>
    <w:uiPriority w:val="99"/>
    <w:qFormat/>
    <w:rsid w:val="004608CB"/>
    <w:pPr>
      <w:spacing w:line="240" w:lineRule="auto"/>
      <w:ind w:left="288" w:hanging="288"/>
      <w:jc w:val="left"/>
    </w:pPr>
    <w:rPr>
      <w:rFonts w:asciiTheme="minorHAnsi" w:eastAsiaTheme="minorEastAsia" w:hAnsiTheme="minorHAnsi" w:cstheme="minorBidi"/>
      <w:color w:val="auto"/>
      <w:sz w:val="24"/>
      <w:szCs w:val="24"/>
      <w:vertAlign w:val="superscript"/>
    </w:rPr>
  </w:style>
  <w:style w:type="paragraph" w:customStyle="1" w:styleId="ExecSumText">
    <w:name w:val="Exec Sum Text"/>
    <w:basedOn w:val="NoSpacing"/>
    <w:link w:val="ExecSumTextChar"/>
    <w:qFormat/>
    <w:rsid w:val="00C82492"/>
    <w:pPr>
      <w:numPr>
        <w:numId w:val="36"/>
      </w:numPr>
      <w:spacing w:after="180" w:line="240" w:lineRule="auto"/>
      <w:jc w:val="both"/>
    </w:pPr>
    <w:rPr>
      <w:rFonts w:ascii="Times New Roman" w:eastAsiaTheme="minorHAnsi" w:hAnsi="Times New Roman"/>
      <w:sz w:val="22"/>
      <w:lang w:val="en-PH" w:eastAsia="en-US"/>
    </w:rPr>
  </w:style>
  <w:style w:type="character" w:customStyle="1" w:styleId="ExecSumTextChar">
    <w:name w:val="Exec Sum Text Char"/>
    <w:basedOn w:val="DefaultParagraphFont"/>
    <w:link w:val="ExecSumText"/>
    <w:rsid w:val="00C82492"/>
    <w:rPr>
      <w:rFonts w:ascii="Times New Roman" w:eastAsiaTheme="minorHAnsi" w:hAnsi="Times New Roman"/>
      <w:sz w:val="22"/>
      <w:lang w:val="en-PH" w:eastAsia="en-US"/>
    </w:rPr>
  </w:style>
  <w:style w:type="character" w:styleId="UnresolvedMention">
    <w:name w:val="Unresolved Mention"/>
    <w:basedOn w:val="DefaultParagraphFont"/>
    <w:uiPriority w:val="99"/>
    <w:semiHidden/>
    <w:unhideWhenUsed/>
    <w:rsid w:val="00FF4070"/>
    <w:rPr>
      <w:color w:val="605E5C"/>
      <w:shd w:val="clear" w:color="auto" w:fill="E1DFDD"/>
    </w:rPr>
  </w:style>
  <w:style w:type="character" w:customStyle="1" w:styleId="A2">
    <w:name w:val="A2"/>
    <w:uiPriority w:val="99"/>
    <w:rsid w:val="00FF4070"/>
    <w:rPr>
      <w:rFonts w:cs="Minion Pro"/>
      <w:color w:val="000000"/>
      <w:sz w:val="18"/>
      <w:szCs w:val="18"/>
    </w:rPr>
  </w:style>
  <w:style w:type="paragraph" w:customStyle="1" w:styleId="Pa12">
    <w:name w:val="Pa12"/>
    <w:basedOn w:val="Normal"/>
    <w:next w:val="Normal"/>
    <w:uiPriority w:val="99"/>
    <w:rsid w:val="004975AF"/>
    <w:pPr>
      <w:autoSpaceDE w:val="0"/>
      <w:autoSpaceDN w:val="0"/>
      <w:adjustRightInd w:val="0"/>
      <w:spacing w:line="211" w:lineRule="atLeast"/>
      <w:ind w:firstLine="0"/>
      <w:jc w:val="left"/>
    </w:pPr>
    <w:rPr>
      <w:rFonts w:ascii="NWHUIV+Berkeley-Book" w:eastAsiaTheme="minorHAnsi" w:hAnsi="NWHUIV+Berkeley-Book" w:cstheme="minorBidi"/>
      <w:color w:val="auto"/>
      <w:sz w:val="24"/>
      <w:szCs w:val="24"/>
      <w:lang w:eastAsia="en-US"/>
    </w:rPr>
  </w:style>
  <w:style w:type="paragraph" w:customStyle="1" w:styleId="Default">
    <w:name w:val="Default"/>
    <w:rsid w:val="00344CFF"/>
    <w:pPr>
      <w:autoSpaceDE w:val="0"/>
      <w:autoSpaceDN w:val="0"/>
      <w:adjustRightInd w:val="0"/>
      <w:spacing w:after="0" w:line="240" w:lineRule="auto"/>
    </w:pPr>
    <w:rPr>
      <w:rFonts w:ascii="Minion Pro" w:eastAsiaTheme="minorHAnsi" w:hAnsi="Minion Pro" w:cs="Minion Pro"/>
      <w:color w:val="000000"/>
      <w:lang w:eastAsia="en-US"/>
    </w:rPr>
  </w:style>
  <w:style w:type="paragraph" w:customStyle="1" w:styleId="Pa4">
    <w:name w:val="Pa4"/>
    <w:basedOn w:val="Default"/>
    <w:next w:val="Default"/>
    <w:uiPriority w:val="99"/>
    <w:rsid w:val="00344CFF"/>
    <w:pPr>
      <w:spacing w:line="241" w:lineRule="atLeast"/>
    </w:pPr>
    <w:rPr>
      <w:rFonts w:ascii="Product Sans" w:hAnsi="Product Sans" w:cstheme="minorBidi"/>
      <w:color w:val="auto"/>
    </w:rPr>
  </w:style>
  <w:style w:type="table" w:styleId="TableGridLight">
    <w:name w:val="Grid Table Light"/>
    <w:basedOn w:val="TableNormal"/>
    <w:uiPriority w:val="40"/>
    <w:rsid w:val="00A318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odyTextIndent">
    <w:name w:val="Body Text Indent"/>
    <w:basedOn w:val="Normal"/>
    <w:link w:val="BodyTextIndentChar"/>
    <w:semiHidden/>
    <w:rsid w:val="00B87E8F"/>
    <w:pPr>
      <w:spacing w:line="240" w:lineRule="auto"/>
    </w:pPr>
    <w:rPr>
      <w:color w:val="auto"/>
      <w:sz w:val="22"/>
      <w:lang w:eastAsia="en-US"/>
    </w:rPr>
  </w:style>
  <w:style w:type="character" w:customStyle="1" w:styleId="BodyTextIndentChar">
    <w:name w:val="Body Text Indent Char"/>
    <w:basedOn w:val="DefaultParagraphFont"/>
    <w:link w:val="BodyTextIndent"/>
    <w:semiHidden/>
    <w:rsid w:val="00B87E8F"/>
    <w:rPr>
      <w:rFonts w:ascii="Times New Roman" w:eastAsia="Times New Roman" w:hAnsi="Times New Roman" w:cs="Times New Roman"/>
      <w:sz w:val="22"/>
      <w:szCs w:val="20"/>
      <w:lang w:eastAsia="en-US"/>
    </w:rPr>
  </w:style>
  <w:style w:type="character" w:customStyle="1" w:styleId="A8">
    <w:name w:val="A8"/>
    <w:uiPriority w:val="99"/>
    <w:rsid w:val="00F51010"/>
    <w:rPr>
      <w:rFonts w:cs="StempelGaramond Roman"/>
      <w:color w:val="000000"/>
      <w:sz w:val="21"/>
      <w:szCs w:val="21"/>
    </w:rPr>
  </w:style>
  <w:style w:type="character" w:customStyle="1" w:styleId="ListParagraphChar">
    <w:name w:val="List Paragraph Char"/>
    <w:basedOn w:val="DefaultParagraphFont"/>
    <w:link w:val="ListParagraph"/>
    <w:uiPriority w:val="34"/>
    <w:rsid w:val="00F51010"/>
    <w:rPr>
      <w:rFonts w:ascii="Times New Roman" w:eastAsia="Times New Roman" w:hAnsi="Times New Roman" w:cs="Times New Roman"/>
      <w:color w:val="000000" w:themeColor="text1"/>
      <w:sz w:val="20"/>
      <w:szCs w:val="20"/>
    </w:rPr>
  </w:style>
  <w:style w:type="character" w:customStyle="1" w:styleId="Heading1Char">
    <w:name w:val="Heading 1 Char"/>
    <w:basedOn w:val="DefaultParagraphFont"/>
    <w:link w:val="Heading1"/>
    <w:uiPriority w:val="9"/>
    <w:rsid w:val="00D0678D"/>
    <w:rPr>
      <w:rFonts w:ascii="Times New Roman" w:eastAsia="Times New Roman" w:hAnsi="Times New Roman" w:cs="Times New Roman"/>
      <w:b/>
      <w:bCs/>
      <w:color w:val="000000" w:themeColor="text1"/>
      <w:sz w:val="20"/>
      <w:szCs w:val="20"/>
    </w:rPr>
  </w:style>
  <w:style w:type="character" w:customStyle="1" w:styleId="Heading2Char">
    <w:name w:val="Heading 2 Char"/>
    <w:basedOn w:val="DefaultParagraphFont"/>
    <w:link w:val="Heading2"/>
    <w:uiPriority w:val="9"/>
    <w:rsid w:val="00D0678D"/>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D0678D"/>
    <w:rPr>
      <w:color w:val="96607D" w:themeColor="followedHyperlink"/>
      <w:u w:val="single"/>
    </w:rPr>
  </w:style>
  <w:style w:type="character" w:customStyle="1" w:styleId="HeaderChar">
    <w:name w:val="Header Char"/>
    <w:basedOn w:val="DefaultParagraphFont"/>
    <w:link w:val="Header"/>
    <w:uiPriority w:val="99"/>
    <w:rsid w:val="00D0678D"/>
    <w:rPr>
      <w:rFonts w:ascii="Times New Roman" w:eastAsia="Times New Roman" w:hAnsi="Times New Roman" w:cs="Times New Roman"/>
      <w:color w:val="000000" w:themeColor="text1"/>
      <w:sz w:val="20"/>
      <w:szCs w:val="20"/>
    </w:rPr>
  </w:style>
  <w:style w:type="character" w:customStyle="1" w:styleId="FooterChar">
    <w:name w:val="Footer Char"/>
    <w:basedOn w:val="DefaultParagraphFont"/>
    <w:link w:val="Footer"/>
    <w:uiPriority w:val="99"/>
    <w:rsid w:val="00D0678D"/>
    <w:rPr>
      <w:rFonts w:ascii="Times New Roman" w:eastAsia="Times New Roman" w:hAnsi="Times New Roman" w:cs="Times New Roman"/>
      <w:color w:val="000000" w:themeColor="text1"/>
      <w:sz w:val="20"/>
      <w:szCs w:val="20"/>
    </w:rPr>
  </w:style>
  <w:style w:type="paragraph" w:styleId="BalloonText">
    <w:name w:val="Balloon Text"/>
    <w:basedOn w:val="Normal"/>
    <w:link w:val="BalloonTextChar"/>
    <w:uiPriority w:val="99"/>
    <w:semiHidden/>
    <w:unhideWhenUsed/>
    <w:rsid w:val="00D0678D"/>
    <w:pPr>
      <w:spacing w:line="240" w:lineRule="auto"/>
      <w:ind w:firstLine="0"/>
      <w:jc w:val="left"/>
    </w:pPr>
    <w:rPr>
      <w:rFonts w:ascii="Segoe UI" w:eastAsiaTheme="minorHAnsi" w:hAnsi="Segoe UI" w:cs="Segoe UI"/>
      <w:color w:val="auto"/>
      <w:sz w:val="18"/>
      <w:szCs w:val="18"/>
      <w:lang w:eastAsia="en-US"/>
    </w:rPr>
  </w:style>
  <w:style w:type="character" w:customStyle="1" w:styleId="BalloonTextChar">
    <w:name w:val="Balloon Text Char"/>
    <w:basedOn w:val="DefaultParagraphFont"/>
    <w:link w:val="BalloonText"/>
    <w:uiPriority w:val="99"/>
    <w:semiHidden/>
    <w:rsid w:val="00D0678D"/>
    <w:rPr>
      <w:rFonts w:ascii="Segoe UI" w:eastAsiaTheme="minorHAnsi" w:hAnsi="Segoe UI" w:cs="Segoe UI"/>
      <w:sz w:val="18"/>
      <w:szCs w:val="18"/>
      <w:lang w:eastAsia="en-US"/>
    </w:rPr>
  </w:style>
  <w:style w:type="table" w:styleId="GridTable4-Accent5">
    <w:name w:val="Grid Table 4 Accent 5"/>
    <w:basedOn w:val="TableNormal"/>
    <w:uiPriority w:val="49"/>
    <w:rsid w:val="00D0678D"/>
    <w:pPr>
      <w:spacing w:after="0" w:line="240" w:lineRule="auto"/>
    </w:pPr>
    <w:rPr>
      <w:rFonts w:eastAsiaTheme="minorHAnsi"/>
      <w:sz w:val="22"/>
      <w:szCs w:val="22"/>
      <w:lang w:val="en-PH" w:eastAsia="en-US"/>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paragraph" w:styleId="Revision">
    <w:name w:val="Revision"/>
    <w:hidden/>
    <w:uiPriority w:val="99"/>
    <w:semiHidden/>
    <w:rsid w:val="00D0678D"/>
    <w:pPr>
      <w:spacing w:after="0" w:line="240" w:lineRule="auto"/>
    </w:pPr>
    <w:rPr>
      <w:rFonts w:eastAsiaTheme="minorHAnsi"/>
      <w:sz w:val="22"/>
      <w:szCs w:val="22"/>
      <w:lang w:eastAsia="en-US"/>
    </w:rPr>
  </w:style>
  <w:style w:type="character" w:customStyle="1" w:styleId="Heading3Char">
    <w:name w:val="Heading 3 Char"/>
    <w:basedOn w:val="DefaultParagraphFont"/>
    <w:link w:val="Heading3"/>
    <w:uiPriority w:val="9"/>
    <w:rsid w:val="00D0678D"/>
    <w:rPr>
      <w:rFonts w:ascii="Times New Roman" w:eastAsia="Times New Roman" w:hAnsi="Times New Roman" w:cs="Times New Roman"/>
      <w:b/>
      <w:bCs/>
      <w:color w:val="000000" w:themeColor="text1"/>
      <w:sz w:val="20"/>
      <w:szCs w:val="20"/>
    </w:rPr>
  </w:style>
  <w:style w:type="paragraph" w:styleId="NormalWeb">
    <w:name w:val="Normal (Web)"/>
    <w:basedOn w:val="Normal"/>
    <w:uiPriority w:val="99"/>
    <w:unhideWhenUsed/>
    <w:rsid w:val="00241AC4"/>
    <w:pPr>
      <w:spacing w:before="100" w:beforeAutospacing="1" w:after="100" w:afterAutospacing="1" w:line="240" w:lineRule="auto"/>
      <w:ind w:firstLine="0"/>
      <w:jc w:val="left"/>
    </w:pPr>
    <w:rPr>
      <w:color w:val="auto"/>
      <w:sz w:val="24"/>
      <w:szCs w:val="24"/>
      <w:lang w:val="en-PH" w:eastAsia="en-PH"/>
    </w:rPr>
  </w:style>
  <w:style w:type="character" w:styleId="Strong">
    <w:name w:val="Strong"/>
    <w:basedOn w:val="DefaultParagraphFont"/>
    <w:uiPriority w:val="22"/>
    <w:qFormat/>
    <w:rsid w:val="00241AC4"/>
    <w:rPr>
      <w:b/>
      <w:bCs/>
    </w:rPr>
  </w:style>
  <w:style w:type="paragraph" w:styleId="ListBullet">
    <w:name w:val="List Bullet"/>
    <w:basedOn w:val="Normal"/>
    <w:uiPriority w:val="99"/>
    <w:unhideWhenUsed/>
    <w:rsid w:val="00AD2DA6"/>
    <w:pPr>
      <w:numPr>
        <w:numId w:val="56"/>
      </w:numPr>
      <w:tabs>
        <w:tab w:val="clear" w:pos="360"/>
      </w:tabs>
      <w:spacing w:after="200" w:line="276" w:lineRule="auto"/>
      <w:ind w:left="0" w:firstLine="0"/>
      <w:contextualSpacing/>
      <w:jc w:val="left"/>
    </w:pPr>
    <w:rPr>
      <w:rFonts w:asciiTheme="minorHAnsi" w:eastAsiaTheme="minorEastAsia" w:hAnsiTheme="minorHAnsi" w:cstheme="minorBidi"/>
      <w:color w:val="auto"/>
      <w:sz w:val="22"/>
      <w:szCs w:val="22"/>
      <w:lang w:eastAsia="en-US"/>
    </w:rPr>
  </w:style>
  <w:style w:type="character" w:styleId="IntenseEmphasis">
    <w:name w:val="Intense Emphasis"/>
    <w:basedOn w:val="DefaultParagraphFont"/>
    <w:uiPriority w:val="21"/>
    <w:qFormat/>
    <w:rsid w:val="00D148A7"/>
    <w:rPr>
      <w:b/>
      <w:bCs/>
      <w:i/>
      <w:iCs/>
      <w:color w:val="156082" w:themeColor="accent1"/>
    </w:rPr>
  </w:style>
  <w:style w:type="paragraph" w:styleId="Caption">
    <w:name w:val="caption"/>
    <w:basedOn w:val="Normal"/>
    <w:next w:val="Normal"/>
    <w:uiPriority w:val="35"/>
    <w:unhideWhenUsed/>
    <w:qFormat/>
    <w:rsid w:val="00DF45E9"/>
    <w:pPr>
      <w:spacing w:after="200" w:line="240" w:lineRule="auto"/>
      <w:ind w:firstLine="0"/>
      <w:jc w:val="left"/>
    </w:pPr>
    <w:rPr>
      <w:rFonts w:asciiTheme="minorHAnsi" w:eastAsiaTheme="minorHAnsi" w:hAnsiTheme="minorHAnsi" w:cstheme="minorBidi"/>
      <w:i/>
      <w:iCs/>
      <w:color w:val="0E2841" w:themeColor="text2"/>
      <w:sz w:val="18"/>
      <w:szCs w:val="18"/>
      <w:lang w:val="en-PH" w:eastAsia="en-US"/>
    </w:rPr>
  </w:style>
  <w:style w:type="paragraph" w:customStyle="1" w:styleId="Caption1">
    <w:name w:val="Caption1"/>
    <w:basedOn w:val="Normal"/>
    <w:next w:val="Normal"/>
    <w:uiPriority w:val="35"/>
    <w:unhideWhenUsed/>
    <w:qFormat/>
    <w:rsid w:val="00DF45E9"/>
    <w:pPr>
      <w:spacing w:after="200" w:line="240" w:lineRule="auto"/>
      <w:ind w:firstLine="0"/>
      <w:jc w:val="left"/>
    </w:pPr>
    <w:rPr>
      <w:rFonts w:ascii="Calibri" w:eastAsia="Calibri" w:hAnsi="Calibri"/>
      <w:i/>
      <w:iCs/>
      <w:color w:val="44546A"/>
      <w:sz w:val="18"/>
      <w:szCs w:val="18"/>
      <w:lang w:val="en-PH" w:eastAsia="en-US"/>
    </w:rPr>
  </w:style>
  <w:style w:type="table" w:customStyle="1" w:styleId="TableGrid2">
    <w:name w:val="Table Grid2"/>
    <w:basedOn w:val="TableNormal"/>
    <w:next w:val="TableGrid"/>
    <w:uiPriority w:val="39"/>
    <w:rsid w:val="00A72611"/>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712D93"/>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7Char">
    <w:name w:val="Heading 7 Char"/>
    <w:basedOn w:val="DefaultParagraphFont"/>
    <w:link w:val="Heading7"/>
    <w:uiPriority w:val="9"/>
    <w:semiHidden/>
    <w:rsid w:val="009E7BB8"/>
    <w:rPr>
      <w:rFonts w:ascii="Arial" w:eastAsia="Times New Roman" w:hAnsi="Arial" w:cs="Times New Roman"/>
      <w:color w:val="595959"/>
      <w:sz w:val="22"/>
      <w:szCs w:val="22"/>
      <w:lang w:val="en" w:eastAsia="en-PH"/>
    </w:rPr>
  </w:style>
  <w:style w:type="character" w:customStyle="1" w:styleId="Heading8Char">
    <w:name w:val="Heading 8 Char"/>
    <w:basedOn w:val="DefaultParagraphFont"/>
    <w:link w:val="Heading8"/>
    <w:uiPriority w:val="9"/>
    <w:semiHidden/>
    <w:rsid w:val="009E7BB8"/>
    <w:rPr>
      <w:rFonts w:ascii="Arial" w:eastAsia="Times New Roman" w:hAnsi="Arial" w:cs="Times New Roman"/>
      <w:i/>
      <w:iCs/>
      <w:color w:val="272727"/>
      <w:sz w:val="22"/>
      <w:szCs w:val="22"/>
      <w:lang w:val="en" w:eastAsia="en-PH"/>
    </w:rPr>
  </w:style>
  <w:style w:type="character" w:customStyle="1" w:styleId="Heading9Char">
    <w:name w:val="Heading 9 Char"/>
    <w:basedOn w:val="DefaultParagraphFont"/>
    <w:link w:val="Heading9"/>
    <w:uiPriority w:val="9"/>
    <w:semiHidden/>
    <w:rsid w:val="009E7BB8"/>
    <w:rPr>
      <w:rFonts w:ascii="Arial" w:eastAsia="Times New Roman" w:hAnsi="Arial" w:cs="Times New Roman"/>
      <w:color w:val="272727"/>
      <w:sz w:val="22"/>
      <w:szCs w:val="22"/>
      <w:lang w:val="en" w:eastAsia="en-PH"/>
    </w:rPr>
  </w:style>
  <w:style w:type="numbering" w:customStyle="1" w:styleId="NoList1">
    <w:name w:val="No List1"/>
    <w:next w:val="NoList"/>
    <w:uiPriority w:val="99"/>
    <w:semiHidden/>
    <w:unhideWhenUsed/>
    <w:rsid w:val="009E7BB8"/>
  </w:style>
  <w:style w:type="character" w:customStyle="1" w:styleId="Heading4Char">
    <w:name w:val="Heading 4 Char"/>
    <w:basedOn w:val="DefaultParagraphFont"/>
    <w:link w:val="Heading4"/>
    <w:uiPriority w:val="9"/>
    <w:rsid w:val="009E7BB8"/>
    <w:rPr>
      <w:rFonts w:ascii="Times New Roman" w:eastAsiaTheme="majorEastAsia" w:hAnsi="Times New Roman" w:cs="Times New Roman"/>
      <w:color w:val="000000" w:themeColor="text1"/>
      <w:sz w:val="20"/>
      <w:szCs w:val="20"/>
    </w:rPr>
  </w:style>
  <w:style w:type="character" w:customStyle="1" w:styleId="Heading6Char">
    <w:name w:val="Heading 6 Char"/>
    <w:basedOn w:val="DefaultParagraphFont"/>
    <w:link w:val="Heading6"/>
    <w:uiPriority w:val="9"/>
    <w:rsid w:val="009E7BB8"/>
    <w:rPr>
      <w:rFonts w:ascii="Times New Roman" w:eastAsiaTheme="majorEastAsia" w:hAnsi="Times New Roman" w:cstheme="majorBidi"/>
      <w:i/>
      <w:iCs/>
      <w:color w:val="595959" w:themeColor="text1" w:themeTint="A6"/>
      <w:sz w:val="20"/>
      <w:szCs w:val="20"/>
    </w:rPr>
  </w:style>
  <w:style w:type="table" w:customStyle="1" w:styleId="TableNormal0">
    <w:name w:val="TableNormal"/>
    <w:rsid w:val="009E7BB8"/>
    <w:pPr>
      <w:spacing w:after="0" w:line="276" w:lineRule="auto"/>
    </w:pPr>
    <w:rPr>
      <w:rFonts w:ascii="Arial" w:eastAsia="Arial" w:hAnsi="Arial" w:cs="Arial"/>
      <w:sz w:val="22"/>
      <w:szCs w:val="22"/>
      <w:lang w:val="en" w:eastAsia="en-PH"/>
    </w:rPr>
    <w:tblPr>
      <w:tblCellMar>
        <w:top w:w="0" w:type="dxa"/>
        <w:left w:w="0" w:type="dxa"/>
        <w:bottom w:w="0" w:type="dxa"/>
        <w:right w:w="0" w:type="dxa"/>
      </w:tblCellMar>
    </w:tblPr>
  </w:style>
  <w:style w:type="paragraph" w:styleId="Title">
    <w:name w:val="Title"/>
    <w:basedOn w:val="Normal"/>
    <w:next w:val="Normal"/>
    <w:link w:val="TitleChar"/>
    <w:uiPriority w:val="10"/>
    <w:qFormat/>
    <w:rsid w:val="009E7BB8"/>
    <w:pPr>
      <w:keepNext/>
      <w:keepLines/>
      <w:spacing w:after="60" w:line="276" w:lineRule="auto"/>
      <w:ind w:firstLine="0"/>
      <w:jc w:val="left"/>
    </w:pPr>
    <w:rPr>
      <w:rFonts w:ascii="Arial" w:eastAsia="Arial" w:hAnsi="Arial" w:cs="Arial"/>
      <w:color w:val="auto"/>
      <w:sz w:val="52"/>
      <w:szCs w:val="52"/>
      <w:lang w:val="en" w:eastAsia="en-PH"/>
    </w:rPr>
  </w:style>
  <w:style w:type="character" w:customStyle="1" w:styleId="TitleChar">
    <w:name w:val="Title Char"/>
    <w:basedOn w:val="DefaultParagraphFont"/>
    <w:link w:val="Title"/>
    <w:uiPriority w:val="10"/>
    <w:rsid w:val="009E7BB8"/>
    <w:rPr>
      <w:rFonts w:ascii="Arial" w:eastAsia="Arial" w:hAnsi="Arial" w:cs="Arial"/>
      <w:sz w:val="52"/>
      <w:szCs w:val="52"/>
      <w:lang w:val="en" w:eastAsia="en-PH"/>
    </w:rPr>
  </w:style>
  <w:style w:type="paragraph" w:styleId="Subtitle">
    <w:name w:val="Subtitle"/>
    <w:basedOn w:val="Normal"/>
    <w:next w:val="Normal"/>
    <w:link w:val="SubtitleChar"/>
    <w:uiPriority w:val="11"/>
    <w:qFormat/>
    <w:rsid w:val="009E7BB8"/>
    <w:pPr>
      <w:keepNext/>
      <w:keepLines/>
      <w:spacing w:after="320" w:line="276" w:lineRule="auto"/>
      <w:ind w:firstLine="0"/>
      <w:jc w:val="left"/>
    </w:pPr>
    <w:rPr>
      <w:rFonts w:ascii="Arial" w:eastAsia="Arial" w:hAnsi="Arial" w:cs="Arial"/>
      <w:color w:val="666666"/>
      <w:sz w:val="30"/>
      <w:szCs w:val="30"/>
      <w:lang w:val="en" w:eastAsia="en-PH"/>
    </w:rPr>
  </w:style>
  <w:style w:type="character" w:customStyle="1" w:styleId="SubtitleChar">
    <w:name w:val="Subtitle Char"/>
    <w:basedOn w:val="DefaultParagraphFont"/>
    <w:link w:val="Subtitle"/>
    <w:uiPriority w:val="11"/>
    <w:rsid w:val="009E7BB8"/>
    <w:rPr>
      <w:rFonts w:ascii="Arial" w:eastAsia="Arial" w:hAnsi="Arial" w:cs="Arial"/>
      <w:color w:val="666666"/>
      <w:sz w:val="30"/>
      <w:szCs w:val="30"/>
      <w:lang w:val="en" w:eastAsia="en-PH"/>
    </w:rPr>
  </w:style>
  <w:style w:type="table" w:customStyle="1" w:styleId="TableGrid1">
    <w:name w:val="Table Grid1"/>
    <w:basedOn w:val="TableNormal"/>
    <w:next w:val="TableGrid"/>
    <w:uiPriority w:val="39"/>
    <w:rsid w:val="009E7BB8"/>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2">
    <w:name w:val="Plain Table 22"/>
    <w:basedOn w:val="TableNormal"/>
    <w:next w:val="PlainTable2"/>
    <w:uiPriority w:val="42"/>
    <w:rsid w:val="009E7BB8"/>
    <w:pPr>
      <w:spacing w:after="0" w:line="240" w:lineRule="auto"/>
    </w:pPr>
    <w:rPr>
      <w:rFonts w:ascii="Arial" w:eastAsia="Arial" w:hAnsi="Arial" w:cs="Arial"/>
      <w:sz w:val="22"/>
      <w:szCs w:val="22"/>
      <w:lang w:val="en"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1">
    <w:name w:val="Plain Table 221"/>
    <w:basedOn w:val="TableNormal"/>
    <w:next w:val="PlainTable2"/>
    <w:uiPriority w:val="42"/>
    <w:rsid w:val="009E7BB8"/>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Heading71">
    <w:name w:val="Heading 71"/>
    <w:basedOn w:val="Normal"/>
    <w:next w:val="Normal"/>
    <w:uiPriority w:val="9"/>
    <w:semiHidden/>
    <w:unhideWhenUsed/>
    <w:qFormat/>
    <w:rsid w:val="009E7BB8"/>
    <w:pPr>
      <w:keepNext/>
      <w:keepLines/>
      <w:spacing w:before="40" w:line="259" w:lineRule="auto"/>
      <w:ind w:firstLine="0"/>
      <w:jc w:val="left"/>
      <w:outlineLvl w:val="6"/>
    </w:pPr>
    <w:rPr>
      <w:rFonts w:ascii="Calibri" w:hAnsi="Calibri"/>
      <w:color w:val="595959"/>
      <w:kern w:val="2"/>
      <w:sz w:val="22"/>
      <w:szCs w:val="22"/>
      <w:lang w:val="en-PH" w:eastAsia="en-US"/>
      <w14:ligatures w14:val="standardContextual"/>
    </w:rPr>
  </w:style>
  <w:style w:type="paragraph" w:customStyle="1" w:styleId="Heading81">
    <w:name w:val="Heading 81"/>
    <w:basedOn w:val="Normal"/>
    <w:next w:val="Normal"/>
    <w:uiPriority w:val="9"/>
    <w:semiHidden/>
    <w:unhideWhenUsed/>
    <w:qFormat/>
    <w:rsid w:val="009E7BB8"/>
    <w:pPr>
      <w:keepNext/>
      <w:keepLines/>
      <w:spacing w:line="259" w:lineRule="auto"/>
      <w:ind w:firstLine="0"/>
      <w:jc w:val="left"/>
      <w:outlineLvl w:val="7"/>
    </w:pPr>
    <w:rPr>
      <w:rFonts w:ascii="Calibri" w:hAnsi="Calibri"/>
      <w:i/>
      <w:iCs/>
      <w:color w:val="272727"/>
      <w:kern w:val="2"/>
      <w:sz w:val="22"/>
      <w:szCs w:val="22"/>
      <w:lang w:val="en-PH" w:eastAsia="en-US"/>
      <w14:ligatures w14:val="standardContextual"/>
    </w:rPr>
  </w:style>
  <w:style w:type="paragraph" w:customStyle="1" w:styleId="Heading91">
    <w:name w:val="Heading 91"/>
    <w:basedOn w:val="Normal"/>
    <w:next w:val="Normal"/>
    <w:uiPriority w:val="9"/>
    <w:semiHidden/>
    <w:unhideWhenUsed/>
    <w:qFormat/>
    <w:rsid w:val="009E7BB8"/>
    <w:pPr>
      <w:keepNext/>
      <w:keepLines/>
      <w:spacing w:line="259" w:lineRule="auto"/>
      <w:ind w:firstLine="0"/>
      <w:jc w:val="left"/>
      <w:outlineLvl w:val="8"/>
    </w:pPr>
    <w:rPr>
      <w:rFonts w:ascii="Calibri" w:hAnsi="Calibri"/>
      <w:color w:val="272727"/>
      <w:kern w:val="2"/>
      <w:sz w:val="22"/>
      <w:szCs w:val="22"/>
      <w:lang w:val="en-PH" w:eastAsia="en-US"/>
      <w14:ligatures w14:val="standardContextual"/>
    </w:rPr>
  </w:style>
  <w:style w:type="numbering" w:customStyle="1" w:styleId="NoList11">
    <w:name w:val="No List11"/>
    <w:next w:val="NoList"/>
    <w:uiPriority w:val="99"/>
    <w:semiHidden/>
    <w:unhideWhenUsed/>
    <w:rsid w:val="009E7BB8"/>
  </w:style>
  <w:style w:type="paragraph" w:customStyle="1" w:styleId="Quote1">
    <w:name w:val="Quote1"/>
    <w:basedOn w:val="Normal"/>
    <w:next w:val="Normal"/>
    <w:uiPriority w:val="29"/>
    <w:qFormat/>
    <w:rsid w:val="009E7BB8"/>
    <w:pPr>
      <w:spacing w:before="160" w:after="160" w:line="259" w:lineRule="auto"/>
      <w:ind w:firstLine="0"/>
      <w:jc w:val="center"/>
    </w:pPr>
    <w:rPr>
      <w:rFonts w:ascii="Calibri" w:eastAsia="Calibri" w:hAnsi="Calibri"/>
      <w:i/>
      <w:iCs/>
      <w:color w:val="404040"/>
      <w:kern w:val="2"/>
      <w:sz w:val="22"/>
      <w:szCs w:val="22"/>
      <w:lang w:val="en-PH" w:eastAsia="en-US"/>
      <w14:ligatures w14:val="standardContextual"/>
    </w:rPr>
  </w:style>
  <w:style w:type="character" w:customStyle="1" w:styleId="QuoteChar">
    <w:name w:val="Quote Char"/>
    <w:basedOn w:val="DefaultParagraphFont"/>
    <w:link w:val="Quote"/>
    <w:uiPriority w:val="29"/>
    <w:rsid w:val="009E7BB8"/>
    <w:rPr>
      <w:i/>
      <w:iCs/>
      <w:color w:val="404040"/>
    </w:rPr>
  </w:style>
  <w:style w:type="character" w:customStyle="1" w:styleId="IntenseEmphasis1">
    <w:name w:val="Intense Emphasis1"/>
    <w:basedOn w:val="DefaultParagraphFont"/>
    <w:uiPriority w:val="21"/>
    <w:qFormat/>
    <w:rsid w:val="009E7BB8"/>
    <w:rPr>
      <w:i/>
      <w:iCs/>
      <w:color w:val="2F5496"/>
    </w:rPr>
  </w:style>
  <w:style w:type="paragraph" w:customStyle="1" w:styleId="IntenseQuote1">
    <w:name w:val="Intense Quote1"/>
    <w:basedOn w:val="Normal"/>
    <w:next w:val="Normal"/>
    <w:uiPriority w:val="30"/>
    <w:qFormat/>
    <w:rsid w:val="009E7BB8"/>
    <w:pPr>
      <w:pBdr>
        <w:top w:val="single" w:sz="4" w:space="10" w:color="2F5496"/>
        <w:bottom w:val="single" w:sz="4" w:space="10" w:color="2F5496"/>
      </w:pBdr>
      <w:spacing w:before="360" w:after="360" w:line="259" w:lineRule="auto"/>
      <w:ind w:left="864" w:right="864" w:firstLine="0"/>
      <w:jc w:val="center"/>
    </w:pPr>
    <w:rPr>
      <w:rFonts w:ascii="Calibri" w:eastAsia="Calibri" w:hAnsi="Calibri"/>
      <w:i/>
      <w:iCs/>
      <w:color w:val="2F5496"/>
      <w:kern w:val="2"/>
      <w:sz w:val="22"/>
      <w:szCs w:val="22"/>
      <w:lang w:val="en-PH" w:eastAsia="en-US"/>
      <w14:ligatures w14:val="standardContextual"/>
    </w:rPr>
  </w:style>
  <w:style w:type="character" w:customStyle="1" w:styleId="IntenseQuoteChar">
    <w:name w:val="Intense Quote Char"/>
    <w:basedOn w:val="DefaultParagraphFont"/>
    <w:link w:val="IntenseQuote"/>
    <w:uiPriority w:val="30"/>
    <w:rsid w:val="009E7BB8"/>
    <w:rPr>
      <w:i/>
      <w:iCs/>
      <w:color w:val="2F5496"/>
    </w:rPr>
  </w:style>
  <w:style w:type="character" w:customStyle="1" w:styleId="IntenseReference1">
    <w:name w:val="Intense Reference1"/>
    <w:basedOn w:val="DefaultParagraphFont"/>
    <w:uiPriority w:val="32"/>
    <w:qFormat/>
    <w:rsid w:val="009E7BB8"/>
    <w:rPr>
      <w:b/>
      <w:bCs/>
      <w:smallCaps/>
      <w:color w:val="2F5496"/>
      <w:spacing w:val="5"/>
    </w:rPr>
  </w:style>
  <w:style w:type="paragraph" w:customStyle="1" w:styleId="msonormal0">
    <w:name w:val="msonormal"/>
    <w:basedOn w:val="Normal"/>
    <w:rsid w:val="009E7BB8"/>
    <w:pPr>
      <w:spacing w:before="100" w:beforeAutospacing="1" w:after="100" w:afterAutospacing="1" w:line="240" w:lineRule="auto"/>
      <w:ind w:firstLine="0"/>
      <w:jc w:val="left"/>
    </w:pPr>
    <w:rPr>
      <w:color w:val="auto"/>
      <w:sz w:val="24"/>
      <w:szCs w:val="24"/>
      <w:lang w:val="en-PH" w:eastAsia="en-PH"/>
    </w:rPr>
  </w:style>
  <w:style w:type="paragraph" w:customStyle="1" w:styleId="font0">
    <w:name w:val="font0"/>
    <w:basedOn w:val="Normal"/>
    <w:rsid w:val="009E7BB8"/>
    <w:pPr>
      <w:spacing w:before="100" w:beforeAutospacing="1" w:after="100" w:afterAutospacing="1" w:line="240" w:lineRule="auto"/>
      <w:ind w:firstLine="0"/>
      <w:jc w:val="left"/>
    </w:pPr>
    <w:rPr>
      <w:rFonts w:ascii="Arial" w:hAnsi="Arial" w:cs="Arial"/>
      <w:color w:val="000000"/>
      <w:lang w:val="en-PH" w:eastAsia="en-PH"/>
    </w:rPr>
  </w:style>
  <w:style w:type="paragraph" w:customStyle="1" w:styleId="font5">
    <w:name w:val="font5"/>
    <w:basedOn w:val="Normal"/>
    <w:rsid w:val="009E7BB8"/>
    <w:pPr>
      <w:spacing w:before="100" w:beforeAutospacing="1" w:after="100" w:afterAutospacing="1" w:line="240" w:lineRule="auto"/>
      <w:ind w:firstLine="0"/>
      <w:jc w:val="left"/>
    </w:pPr>
    <w:rPr>
      <w:rFonts w:ascii="Arial" w:hAnsi="Arial" w:cs="Arial"/>
      <w:color w:val="1155CC"/>
      <w:u w:val="single"/>
      <w:lang w:val="en-PH" w:eastAsia="en-PH"/>
    </w:rPr>
  </w:style>
  <w:style w:type="paragraph" w:customStyle="1" w:styleId="font6">
    <w:name w:val="font6"/>
    <w:basedOn w:val="Normal"/>
    <w:rsid w:val="009E7BB8"/>
    <w:pPr>
      <w:spacing w:before="100" w:beforeAutospacing="1" w:after="100" w:afterAutospacing="1" w:line="240" w:lineRule="auto"/>
      <w:ind w:firstLine="0"/>
      <w:jc w:val="left"/>
    </w:pPr>
    <w:rPr>
      <w:rFonts w:ascii="Arial" w:hAnsi="Arial" w:cs="Arial"/>
      <w:i/>
      <w:iCs/>
      <w:color w:val="1155CC"/>
      <w:u w:val="single"/>
      <w:lang w:val="en-PH" w:eastAsia="en-PH"/>
    </w:rPr>
  </w:style>
  <w:style w:type="paragraph" w:customStyle="1" w:styleId="font7">
    <w:name w:val="font7"/>
    <w:basedOn w:val="Normal"/>
    <w:rsid w:val="009E7BB8"/>
    <w:pPr>
      <w:spacing w:before="100" w:beforeAutospacing="1" w:after="100" w:afterAutospacing="1" w:line="240" w:lineRule="auto"/>
      <w:ind w:firstLine="0"/>
      <w:jc w:val="left"/>
    </w:pPr>
    <w:rPr>
      <w:rFonts w:ascii="Arial" w:hAnsi="Arial" w:cs="Arial"/>
      <w:i/>
      <w:iCs/>
      <w:color w:val="auto"/>
      <w:lang w:val="en-PH" w:eastAsia="en-PH"/>
    </w:rPr>
  </w:style>
  <w:style w:type="paragraph" w:customStyle="1" w:styleId="xl65">
    <w:name w:val="xl65"/>
    <w:basedOn w:val="Normal"/>
    <w:rsid w:val="009E7BB8"/>
    <w:pPr>
      <w:pBdr>
        <w:top w:val="single" w:sz="4" w:space="0" w:color="000000"/>
        <w:left w:val="single" w:sz="4" w:space="0" w:color="000000"/>
        <w:right w:val="single" w:sz="4" w:space="0" w:color="000000"/>
      </w:pBdr>
      <w:spacing w:before="100" w:beforeAutospacing="1" w:after="100" w:afterAutospacing="1" w:line="240" w:lineRule="auto"/>
      <w:ind w:firstLine="0"/>
      <w:jc w:val="left"/>
    </w:pPr>
    <w:rPr>
      <w:color w:val="000000"/>
      <w:sz w:val="24"/>
      <w:szCs w:val="24"/>
      <w:lang w:val="en-PH" w:eastAsia="en-PH"/>
    </w:rPr>
  </w:style>
  <w:style w:type="paragraph" w:customStyle="1" w:styleId="xl66">
    <w:name w:val="xl66"/>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7">
    <w:name w:val="xl67"/>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68">
    <w:name w:val="xl68"/>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9">
    <w:name w:val="xl69"/>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0">
    <w:name w:val="xl70"/>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1">
    <w:name w:val="xl71"/>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2">
    <w:name w:val="xl72"/>
    <w:basedOn w:val="Normal"/>
    <w:rsid w:val="009E7BB8"/>
    <w:pP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3">
    <w:name w:val="xl73"/>
    <w:basedOn w:val="Normal"/>
    <w:rsid w:val="009E7BB8"/>
    <w:pPr>
      <w:pBdr>
        <w:top w:val="single" w:sz="4" w:space="0" w:color="000000"/>
      </w:pBd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4">
    <w:name w:val="xl74"/>
    <w:basedOn w:val="Normal"/>
    <w:rsid w:val="009E7BB8"/>
    <w:pPr>
      <w:pBdr>
        <w:top w:val="single" w:sz="4" w:space="0" w:color="000000"/>
      </w:pBd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5">
    <w:name w:val="xl75"/>
    <w:basedOn w:val="Normal"/>
    <w:rsid w:val="009E7BB8"/>
    <w:pPr>
      <w:shd w:val="clear" w:color="FFFFFF" w:fill="FFFFFF"/>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6">
    <w:name w:val="xl76"/>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7">
    <w:name w:val="xl77"/>
    <w:basedOn w:val="Normal"/>
    <w:rsid w:val="009E7BB8"/>
    <w:pPr>
      <w:pBdr>
        <w:top w:val="single" w:sz="4" w:space="0" w:color="000000"/>
      </w:pBd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8">
    <w:name w:val="xl78"/>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79">
    <w:name w:val="xl79"/>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80">
    <w:name w:val="xl80"/>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81">
    <w:name w:val="xl81"/>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82">
    <w:name w:val="xl82"/>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83">
    <w:name w:val="xl83"/>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84">
    <w:name w:val="xl84"/>
    <w:basedOn w:val="Normal"/>
    <w:rsid w:val="009E7BB8"/>
    <w:pPr>
      <w:shd w:val="clear" w:color="D9D9D9" w:fill="D9D9D9"/>
      <w:spacing w:before="100" w:beforeAutospacing="1" w:after="100" w:afterAutospacing="1" w:line="240" w:lineRule="auto"/>
      <w:ind w:firstLine="0"/>
      <w:jc w:val="left"/>
    </w:pPr>
    <w:rPr>
      <w:b/>
      <w:bCs/>
      <w:color w:val="000000"/>
      <w:sz w:val="24"/>
      <w:szCs w:val="24"/>
      <w:lang w:val="en-PH" w:eastAsia="en-PH"/>
    </w:rPr>
  </w:style>
  <w:style w:type="paragraph" w:customStyle="1" w:styleId="xl85">
    <w:name w:val="xl85"/>
    <w:basedOn w:val="Normal"/>
    <w:rsid w:val="009E7BB8"/>
    <w:pPr>
      <w:shd w:val="clear" w:color="F3F3F3" w:fill="F3F3F3"/>
      <w:spacing w:before="100" w:beforeAutospacing="1" w:after="100" w:afterAutospacing="1" w:line="240" w:lineRule="auto"/>
      <w:ind w:firstLine="0"/>
      <w:jc w:val="left"/>
    </w:pPr>
    <w:rPr>
      <w:color w:val="000000"/>
      <w:sz w:val="24"/>
      <w:szCs w:val="24"/>
      <w:lang w:val="en-PH" w:eastAsia="en-PH"/>
    </w:rPr>
  </w:style>
  <w:style w:type="paragraph" w:customStyle="1" w:styleId="xl86">
    <w:name w:val="xl86"/>
    <w:basedOn w:val="Normal"/>
    <w:rsid w:val="009E7BB8"/>
    <w:pPr>
      <w:shd w:val="clear" w:color="F3F3F3" w:fill="F3F3F3"/>
      <w:spacing w:before="100" w:beforeAutospacing="1" w:after="100" w:afterAutospacing="1" w:line="240" w:lineRule="auto"/>
      <w:ind w:firstLine="0"/>
      <w:jc w:val="left"/>
    </w:pPr>
    <w:rPr>
      <w:color w:val="0000FF"/>
      <w:sz w:val="24"/>
      <w:szCs w:val="24"/>
      <w:u w:val="single"/>
      <w:lang w:val="en-PH" w:eastAsia="en-PH"/>
    </w:rPr>
  </w:style>
  <w:style w:type="paragraph" w:customStyle="1" w:styleId="xl87">
    <w:name w:val="xl87"/>
    <w:basedOn w:val="Normal"/>
    <w:rsid w:val="009E7BB8"/>
    <w:pPr>
      <w:pBdr>
        <w:top w:val="single" w:sz="4" w:space="0" w:color="000000"/>
      </w:pBdr>
      <w:spacing w:before="100" w:beforeAutospacing="1" w:after="100" w:afterAutospacing="1" w:line="240" w:lineRule="auto"/>
      <w:ind w:firstLine="0"/>
      <w:jc w:val="left"/>
      <w:textAlignment w:val="top"/>
    </w:pPr>
    <w:rPr>
      <w:i/>
      <w:iCs/>
      <w:color w:val="0000FF"/>
      <w:sz w:val="24"/>
      <w:szCs w:val="24"/>
      <w:u w:val="single"/>
      <w:lang w:val="en-PH" w:eastAsia="en-PH"/>
    </w:rPr>
  </w:style>
  <w:style w:type="paragraph" w:customStyle="1" w:styleId="xl88">
    <w:name w:val="xl88"/>
    <w:basedOn w:val="Normal"/>
    <w:rsid w:val="009E7BB8"/>
    <w:pPr>
      <w:pBdr>
        <w:top w:val="single" w:sz="4" w:space="0" w:color="000000"/>
      </w:pBdr>
      <w:spacing w:before="100" w:beforeAutospacing="1" w:after="100" w:afterAutospacing="1" w:line="240" w:lineRule="auto"/>
      <w:ind w:firstLine="0"/>
      <w:jc w:val="left"/>
    </w:pPr>
    <w:rPr>
      <w:color w:val="auto"/>
      <w:sz w:val="24"/>
      <w:szCs w:val="24"/>
      <w:lang w:val="en-PH" w:eastAsia="en-PH"/>
    </w:rPr>
  </w:style>
  <w:style w:type="paragraph" w:customStyle="1" w:styleId="xl89">
    <w:name w:val="xl89"/>
    <w:basedOn w:val="Normal"/>
    <w:rsid w:val="009E7BB8"/>
    <w:pPr>
      <w:shd w:val="clear" w:color="F3F3F3" w:fill="F3F3F3"/>
      <w:spacing w:before="100" w:beforeAutospacing="1" w:after="100" w:afterAutospacing="1" w:line="240" w:lineRule="auto"/>
      <w:ind w:firstLine="0"/>
      <w:jc w:val="left"/>
      <w:textAlignment w:val="top"/>
    </w:pPr>
    <w:rPr>
      <w:color w:val="000000"/>
      <w:sz w:val="24"/>
      <w:szCs w:val="24"/>
      <w:lang w:val="en-PH" w:eastAsia="en-PH"/>
    </w:rPr>
  </w:style>
  <w:style w:type="character" w:customStyle="1" w:styleId="Heading7Char1">
    <w:name w:val="Heading 7 Char1"/>
    <w:basedOn w:val="DefaultParagraphFont"/>
    <w:uiPriority w:val="9"/>
    <w:semiHidden/>
    <w:rsid w:val="009E7BB8"/>
    <w:rPr>
      <w:rFonts w:ascii="Calibri" w:eastAsia="Times New Roman" w:hAnsi="Calibri" w:cs="Times New Roman"/>
      <w:i/>
      <w:iCs/>
      <w:color w:val="243F60"/>
    </w:rPr>
  </w:style>
  <w:style w:type="character" w:customStyle="1" w:styleId="Heading8Char1">
    <w:name w:val="Heading 8 Char1"/>
    <w:basedOn w:val="DefaultParagraphFont"/>
    <w:uiPriority w:val="9"/>
    <w:semiHidden/>
    <w:rsid w:val="009E7BB8"/>
    <w:rPr>
      <w:rFonts w:ascii="Calibri" w:eastAsia="Times New Roman" w:hAnsi="Calibri" w:cs="Times New Roman"/>
      <w:color w:val="272727"/>
      <w:sz w:val="21"/>
      <w:szCs w:val="21"/>
    </w:rPr>
  </w:style>
  <w:style w:type="character" w:customStyle="1" w:styleId="Heading9Char1">
    <w:name w:val="Heading 9 Char1"/>
    <w:basedOn w:val="DefaultParagraphFont"/>
    <w:uiPriority w:val="9"/>
    <w:semiHidden/>
    <w:rsid w:val="009E7BB8"/>
    <w:rPr>
      <w:rFonts w:ascii="Calibri" w:eastAsia="Times New Roman" w:hAnsi="Calibri" w:cs="Times New Roman"/>
      <w:i/>
      <w:iCs/>
      <w:color w:val="272727"/>
      <w:sz w:val="21"/>
      <w:szCs w:val="21"/>
    </w:rPr>
  </w:style>
  <w:style w:type="paragraph" w:styleId="Quote">
    <w:name w:val="Quote"/>
    <w:basedOn w:val="Normal"/>
    <w:next w:val="Normal"/>
    <w:link w:val="QuoteChar"/>
    <w:uiPriority w:val="29"/>
    <w:qFormat/>
    <w:rsid w:val="009E7BB8"/>
    <w:pPr>
      <w:spacing w:before="200" w:after="160" w:line="276" w:lineRule="auto"/>
      <w:ind w:left="864" w:right="864" w:firstLine="0"/>
      <w:jc w:val="center"/>
    </w:pPr>
    <w:rPr>
      <w:rFonts w:asciiTheme="minorHAnsi" w:eastAsiaTheme="minorEastAsia" w:hAnsiTheme="minorHAnsi" w:cstheme="minorBidi"/>
      <w:i/>
      <w:iCs/>
      <w:color w:val="404040"/>
      <w:sz w:val="24"/>
      <w:szCs w:val="24"/>
    </w:rPr>
  </w:style>
  <w:style w:type="character" w:customStyle="1" w:styleId="QuoteChar1">
    <w:name w:val="Quote Char1"/>
    <w:basedOn w:val="DefaultParagraphFont"/>
    <w:uiPriority w:val="29"/>
    <w:rsid w:val="009E7BB8"/>
    <w:rPr>
      <w:rFonts w:ascii="Times New Roman" w:eastAsia="Times New Roman" w:hAnsi="Times New Roman" w:cs="Times New Roman"/>
      <w:i/>
      <w:iCs/>
      <w:color w:val="404040" w:themeColor="text1" w:themeTint="BF"/>
      <w:sz w:val="20"/>
      <w:szCs w:val="20"/>
    </w:rPr>
  </w:style>
  <w:style w:type="paragraph" w:customStyle="1" w:styleId="IntenseQuote2">
    <w:name w:val="Intense Quote2"/>
    <w:basedOn w:val="Normal"/>
    <w:next w:val="Normal"/>
    <w:uiPriority w:val="30"/>
    <w:qFormat/>
    <w:rsid w:val="009E7BB8"/>
    <w:pPr>
      <w:pBdr>
        <w:top w:val="single" w:sz="4" w:space="10" w:color="4F81BD"/>
        <w:bottom w:val="single" w:sz="4" w:space="10" w:color="4F81BD"/>
      </w:pBdr>
      <w:spacing w:before="360" w:after="360" w:line="276" w:lineRule="auto"/>
      <w:ind w:left="864" w:right="864" w:firstLine="0"/>
      <w:jc w:val="center"/>
    </w:pPr>
    <w:rPr>
      <w:rFonts w:ascii="Arial" w:eastAsia="Arial" w:hAnsi="Arial" w:cs="Arial"/>
      <w:i/>
      <w:iCs/>
      <w:color w:val="2F5496"/>
      <w:sz w:val="22"/>
      <w:szCs w:val="22"/>
      <w:lang w:val="en" w:eastAsia="en-PH"/>
    </w:rPr>
  </w:style>
  <w:style w:type="character" w:customStyle="1" w:styleId="IntenseQuoteChar1">
    <w:name w:val="Intense Quote Char1"/>
    <w:basedOn w:val="DefaultParagraphFont"/>
    <w:uiPriority w:val="30"/>
    <w:rsid w:val="009E7BB8"/>
    <w:rPr>
      <w:i/>
      <w:iCs/>
      <w:color w:val="365F91"/>
    </w:rPr>
  </w:style>
  <w:style w:type="character" w:customStyle="1" w:styleId="IntenseReference2">
    <w:name w:val="Intense Reference2"/>
    <w:basedOn w:val="DefaultParagraphFont"/>
    <w:uiPriority w:val="32"/>
    <w:qFormat/>
    <w:rsid w:val="009E7BB8"/>
    <w:rPr>
      <w:b/>
      <w:bCs/>
      <w:smallCaps/>
      <w:color w:val="4F81BD"/>
      <w:spacing w:val="5"/>
    </w:rPr>
  </w:style>
  <w:style w:type="paragraph" w:customStyle="1" w:styleId="Caption2">
    <w:name w:val="Caption2"/>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3">
    <w:name w:val="Caption3"/>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4">
    <w:name w:val="Caption4"/>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character" w:styleId="Emphasis">
    <w:name w:val="Emphasis"/>
    <w:basedOn w:val="DefaultParagraphFont"/>
    <w:uiPriority w:val="20"/>
    <w:qFormat/>
    <w:rsid w:val="009E7BB8"/>
    <w:rPr>
      <w:i/>
      <w:iCs/>
    </w:rPr>
  </w:style>
  <w:style w:type="paragraph" w:styleId="IntenseQuote">
    <w:name w:val="Intense Quote"/>
    <w:basedOn w:val="Normal"/>
    <w:next w:val="Normal"/>
    <w:link w:val="IntenseQuoteChar"/>
    <w:uiPriority w:val="30"/>
    <w:qFormat/>
    <w:rsid w:val="009E7BB8"/>
    <w:pPr>
      <w:pBdr>
        <w:top w:val="single" w:sz="4" w:space="10" w:color="156082" w:themeColor="accent1"/>
        <w:bottom w:val="single" w:sz="4" w:space="10" w:color="156082" w:themeColor="accent1"/>
      </w:pBdr>
      <w:spacing w:before="360" w:after="360"/>
      <w:ind w:left="864" w:right="864"/>
      <w:jc w:val="center"/>
    </w:pPr>
    <w:rPr>
      <w:rFonts w:asciiTheme="minorHAnsi" w:eastAsiaTheme="minorEastAsia" w:hAnsiTheme="minorHAnsi" w:cstheme="minorBidi"/>
      <w:i/>
      <w:iCs/>
      <w:color w:val="2F5496"/>
      <w:sz w:val="24"/>
      <w:szCs w:val="24"/>
    </w:rPr>
  </w:style>
  <w:style w:type="character" w:customStyle="1" w:styleId="IntenseQuoteChar2">
    <w:name w:val="Intense Quote Char2"/>
    <w:basedOn w:val="DefaultParagraphFont"/>
    <w:uiPriority w:val="30"/>
    <w:rsid w:val="009E7BB8"/>
    <w:rPr>
      <w:rFonts w:ascii="Times New Roman" w:eastAsia="Times New Roman" w:hAnsi="Times New Roman" w:cs="Times New Roman"/>
      <w:i/>
      <w:iCs/>
      <w:color w:val="156082" w:themeColor="accent1"/>
      <w:sz w:val="20"/>
      <w:szCs w:val="20"/>
    </w:rPr>
  </w:style>
  <w:style w:type="character" w:styleId="IntenseReference">
    <w:name w:val="Intense Reference"/>
    <w:basedOn w:val="DefaultParagraphFont"/>
    <w:uiPriority w:val="32"/>
    <w:qFormat/>
    <w:rsid w:val="009E7BB8"/>
    <w:rPr>
      <w:b/>
      <w:bCs/>
      <w:smallCaps/>
      <w:color w:val="156082" w:themeColor="accent1"/>
      <w:spacing w:val="5"/>
    </w:rPr>
  </w:style>
  <w:style w:type="paragraph" w:styleId="EndnoteText">
    <w:name w:val="endnote text"/>
    <w:basedOn w:val="Normal"/>
    <w:link w:val="EndnoteTextChar"/>
    <w:uiPriority w:val="99"/>
    <w:unhideWhenUsed/>
    <w:rsid w:val="00473507"/>
    <w:pPr>
      <w:spacing w:line="240" w:lineRule="auto"/>
      <w:ind w:firstLine="0"/>
      <w:jc w:val="left"/>
    </w:pPr>
    <w:rPr>
      <w:rFonts w:asciiTheme="minorHAnsi" w:eastAsiaTheme="minorHAnsi" w:hAnsiTheme="minorHAnsi" w:cstheme="minorBidi"/>
      <w:color w:val="auto"/>
      <w:kern w:val="2"/>
      <w:lang w:val="en-PH" w:eastAsia="en-US"/>
      <w14:ligatures w14:val="standardContextual"/>
    </w:rPr>
  </w:style>
  <w:style w:type="character" w:customStyle="1" w:styleId="EndnoteTextChar">
    <w:name w:val="Endnote Text Char"/>
    <w:basedOn w:val="DefaultParagraphFont"/>
    <w:link w:val="EndnoteText"/>
    <w:uiPriority w:val="99"/>
    <w:rsid w:val="00473507"/>
    <w:rPr>
      <w:rFonts w:eastAsiaTheme="minorHAnsi"/>
      <w:kern w:val="2"/>
      <w:sz w:val="20"/>
      <w:szCs w:val="20"/>
      <w:lang w:val="en-PH" w:eastAsia="en-US"/>
      <w14:ligatures w14:val="standardContextual"/>
    </w:rPr>
  </w:style>
  <w:style w:type="character" w:styleId="EndnoteReference">
    <w:name w:val="endnote reference"/>
    <w:basedOn w:val="DefaultParagraphFont"/>
    <w:uiPriority w:val="99"/>
    <w:semiHidden/>
    <w:unhideWhenUsed/>
    <w:rsid w:val="00473507"/>
    <w:rPr>
      <w:vertAlign w:val="superscript"/>
    </w:rPr>
  </w:style>
  <w:style w:type="character" w:customStyle="1" w:styleId="apple-converted-space">
    <w:name w:val="apple-converted-space"/>
    <w:basedOn w:val="DefaultParagraphFont"/>
    <w:rsid w:val="00473507"/>
  </w:style>
  <w:style w:type="paragraph" w:styleId="CommentSubject">
    <w:name w:val="annotation subject"/>
    <w:basedOn w:val="CommentText"/>
    <w:next w:val="CommentText"/>
    <w:link w:val="CommentSubjectChar"/>
    <w:uiPriority w:val="99"/>
    <w:semiHidden/>
    <w:unhideWhenUsed/>
    <w:rsid w:val="00812EFF"/>
    <w:rPr>
      <w:b/>
      <w:bCs/>
    </w:rPr>
  </w:style>
  <w:style w:type="character" w:customStyle="1" w:styleId="CommentSubjectChar">
    <w:name w:val="Comment Subject Char"/>
    <w:basedOn w:val="CommentTextChar"/>
    <w:link w:val="CommentSubject"/>
    <w:uiPriority w:val="99"/>
    <w:semiHidden/>
    <w:rsid w:val="00812EFF"/>
    <w:rPr>
      <w:rFonts w:ascii="Times New Roman" w:eastAsia="Times New Roman" w:hAnsi="Times New Roman" w:cs="Times New Roman"/>
      <w:b/>
      <w:bCs/>
      <w:color w:val="000000" w:themeColor="text1"/>
      <w:sz w:val="20"/>
      <w:szCs w:val="20"/>
    </w:rPr>
  </w:style>
  <w:style w:type="table" w:customStyle="1" w:styleId="TableGrid3">
    <w:name w:val="Table Grid3"/>
    <w:basedOn w:val="TableNormal"/>
    <w:next w:val="TableGrid"/>
    <w:uiPriority w:val="39"/>
    <w:rsid w:val="00F467CC"/>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3">
    <w:name w:val="Plain Table 23"/>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4">
    <w:name w:val="Plain Table 24"/>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5">
    <w:name w:val="Plain Table 25"/>
    <w:basedOn w:val="TableNormal"/>
    <w:next w:val="PlainTable2"/>
    <w:uiPriority w:val="42"/>
    <w:rsid w:val="00C73CE0"/>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6">
    <w:name w:val="Plain Table 26"/>
    <w:basedOn w:val="TableNormal"/>
    <w:next w:val="PlainTable2"/>
    <w:uiPriority w:val="42"/>
    <w:rsid w:val="00A21BF6"/>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7">
    <w:name w:val="Plain Table 27"/>
    <w:basedOn w:val="TableNormal"/>
    <w:next w:val="PlainTable2"/>
    <w:uiPriority w:val="42"/>
    <w:rsid w:val="00585BDD"/>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numbering" w:customStyle="1" w:styleId="NoList2">
    <w:name w:val="No List2"/>
    <w:next w:val="NoList"/>
    <w:uiPriority w:val="99"/>
    <w:semiHidden/>
    <w:unhideWhenUsed/>
    <w:rsid w:val="00585372"/>
  </w:style>
  <w:style w:type="table" w:customStyle="1" w:styleId="TableNormal1">
    <w:name w:val="TableNormal1"/>
    <w:rsid w:val="00585372"/>
    <w:pPr>
      <w:spacing w:line="259" w:lineRule="auto"/>
    </w:pPr>
    <w:rPr>
      <w:rFonts w:ascii="Calibri" w:eastAsia="Calibri" w:hAnsi="Calibri" w:cs="Calibri"/>
      <w:sz w:val="22"/>
      <w:szCs w:val="22"/>
      <w:lang w:val="en-PH" w:eastAsia="en-PH"/>
    </w:rPr>
    <w:tblPr>
      <w:tblCellMar>
        <w:top w:w="100" w:type="dxa"/>
        <w:left w:w="100" w:type="dxa"/>
        <w:bottom w:w="100" w:type="dxa"/>
        <w:right w:w="100" w:type="dxa"/>
      </w:tblCellMar>
    </w:tblPr>
  </w:style>
  <w:style w:type="table" w:customStyle="1" w:styleId="ListTable5Dark1">
    <w:name w:val="List Table 5 Dark1"/>
    <w:basedOn w:val="TableNormal"/>
    <w:next w:val="ListTable5Dark"/>
    <w:uiPriority w:val="50"/>
    <w:rsid w:val="00585372"/>
    <w:pPr>
      <w:spacing w:after="0" w:line="240" w:lineRule="auto"/>
    </w:pPr>
    <w:rPr>
      <w:rFonts w:ascii="Calibri" w:eastAsia="Calibri" w:hAnsi="Calibri" w:cs="Calibri"/>
      <w:color w:val="FFFFFF"/>
      <w:sz w:val="22"/>
      <w:szCs w:val="22"/>
      <w:lang w:val="en-PH" w:eastAsia="en-PH"/>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1">
    <w:name w:val="List Table 41"/>
    <w:basedOn w:val="TableNormal"/>
    <w:next w:val="ListTable4"/>
    <w:uiPriority w:val="49"/>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8">
    <w:name w:val="Plain Table 28"/>
    <w:basedOn w:val="TableNormal"/>
    <w:next w:val="PlainTable2"/>
    <w:uiPriority w:val="42"/>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BodyText1">
    <w:name w:val="Body Text1"/>
    <w:basedOn w:val="Normal"/>
    <w:next w:val="BodyText"/>
    <w:link w:val="BodyTextChar"/>
    <w:uiPriority w:val="99"/>
    <w:unhideWhenUsed/>
    <w:rsid w:val="00585372"/>
    <w:pPr>
      <w:spacing w:after="120" w:line="276" w:lineRule="auto"/>
      <w:ind w:firstLine="0"/>
      <w:jc w:val="left"/>
    </w:pPr>
    <w:rPr>
      <w:rFonts w:asciiTheme="minorHAnsi" w:hAnsiTheme="minorHAnsi" w:cstheme="minorBidi"/>
      <w:color w:val="auto"/>
      <w:sz w:val="24"/>
      <w:szCs w:val="24"/>
    </w:rPr>
  </w:style>
  <w:style w:type="character" w:customStyle="1" w:styleId="BodyTextChar">
    <w:name w:val="Body Text Char"/>
    <w:basedOn w:val="DefaultParagraphFont"/>
    <w:link w:val="BodyText1"/>
    <w:uiPriority w:val="99"/>
    <w:rsid w:val="00585372"/>
    <w:rPr>
      <w:rFonts w:eastAsia="Times New Roman"/>
      <w:kern w:val="0"/>
      <w:lang w:val="en-US"/>
    </w:rPr>
  </w:style>
  <w:style w:type="paragraph" w:customStyle="1" w:styleId="BodyText21">
    <w:name w:val="Body Text 21"/>
    <w:basedOn w:val="Normal"/>
    <w:next w:val="BodyText2"/>
    <w:link w:val="BodyText2Char"/>
    <w:uiPriority w:val="99"/>
    <w:unhideWhenUsed/>
    <w:rsid w:val="00585372"/>
    <w:pPr>
      <w:spacing w:after="120" w:line="480" w:lineRule="auto"/>
      <w:ind w:firstLine="0"/>
      <w:jc w:val="left"/>
    </w:pPr>
    <w:rPr>
      <w:rFonts w:asciiTheme="minorHAnsi" w:hAnsiTheme="minorHAnsi" w:cstheme="minorBidi"/>
      <w:color w:val="auto"/>
      <w:sz w:val="24"/>
      <w:szCs w:val="24"/>
    </w:rPr>
  </w:style>
  <w:style w:type="character" w:customStyle="1" w:styleId="BodyText2Char">
    <w:name w:val="Body Text 2 Char"/>
    <w:basedOn w:val="DefaultParagraphFont"/>
    <w:link w:val="BodyText21"/>
    <w:uiPriority w:val="99"/>
    <w:rsid w:val="00585372"/>
    <w:rPr>
      <w:rFonts w:eastAsia="Times New Roman"/>
      <w:kern w:val="0"/>
      <w:lang w:val="en-US"/>
    </w:rPr>
  </w:style>
  <w:style w:type="paragraph" w:customStyle="1" w:styleId="BodyText31">
    <w:name w:val="Body Text 31"/>
    <w:basedOn w:val="Normal"/>
    <w:next w:val="BodyText3"/>
    <w:link w:val="BodyText3Char"/>
    <w:uiPriority w:val="99"/>
    <w:unhideWhenUsed/>
    <w:rsid w:val="00585372"/>
    <w:pPr>
      <w:spacing w:after="120" w:line="276" w:lineRule="auto"/>
      <w:ind w:firstLine="0"/>
      <w:jc w:val="left"/>
    </w:pPr>
    <w:rPr>
      <w:rFonts w:asciiTheme="minorHAnsi" w:hAnsiTheme="minorHAnsi" w:cstheme="minorBidi"/>
      <w:color w:val="auto"/>
      <w:sz w:val="16"/>
      <w:szCs w:val="16"/>
    </w:rPr>
  </w:style>
  <w:style w:type="character" w:customStyle="1" w:styleId="BodyText3Char">
    <w:name w:val="Body Text 3 Char"/>
    <w:basedOn w:val="DefaultParagraphFont"/>
    <w:link w:val="BodyText31"/>
    <w:uiPriority w:val="99"/>
    <w:rsid w:val="00585372"/>
    <w:rPr>
      <w:rFonts w:eastAsia="Times New Roman"/>
      <w:kern w:val="0"/>
      <w:sz w:val="16"/>
      <w:szCs w:val="16"/>
      <w:lang w:val="en-US"/>
    </w:rPr>
  </w:style>
  <w:style w:type="paragraph" w:customStyle="1" w:styleId="List1">
    <w:name w:val="List1"/>
    <w:basedOn w:val="Normal"/>
    <w:next w:val="List"/>
    <w:uiPriority w:val="99"/>
    <w:unhideWhenUsed/>
    <w:rsid w:val="00585372"/>
    <w:pPr>
      <w:spacing w:after="200" w:line="276" w:lineRule="auto"/>
      <w:ind w:left="360" w:hanging="360"/>
      <w:contextualSpacing/>
      <w:jc w:val="left"/>
    </w:pPr>
    <w:rPr>
      <w:rFonts w:ascii="Calibri" w:hAnsi="Calibri" w:cs="Calibri"/>
      <w:color w:val="auto"/>
      <w:sz w:val="22"/>
      <w:szCs w:val="22"/>
      <w:lang w:eastAsia="en-PH"/>
    </w:rPr>
  </w:style>
  <w:style w:type="paragraph" w:customStyle="1" w:styleId="List21">
    <w:name w:val="List 21"/>
    <w:basedOn w:val="Normal"/>
    <w:next w:val="List2"/>
    <w:uiPriority w:val="99"/>
    <w:unhideWhenUsed/>
    <w:rsid w:val="00585372"/>
    <w:pPr>
      <w:spacing w:after="200" w:line="276" w:lineRule="auto"/>
      <w:ind w:left="720" w:hanging="360"/>
      <w:contextualSpacing/>
      <w:jc w:val="left"/>
    </w:pPr>
    <w:rPr>
      <w:rFonts w:ascii="Calibri" w:hAnsi="Calibri" w:cs="Calibri"/>
      <w:color w:val="auto"/>
      <w:sz w:val="22"/>
      <w:szCs w:val="22"/>
      <w:lang w:eastAsia="en-PH"/>
    </w:rPr>
  </w:style>
  <w:style w:type="paragraph" w:customStyle="1" w:styleId="List31">
    <w:name w:val="List 31"/>
    <w:basedOn w:val="Normal"/>
    <w:next w:val="List3"/>
    <w:uiPriority w:val="99"/>
    <w:unhideWhenUsed/>
    <w:rsid w:val="00585372"/>
    <w:pPr>
      <w:spacing w:after="200" w:line="276" w:lineRule="auto"/>
      <w:ind w:left="1080" w:hanging="360"/>
      <w:contextualSpacing/>
      <w:jc w:val="left"/>
    </w:pPr>
    <w:rPr>
      <w:rFonts w:ascii="Calibri" w:hAnsi="Calibri" w:cs="Calibri"/>
      <w:color w:val="auto"/>
      <w:sz w:val="22"/>
      <w:szCs w:val="22"/>
      <w:lang w:eastAsia="en-PH"/>
    </w:rPr>
  </w:style>
  <w:style w:type="paragraph" w:customStyle="1" w:styleId="ListBullet21">
    <w:name w:val="List Bullet 21"/>
    <w:basedOn w:val="Normal"/>
    <w:next w:val="ListBullet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Bullet31">
    <w:name w:val="List Bullet 31"/>
    <w:basedOn w:val="Normal"/>
    <w:next w:val="ListBullet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1">
    <w:name w:val="List Number1"/>
    <w:basedOn w:val="Normal"/>
    <w:next w:val="ListNumber"/>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21">
    <w:name w:val="List Number 21"/>
    <w:basedOn w:val="Normal"/>
    <w:next w:val="ListNumber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Number31">
    <w:name w:val="List Number 31"/>
    <w:basedOn w:val="Normal"/>
    <w:next w:val="ListNumber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Continue1">
    <w:name w:val="List Continue1"/>
    <w:basedOn w:val="Normal"/>
    <w:next w:val="ListContinue"/>
    <w:uiPriority w:val="99"/>
    <w:unhideWhenUsed/>
    <w:rsid w:val="00585372"/>
    <w:pPr>
      <w:spacing w:after="120" w:line="276" w:lineRule="auto"/>
      <w:ind w:left="360" w:firstLine="0"/>
      <w:contextualSpacing/>
      <w:jc w:val="left"/>
    </w:pPr>
    <w:rPr>
      <w:rFonts w:ascii="Calibri" w:hAnsi="Calibri" w:cs="Calibri"/>
      <w:color w:val="auto"/>
      <w:sz w:val="22"/>
      <w:szCs w:val="22"/>
      <w:lang w:eastAsia="en-PH"/>
    </w:rPr>
  </w:style>
  <w:style w:type="paragraph" w:customStyle="1" w:styleId="ListContinue21">
    <w:name w:val="List Continue 21"/>
    <w:basedOn w:val="Normal"/>
    <w:next w:val="ListContinue2"/>
    <w:uiPriority w:val="99"/>
    <w:unhideWhenUsed/>
    <w:rsid w:val="00585372"/>
    <w:pPr>
      <w:spacing w:after="120" w:line="276" w:lineRule="auto"/>
      <w:ind w:left="720" w:firstLine="0"/>
      <w:contextualSpacing/>
      <w:jc w:val="left"/>
    </w:pPr>
    <w:rPr>
      <w:rFonts w:ascii="Calibri" w:hAnsi="Calibri" w:cs="Calibri"/>
      <w:color w:val="auto"/>
      <w:sz w:val="22"/>
      <w:szCs w:val="22"/>
      <w:lang w:eastAsia="en-PH"/>
    </w:rPr>
  </w:style>
  <w:style w:type="paragraph" w:customStyle="1" w:styleId="ListContinue31">
    <w:name w:val="List Continue 31"/>
    <w:basedOn w:val="Normal"/>
    <w:next w:val="ListContinue3"/>
    <w:uiPriority w:val="99"/>
    <w:unhideWhenUsed/>
    <w:rsid w:val="00585372"/>
    <w:pPr>
      <w:spacing w:after="120" w:line="276" w:lineRule="auto"/>
      <w:ind w:left="1080" w:firstLine="0"/>
      <w:contextualSpacing/>
      <w:jc w:val="left"/>
    </w:pPr>
    <w:rPr>
      <w:rFonts w:ascii="Calibri" w:hAnsi="Calibri" w:cs="Calibri"/>
      <w:color w:val="auto"/>
      <w:sz w:val="22"/>
      <w:szCs w:val="22"/>
      <w:lang w:eastAsia="en-PH"/>
    </w:rPr>
  </w:style>
  <w:style w:type="paragraph" w:customStyle="1" w:styleId="MacroText1">
    <w:name w:val="Macro Text1"/>
    <w:next w:val="MacroText"/>
    <w:link w:val="MacroTextChar"/>
    <w:uiPriority w:val="99"/>
    <w:unhideWhenUsed/>
    <w:rsid w:val="00585372"/>
    <w:pPr>
      <w:tabs>
        <w:tab w:val="left" w:pos="576"/>
        <w:tab w:val="left" w:pos="1152"/>
        <w:tab w:val="left" w:pos="1728"/>
        <w:tab w:val="left" w:pos="2304"/>
        <w:tab w:val="left" w:pos="2880"/>
        <w:tab w:val="left" w:pos="3456"/>
        <w:tab w:val="left" w:pos="4032"/>
      </w:tabs>
      <w:spacing w:after="200" w:line="276" w:lineRule="auto"/>
    </w:pPr>
    <w:rPr>
      <w:rFonts w:ascii="Courier" w:eastAsia="Times New Roman" w:hAnsi="Courier"/>
      <w:sz w:val="20"/>
      <w:szCs w:val="20"/>
    </w:rPr>
  </w:style>
  <w:style w:type="character" w:customStyle="1" w:styleId="MacroTextChar">
    <w:name w:val="Macro Text Char"/>
    <w:basedOn w:val="DefaultParagraphFont"/>
    <w:link w:val="MacroText1"/>
    <w:uiPriority w:val="99"/>
    <w:rsid w:val="00585372"/>
    <w:rPr>
      <w:rFonts w:ascii="Courier" w:eastAsia="Times New Roman" w:hAnsi="Courier"/>
      <w:kern w:val="0"/>
      <w:sz w:val="20"/>
      <w:szCs w:val="20"/>
      <w:lang w:val="en-US"/>
    </w:rPr>
  </w:style>
  <w:style w:type="character" w:customStyle="1" w:styleId="SubtleEmphasis1">
    <w:name w:val="Subtle Emphasis1"/>
    <w:basedOn w:val="DefaultParagraphFont"/>
    <w:uiPriority w:val="19"/>
    <w:qFormat/>
    <w:rsid w:val="00585372"/>
    <w:rPr>
      <w:i/>
      <w:iCs/>
      <w:color w:val="808080"/>
    </w:rPr>
  </w:style>
  <w:style w:type="character" w:customStyle="1" w:styleId="SubtleReference1">
    <w:name w:val="Subtle Reference1"/>
    <w:basedOn w:val="DefaultParagraphFont"/>
    <w:uiPriority w:val="31"/>
    <w:qFormat/>
    <w:rsid w:val="00585372"/>
    <w:rPr>
      <w:smallCaps/>
      <w:color w:val="ED7D31"/>
      <w:u w:val="single"/>
    </w:rPr>
  </w:style>
  <w:style w:type="character" w:styleId="BookTitle">
    <w:name w:val="Book Title"/>
    <w:basedOn w:val="DefaultParagraphFont"/>
    <w:uiPriority w:val="33"/>
    <w:qFormat/>
    <w:rsid w:val="00585372"/>
    <w:rPr>
      <w:b/>
      <w:bCs/>
      <w:smallCaps/>
      <w:spacing w:val="5"/>
    </w:rPr>
  </w:style>
  <w:style w:type="paragraph" w:styleId="TOCHeading">
    <w:name w:val="TOC Heading"/>
    <w:basedOn w:val="Heading1"/>
    <w:next w:val="Normal"/>
    <w:uiPriority w:val="39"/>
    <w:unhideWhenUsed/>
    <w:qFormat/>
    <w:rsid w:val="00585372"/>
    <w:pPr>
      <w:keepNext/>
      <w:keepLines/>
      <w:spacing w:before="480" w:after="0" w:line="276" w:lineRule="auto"/>
      <w:jc w:val="left"/>
      <w:outlineLvl w:val="9"/>
    </w:pPr>
    <w:rPr>
      <w:rFonts w:ascii="Calibri" w:eastAsia="Calibri" w:hAnsi="Calibri" w:cs="Calibri"/>
      <w:color w:val="2F5496"/>
      <w:sz w:val="28"/>
      <w:szCs w:val="28"/>
      <w:lang w:eastAsia="en-PH"/>
    </w:rPr>
  </w:style>
  <w:style w:type="table" w:customStyle="1" w:styleId="TableGrid4">
    <w:name w:val="Table Grid4"/>
    <w:basedOn w:val="TableNormal"/>
    <w:next w:val="TableGrid"/>
    <w:uiPriority w:val="59"/>
    <w:rsid w:val="00585372"/>
    <w:pPr>
      <w:spacing w:after="0" w:line="240" w:lineRule="auto"/>
    </w:pPr>
    <w:rPr>
      <w:rFonts w:ascii="Calibri" w:hAnsi="Calibri" w:cs="Calibri"/>
      <w:sz w:val="22"/>
      <w:szCs w:val="22"/>
      <w:lang w:eastAsia="en-P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585372"/>
    <w:pPr>
      <w:spacing w:after="0" w:line="240" w:lineRule="auto"/>
    </w:pPr>
    <w:rPr>
      <w:rFonts w:ascii="Calibri" w:hAnsi="Calibri" w:cs="Calibri"/>
      <w:color w:val="2F5496"/>
      <w:sz w:val="22"/>
      <w:szCs w:val="22"/>
      <w:lang w:eastAsia="en-PH"/>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1">
    <w:name w:val="Light Shading - Accent 21"/>
    <w:basedOn w:val="TableNormal"/>
    <w:next w:val="LightShading-Accent2"/>
    <w:uiPriority w:val="60"/>
    <w:rsid w:val="00585372"/>
    <w:pPr>
      <w:spacing w:after="0" w:line="240" w:lineRule="auto"/>
    </w:pPr>
    <w:rPr>
      <w:rFonts w:ascii="Calibri" w:hAnsi="Calibri" w:cs="Calibri"/>
      <w:color w:val="C45911"/>
      <w:sz w:val="22"/>
      <w:szCs w:val="22"/>
      <w:lang w:eastAsia="en-PH"/>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1">
    <w:name w:val="Light Shading - Accent 31"/>
    <w:basedOn w:val="TableNormal"/>
    <w:next w:val="LightShading-Accent3"/>
    <w:uiPriority w:val="60"/>
    <w:rsid w:val="00585372"/>
    <w:pPr>
      <w:spacing w:after="0" w:line="240" w:lineRule="auto"/>
    </w:pPr>
    <w:rPr>
      <w:rFonts w:ascii="Calibri" w:hAnsi="Calibri" w:cs="Calibri"/>
      <w:color w:val="7B7B7B"/>
      <w:sz w:val="22"/>
      <w:szCs w:val="22"/>
      <w:lang w:eastAsia="en-PH"/>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1">
    <w:name w:val="Light Shading - Accent 41"/>
    <w:basedOn w:val="TableNormal"/>
    <w:next w:val="LightShading-Accent4"/>
    <w:uiPriority w:val="60"/>
    <w:rsid w:val="00585372"/>
    <w:pPr>
      <w:spacing w:after="0" w:line="240" w:lineRule="auto"/>
    </w:pPr>
    <w:rPr>
      <w:rFonts w:ascii="Calibri" w:hAnsi="Calibri" w:cs="Calibri"/>
      <w:color w:val="BF8F00"/>
      <w:sz w:val="22"/>
      <w:szCs w:val="22"/>
      <w:lang w:eastAsia="en-PH"/>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1">
    <w:name w:val="Light Shading - Accent 51"/>
    <w:basedOn w:val="TableNormal"/>
    <w:next w:val="LightShading-Accent5"/>
    <w:uiPriority w:val="60"/>
    <w:rsid w:val="00585372"/>
    <w:pPr>
      <w:spacing w:after="0" w:line="240" w:lineRule="auto"/>
    </w:pPr>
    <w:rPr>
      <w:rFonts w:ascii="Calibri" w:hAnsi="Calibri" w:cs="Calibri"/>
      <w:color w:val="2E74B5"/>
      <w:sz w:val="22"/>
      <w:szCs w:val="22"/>
      <w:lang w:eastAsia="en-PH"/>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1">
    <w:name w:val="Light Shading - Accent 61"/>
    <w:basedOn w:val="TableNormal"/>
    <w:next w:val="LightShading-Accent6"/>
    <w:uiPriority w:val="60"/>
    <w:rsid w:val="00585372"/>
    <w:pPr>
      <w:spacing w:after="0" w:line="240" w:lineRule="auto"/>
    </w:pPr>
    <w:rPr>
      <w:rFonts w:ascii="Calibri" w:hAnsi="Calibri" w:cs="Calibri"/>
      <w:color w:val="538135"/>
      <w:sz w:val="22"/>
      <w:szCs w:val="22"/>
      <w:lang w:eastAsia="en-PH"/>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1">
    <w:name w:val="Light List1"/>
    <w:basedOn w:val="TableNormal"/>
    <w:next w:val="LightList"/>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
    <w:name w:val="Light List - Accent 11"/>
    <w:basedOn w:val="TableNormal"/>
    <w:next w:val="LightList-Accent1"/>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1">
    <w:name w:val="Light List - Accent 21"/>
    <w:basedOn w:val="TableNormal"/>
    <w:next w:val="LightList-Accent2"/>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1">
    <w:name w:val="Light List - Accent 31"/>
    <w:basedOn w:val="TableNormal"/>
    <w:next w:val="LightList-Accent3"/>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1">
    <w:name w:val="Light List - Accent 41"/>
    <w:basedOn w:val="TableNormal"/>
    <w:next w:val="LightList-Accent4"/>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1">
    <w:name w:val="Light List - Accent 51"/>
    <w:basedOn w:val="TableNormal"/>
    <w:next w:val="LightList-Accent5"/>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1">
    <w:name w:val="Light List - Accent 61"/>
    <w:basedOn w:val="TableNormal"/>
    <w:next w:val="LightList-Accent6"/>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1">
    <w:name w:val="Light Grid1"/>
    <w:basedOn w:val="TableNormal"/>
    <w:next w:val="LightGrid"/>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1">
    <w:name w:val="Light Grid - Accent 11"/>
    <w:basedOn w:val="TableNormal"/>
    <w:next w:val="LightGrid-Accent1"/>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1">
    <w:name w:val="Light Grid - Accent 21"/>
    <w:basedOn w:val="TableNormal"/>
    <w:next w:val="LightGrid-Accent2"/>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1">
    <w:name w:val="Light Grid - Accent 31"/>
    <w:basedOn w:val="TableNormal"/>
    <w:next w:val="LightGrid-Accent3"/>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1">
    <w:name w:val="Light Grid - Accent 41"/>
    <w:basedOn w:val="TableNormal"/>
    <w:next w:val="LightGrid-Accent4"/>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1">
    <w:name w:val="Light Grid - Accent 51"/>
    <w:basedOn w:val="TableNormal"/>
    <w:next w:val="LightGrid-Accent5"/>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1">
    <w:name w:val="Light Grid - Accent 61"/>
    <w:basedOn w:val="TableNormal"/>
    <w:next w:val="LightGrid-Accent6"/>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1">
    <w:name w:val="Medium Shading 11"/>
    <w:basedOn w:val="TableNormal"/>
    <w:next w:val="MediumShading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1">
    <w:name w:val="Medium List 1 - Accent 11"/>
    <w:basedOn w:val="TableNormal"/>
    <w:next w:val="MediumList1-Accen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1">
    <w:name w:val="Medium List 1 - Accent 21"/>
    <w:basedOn w:val="TableNormal"/>
    <w:next w:val="MediumList1-Accent2"/>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1">
    <w:name w:val="Medium List 1 - Accent 31"/>
    <w:basedOn w:val="TableNormal"/>
    <w:next w:val="MediumList1-Accent3"/>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1">
    <w:name w:val="Medium List 1 - Accent 41"/>
    <w:basedOn w:val="TableNormal"/>
    <w:next w:val="MediumList1-Accent4"/>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1">
    <w:name w:val="Medium List 1 - Accent 51"/>
    <w:basedOn w:val="TableNormal"/>
    <w:next w:val="MediumList1-Accent5"/>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1">
    <w:name w:val="Medium List 1 - Accent 61"/>
    <w:basedOn w:val="TableNormal"/>
    <w:next w:val="MediumList1-Accent6"/>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1">
    <w:name w:val="Medium List 21"/>
    <w:basedOn w:val="TableNormal"/>
    <w:next w:val="MediumLis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1">
    <w:name w:val="Medium Grid 11"/>
    <w:basedOn w:val="TableNormal"/>
    <w:next w:val="MediumGrid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1">
    <w:name w:val="Medium Grid 1 - Accent 11"/>
    <w:basedOn w:val="TableNormal"/>
    <w:next w:val="MediumGrid1-Accent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1">
    <w:name w:val="Medium Grid 1 - Accent 21"/>
    <w:basedOn w:val="TableNormal"/>
    <w:next w:val="MediumGrid1-Accent2"/>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1">
    <w:name w:val="Medium Grid 1 - Accent 31"/>
    <w:basedOn w:val="TableNormal"/>
    <w:next w:val="MediumGrid1-Accent3"/>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1">
    <w:name w:val="Medium Grid 1 - Accent 41"/>
    <w:basedOn w:val="TableNormal"/>
    <w:next w:val="MediumGrid1-Accent4"/>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1">
    <w:name w:val="Medium Grid 1 - Accent 51"/>
    <w:basedOn w:val="TableNormal"/>
    <w:next w:val="MediumGrid1-Accent5"/>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1">
    <w:name w:val="Medium Grid 1 - Accent 61"/>
    <w:basedOn w:val="TableNormal"/>
    <w:next w:val="MediumGrid1-Accent6"/>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1">
    <w:name w:val="Medium Grid 21"/>
    <w:basedOn w:val="TableNormal"/>
    <w:next w:val="MediumGrid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1">
    <w:name w:val="Medium Grid 2 - Accent 11"/>
    <w:basedOn w:val="TableNormal"/>
    <w:next w:val="MediumGrid2-Accent1"/>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1">
    <w:name w:val="Medium Grid 2 - Accent 21"/>
    <w:basedOn w:val="TableNormal"/>
    <w:next w:val="MediumGrid2-Accent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1">
    <w:name w:val="Medium Grid 2 - Accent 31"/>
    <w:basedOn w:val="TableNormal"/>
    <w:next w:val="MediumGrid2-Accent3"/>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1">
    <w:name w:val="Medium Grid 2 - Accent 61"/>
    <w:basedOn w:val="TableNormal"/>
    <w:next w:val="MediumGrid2-Accent6"/>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1">
    <w:name w:val="Medium Grid 31"/>
    <w:basedOn w:val="TableNormal"/>
    <w:next w:val="MediumGrid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1">
    <w:name w:val="Medium Grid 3 - Accent 11"/>
    <w:basedOn w:val="TableNormal"/>
    <w:next w:val="MediumGrid3-Accent1"/>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1">
    <w:name w:val="Medium Grid 3 - Accent 21"/>
    <w:basedOn w:val="TableNormal"/>
    <w:next w:val="MediumGrid3-Accent2"/>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1">
    <w:name w:val="Medium Grid 3 - Accent 31"/>
    <w:basedOn w:val="TableNormal"/>
    <w:next w:val="MediumGrid3-Accent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1">
    <w:name w:val="Medium Grid 3 - Accent 41"/>
    <w:basedOn w:val="TableNormal"/>
    <w:next w:val="MediumGrid3-Accent4"/>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1">
    <w:name w:val="Medium Grid 3 - Accent 51"/>
    <w:basedOn w:val="TableNormal"/>
    <w:next w:val="MediumGrid3-Accent5"/>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1">
    <w:name w:val="Medium Grid 3 - Accent 61"/>
    <w:basedOn w:val="TableNormal"/>
    <w:next w:val="MediumGrid3-Accent6"/>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1">
    <w:name w:val="Dark List1"/>
    <w:basedOn w:val="TableNormal"/>
    <w:next w:val="DarkList"/>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1">
    <w:name w:val="Dark List - Accent 11"/>
    <w:basedOn w:val="TableNormal"/>
    <w:next w:val="DarkList-Accent1"/>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1">
    <w:name w:val="Dark List - Accent 21"/>
    <w:basedOn w:val="TableNormal"/>
    <w:next w:val="DarkList-Accent2"/>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1">
    <w:name w:val="Dark List - Accent 31"/>
    <w:basedOn w:val="TableNormal"/>
    <w:next w:val="DarkList-Accent3"/>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1">
    <w:name w:val="Dark List - Accent 41"/>
    <w:basedOn w:val="TableNormal"/>
    <w:next w:val="DarkList-Accent4"/>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1">
    <w:name w:val="Dark List - Accent 51"/>
    <w:basedOn w:val="TableNormal"/>
    <w:next w:val="DarkList-Accent5"/>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1">
    <w:name w:val="Dark List - Accent 61"/>
    <w:basedOn w:val="TableNormal"/>
    <w:next w:val="DarkList-Accent6"/>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1">
    <w:name w:val="Colorful Shading1"/>
    <w:basedOn w:val="TableNormal"/>
    <w:next w:val="ColorfulShading"/>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1">
    <w:name w:val="Colorful Shading - Accent 11"/>
    <w:basedOn w:val="TableNormal"/>
    <w:next w:val="ColorfulShading-Accent1"/>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1">
    <w:name w:val="Colorful Shading - Accent 21"/>
    <w:basedOn w:val="TableNormal"/>
    <w:next w:val="ColorfulShading-Accent2"/>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1">
    <w:name w:val="Colorful Shading - Accent 31"/>
    <w:basedOn w:val="TableNormal"/>
    <w:next w:val="ColorfulShading-Accent3"/>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1">
    <w:name w:val="Colorful Shading - Accent 41"/>
    <w:basedOn w:val="TableNormal"/>
    <w:next w:val="ColorfulShading-Accent4"/>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1">
    <w:name w:val="Colorful Shading - Accent 51"/>
    <w:basedOn w:val="TableNormal"/>
    <w:next w:val="ColorfulShading-Accent5"/>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1">
    <w:name w:val="Colorful Shading - Accent 61"/>
    <w:basedOn w:val="TableNormal"/>
    <w:next w:val="ColorfulShading-Accent6"/>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1">
    <w:name w:val="Colorful List1"/>
    <w:basedOn w:val="TableNormal"/>
    <w:next w:val="ColorfulList"/>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1">
    <w:name w:val="Colorful List - Accent 11"/>
    <w:basedOn w:val="TableNormal"/>
    <w:next w:val="ColorfulList-Accent1"/>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1">
    <w:name w:val="Colorful List - Accent 21"/>
    <w:basedOn w:val="TableNormal"/>
    <w:next w:val="ColorfulList-Accent2"/>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1">
    <w:name w:val="Colorful List - Accent 31"/>
    <w:basedOn w:val="TableNormal"/>
    <w:next w:val="ColorfulList-Accent3"/>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1">
    <w:name w:val="Colorful List - Accent 41"/>
    <w:basedOn w:val="TableNormal"/>
    <w:next w:val="ColorfulList-Accent4"/>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1">
    <w:name w:val="Colorful List - Accent 51"/>
    <w:basedOn w:val="TableNormal"/>
    <w:next w:val="ColorfulList-Accent5"/>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1">
    <w:name w:val="Colorful List - Accent 61"/>
    <w:basedOn w:val="TableNormal"/>
    <w:next w:val="ColorfulList-Accent6"/>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1">
    <w:name w:val="Colorful Grid1"/>
    <w:basedOn w:val="TableNormal"/>
    <w:next w:val="ColorfulGrid"/>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1">
    <w:name w:val="Colorful Grid - Accent 11"/>
    <w:basedOn w:val="TableNormal"/>
    <w:next w:val="ColorfulGrid-Accent1"/>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1">
    <w:name w:val="Colorful Grid - Accent 21"/>
    <w:basedOn w:val="TableNormal"/>
    <w:next w:val="ColorfulGrid-Accent2"/>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1">
    <w:name w:val="Colorful Grid - Accent 31"/>
    <w:basedOn w:val="TableNormal"/>
    <w:next w:val="ColorfulGrid-Accent3"/>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1">
    <w:name w:val="Colorful Grid - Accent 41"/>
    <w:basedOn w:val="TableNormal"/>
    <w:next w:val="ColorfulGrid-Accent4"/>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1">
    <w:name w:val="Colorful Grid - Accent 51"/>
    <w:basedOn w:val="TableNormal"/>
    <w:next w:val="ColorfulGrid-Accent5"/>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1">
    <w:name w:val="Colorful Grid - Accent 61"/>
    <w:basedOn w:val="TableNormal"/>
    <w:next w:val="ColorfulGrid-Accent6"/>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styleId="ListTable5Dark">
    <w:name w:val="List Table 5 Dark"/>
    <w:basedOn w:val="TableNormal"/>
    <w:uiPriority w:val="50"/>
    <w:rsid w:val="0058537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4">
    <w:name w:val="List Table 4"/>
    <w:basedOn w:val="TableNormal"/>
    <w:uiPriority w:val="49"/>
    <w:rsid w:val="0058537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odyText">
    <w:name w:val="Body Text"/>
    <w:basedOn w:val="Normal"/>
    <w:link w:val="BodyTextChar1"/>
    <w:uiPriority w:val="99"/>
    <w:unhideWhenUsed/>
    <w:rsid w:val="00585372"/>
    <w:pPr>
      <w:spacing w:after="120"/>
    </w:pPr>
  </w:style>
  <w:style w:type="character" w:customStyle="1" w:styleId="BodyTextChar1">
    <w:name w:val="Body Text Char1"/>
    <w:basedOn w:val="DefaultParagraphFont"/>
    <w:link w:val="BodyText"/>
    <w:uiPriority w:val="99"/>
    <w:rsid w:val="00585372"/>
    <w:rPr>
      <w:rFonts w:ascii="Times New Roman" w:eastAsia="Times New Roman" w:hAnsi="Times New Roman" w:cs="Times New Roman"/>
      <w:color w:val="000000" w:themeColor="text1"/>
      <w:sz w:val="20"/>
      <w:szCs w:val="20"/>
    </w:rPr>
  </w:style>
  <w:style w:type="paragraph" w:styleId="BodyText2">
    <w:name w:val="Body Text 2"/>
    <w:basedOn w:val="Normal"/>
    <w:link w:val="BodyText2Char1"/>
    <w:uiPriority w:val="99"/>
    <w:unhideWhenUsed/>
    <w:rsid w:val="00585372"/>
    <w:pPr>
      <w:spacing w:after="120" w:line="480" w:lineRule="auto"/>
    </w:pPr>
  </w:style>
  <w:style w:type="character" w:customStyle="1" w:styleId="BodyText2Char1">
    <w:name w:val="Body Text 2 Char1"/>
    <w:basedOn w:val="DefaultParagraphFont"/>
    <w:link w:val="BodyText2"/>
    <w:uiPriority w:val="99"/>
    <w:rsid w:val="00585372"/>
    <w:rPr>
      <w:rFonts w:ascii="Times New Roman" w:eastAsia="Times New Roman" w:hAnsi="Times New Roman" w:cs="Times New Roman"/>
      <w:color w:val="000000" w:themeColor="text1"/>
      <w:sz w:val="20"/>
      <w:szCs w:val="20"/>
    </w:rPr>
  </w:style>
  <w:style w:type="paragraph" w:styleId="BodyText3">
    <w:name w:val="Body Text 3"/>
    <w:basedOn w:val="Normal"/>
    <w:link w:val="BodyText3Char1"/>
    <w:uiPriority w:val="99"/>
    <w:unhideWhenUsed/>
    <w:rsid w:val="00585372"/>
    <w:pPr>
      <w:spacing w:after="120"/>
    </w:pPr>
    <w:rPr>
      <w:sz w:val="16"/>
      <w:szCs w:val="16"/>
    </w:rPr>
  </w:style>
  <w:style w:type="character" w:customStyle="1" w:styleId="BodyText3Char1">
    <w:name w:val="Body Text 3 Char1"/>
    <w:basedOn w:val="DefaultParagraphFont"/>
    <w:link w:val="BodyText3"/>
    <w:uiPriority w:val="99"/>
    <w:rsid w:val="00585372"/>
    <w:rPr>
      <w:rFonts w:ascii="Times New Roman" w:eastAsia="Times New Roman" w:hAnsi="Times New Roman" w:cs="Times New Roman"/>
      <w:color w:val="000000" w:themeColor="text1"/>
      <w:sz w:val="16"/>
      <w:szCs w:val="16"/>
    </w:rPr>
  </w:style>
  <w:style w:type="paragraph" w:styleId="List">
    <w:name w:val="List"/>
    <w:basedOn w:val="Normal"/>
    <w:uiPriority w:val="99"/>
    <w:unhideWhenUsed/>
    <w:rsid w:val="00585372"/>
    <w:pPr>
      <w:ind w:left="283" w:hanging="283"/>
      <w:contextualSpacing/>
    </w:pPr>
  </w:style>
  <w:style w:type="paragraph" w:styleId="List2">
    <w:name w:val="List 2"/>
    <w:basedOn w:val="Normal"/>
    <w:uiPriority w:val="99"/>
    <w:unhideWhenUsed/>
    <w:rsid w:val="00585372"/>
    <w:pPr>
      <w:ind w:left="566" w:hanging="283"/>
      <w:contextualSpacing/>
    </w:pPr>
  </w:style>
  <w:style w:type="paragraph" w:styleId="List3">
    <w:name w:val="List 3"/>
    <w:basedOn w:val="Normal"/>
    <w:uiPriority w:val="99"/>
    <w:unhideWhenUsed/>
    <w:rsid w:val="00585372"/>
    <w:pPr>
      <w:ind w:left="849" w:hanging="283"/>
      <w:contextualSpacing/>
    </w:pPr>
  </w:style>
  <w:style w:type="paragraph" w:styleId="ListBullet2">
    <w:name w:val="List Bullet 2"/>
    <w:basedOn w:val="Normal"/>
    <w:uiPriority w:val="99"/>
    <w:unhideWhenUsed/>
    <w:rsid w:val="00585372"/>
    <w:pPr>
      <w:numPr>
        <w:numId w:val="82"/>
      </w:numPr>
      <w:contextualSpacing/>
    </w:pPr>
  </w:style>
  <w:style w:type="paragraph" w:styleId="ListBullet3">
    <w:name w:val="List Bullet 3"/>
    <w:basedOn w:val="Normal"/>
    <w:uiPriority w:val="99"/>
    <w:unhideWhenUsed/>
    <w:rsid w:val="00585372"/>
    <w:pPr>
      <w:numPr>
        <w:numId w:val="83"/>
      </w:numPr>
      <w:contextualSpacing/>
    </w:pPr>
  </w:style>
  <w:style w:type="paragraph" w:styleId="ListNumber">
    <w:name w:val="List Number"/>
    <w:basedOn w:val="Normal"/>
    <w:uiPriority w:val="99"/>
    <w:unhideWhenUsed/>
    <w:rsid w:val="00585372"/>
    <w:pPr>
      <w:numPr>
        <w:numId w:val="84"/>
      </w:numPr>
      <w:contextualSpacing/>
    </w:pPr>
  </w:style>
  <w:style w:type="paragraph" w:styleId="ListNumber2">
    <w:name w:val="List Number 2"/>
    <w:basedOn w:val="Normal"/>
    <w:uiPriority w:val="99"/>
    <w:unhideWhenUsed/>
    <w:rsid w:val="00585372"/>
    <w:pPr>
      <w:numPr>
        <w:numId w:val="85"/>
      </w:numPr>
      <w:contextualSpacing/>
    </w:pPr>
  </w:style>
  <w:style w:type="paragraph" w:styleId="ListNumber3">
    <w:name w:val="List Number 3"/>
    <w:basedOn w:val="Normal"/>
    <w:uiPriority w:val="99"/>
    <w:unhideWhenUsed/>
    <w:rsid w:val="00585372"/>
    <w:pPr>
      <w:numPr>
        <w:numId w:val="86"/>
      </w:numPr>
      <w:contextualSpacing/>
    </w:pPr>
  </w:style>
  <w:style w:type="paragraph" w:styleId="ListContinue">
    <w:name w:val="List Continue"/>
    <w:basedOn w:val="Normal"/>
    <w:uiPriority w:val="99"/>
    <w:unhideWhenUsed/>
    <w:rsid w:val="00585372"/>
    <w:pPr>
      <w:spacing w:after="120"/>
      <w:ind w:left="283"/>
      <w:contextualSpacing/>
    </w:pPr>
  </w:style>
  <w:style w:type="paragraph" w:styleId="ListContinue2">
    <w:name w:val="List Continue 2"/>
    <w:basedOn w:val="Normal"/>
    <w:uiPriority w:val="99"/>
    <w:unhideWhenUsed/>
    <w:rsid w:val="00585372"/>
    <w:pPr>
      <w:spacing w:after="120"/>
      <w:ind w:left="566"/>
      <w:contextualSpacing/>
    </w:pPr>
  </w:style>
  <w:style w:type="paragraph" w:styleId="ListContinue3">
    <w:name w:val="List Continue 3"/>
    <w:basedOn w:val="Normal"/>
    <w:uiPriority w:val="99"/>
    <w:unhideWhenUsed/>
    <w:rsid w:val="00585372"/>
    <w:pPr>
      <w:spacing w:after="120"/>
      <w:ind w:left="849"/>
      <w:contextualSpacing/>
    </w:pPr>
  </w:style>
  <w:style w:type="paragraph" w:styleId="MacroText">
    <w:name w:val="macro"/>
    <w:link w:val="MacroTextChar1"/>
    <w:uiPriority w:val="99"/>
    <w:unhideWhenUsed/>
    <w:rsid w:val="00585372"/>
    <w:pPr>
      <w:tabs>
        <w:tab w:val="left" w:pos="480"/>
        <w:tab w:val="left" w:pos="960"/>
        <w:tab w:val="left" w:pos="1440"/>
        <w:tab w:val="left" w:pos="1920"/>
        <w:tab w:val="left" w:pos="2400"/>
        <w:tab w:val="left" w:pos="2880"/>
        <w:tab w:val="left" w:pos="3360"/>
        <w:tab w:val="left" w:pos="3840"/>
        <w:tab w:val="left" w:pos="4320"/>
      </w:tabs>
      <w:spacing w:after="0"/>
      <w:ind w:firstLine="720"/>
      <w:jc w:val="both"/>
    </w:pPr>
    <w:rPr>
      <w:rFonts w:ascii="Consolas" w:eastAsia="Times New Roman" w:hAnsi="Consolas" w:cs="Times New Roman"/>
      <w:color w:val="000000" w:themeColor="text1"/>
      <w:sz w:val="20"/>
      <w:szCs w:val="20"/>
    </w:rPr>
  </w:style>
  <w:style w:type="character" w:customStyle="1" w:styleId="MacroTextChar1">
    <w:name w:val="Macro Text Char1"/>
    <w:basedOn w:val="DefaultParagraphFont"/>
    <w:link w:val="MacroText"/>
    <w:uiPriority w:val="99"/>
    <w:rsid w:val="00585372"/>
    <w:rPr>
      <w:rFonts w:ascii="Consolas" w:eastAsia="Times New Roman" w:hAnsi="Consolas" w:cs="Times New Roman"/>
      <w:color w:val="000000" w:themeColor="text1"/>
      <w:sz w:val="20"/>
      <w:szCs w:val="20"/>
    </w:rPr>
  </w:style>
  <w:style w:type="character" w:styleId="SubtleEmphasis">
    <w:name w:val="Subtle Emphasis"/>
    <w:basedOn w:val="DefaultParagraphFont"/>
    <w:uiPriority w:val="19"/>
    <w:qFormat/>
    <w:rsid w:val="00585372"/>
    <w:rPr>
      <w:i/>
      <w:iCs/>
      <w:color w:val="404040" w:themeColor="text1" w:themeTint="BF"/>
    </w:rPr>
  </w:style>
  <w:style w:type="character" w:styleId="SubtleReference">
    <w:name w:val="Subtle Reference"/>
    <w:basedOn w:val="DefaultParagraphFont"/>
    <w:uiPriority w:val="31"/>
    <w:qFormat/>
    <w:rsid w:val="00585372"/>
    <w:rPr>
      <w:smallCaps/>
      <w:color w:val="5A5A5A" w:themeColor="text1" w:themeTint="A5"/>
    </w:rPr>
  </w:style>
  <w:style w:type="table" w:styleId="LightShading">
    <w:name w:val="Light Shading"/>
    <w:basedOn w:val="TableNormal"/>
    <w:uiPriority w:val="60"/>
    <w:semiHidden/>
    <w:unhideWhenUsed/>
    <w:rsid w:val="0058537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585372"/>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semiHidden/>
    <w:unhideWhenUsed/>
    <w:rsid w:val="00585372"/>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semiHidden/>
    <w:unhideWhenUsed/>
    <w:rsid w:val="00585372"/>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semiHidden/>
    <w:unhideWhenUsed/>
    <w:rsid w:val="00585372"/>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semiHidden/>
    <w:unhideWhenUsed/>
    <w:rsid w:val="00585372"/>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semiHidden/>
    <w:unhideWhenUsed/>
    <w:rsid w:val="00585372"/>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rfulShading">
    <w:name w:val="Colorful Shading"/>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Grid">
    <w:name w:val="Colorful Grid"/>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customStyle="1" w:styleId="LightList-Accent12">
    <w:name w:val="Light List - Accent 12"/>
    <w:basedOn w:val="TableNormal"/>
    <w:next w:val="LightList-Accent1"/>
    <w:uiPriority w:val="61"/>
    <w:rsid w:val="00E43EE5"/>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5">
    <w:name w:val="Table Grid5"/>
    <w:basedOn w:val="TableNormal"/>
    <w:next w:val="TableGrid"/>
    <w:uiPriority w:val="59"/>
    <w:rsid w:val="00D50A24"/>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3">
    <w:name w:val="Light List - Accent 13"/>
    <w:basedOn w:val="TableNormal"/>
    <w:next w:val="LightList-Accent1"/>
    <w:uiPriority w:val="61"/>
    <w:rsid w:val="001814A9"/>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stTable3-Accent11">
    <w:name w:val="List Table 3 - Accent 11"/>
    <w:basedOn w:val="TableNormal"/>
    <w:next w:val="ListTable3-Accent1"/>
    <w:uiPriority w:val="48"/>
    <w:rsid w:val="001814A9"/>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ListTable3-Accent1">
    <w:name w:val="List Table 3 Accent 1"/>
    <w:basedOn w:val="TableNormal"/>
    <w:uiPriority w:val="48"/>
    <w:rsid w:val="001814A9"/>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numbering" w:customStyle="1" w:styleId="NoList3">
    <w:name w:val="No List3"/>
    <w:next w:val="NoList"/>
    <w:uiPriority w:val="99"/>
    <w:semiHidden/>
    <w:unhideWhenUsed/>
    <w:rsid w:val="00C8228F"/>
  </w:style>
  <w:style w:type="table" w:customStyle="1" w:styleId="TableGrid6">
    <w:name w:val="Table Grid6"/>
    <w:basedOn w:val="TableNormal"/>
    <w:next w:val="TableGrid"/>
    <w:uiPriority w:val="59"/>
    <w:rsid w:val="00C8228F"/>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2">
    <w:name w:val="Light Shading2"/>
    <w:basedOn w:val="TableNormal"/>
    <w:next w:val="LightShading"/>
    <w:uiPriority w:val="60"/>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2">
    <w:name w:val="Light Shading - Accent 12"/>
    <w:basedOn w:val="TableNormal"/>
    <w:next w:val="LightShading-Accent1"/>
    <w:uiPriority w:val="60"/>
    <w:rsid w:val="00C8228F"/>
    <w:pPr>
      <w:spacing w:after="0" w:line="240" w:lineRule="auto"/>
    </w:pPr>
    <w:rPr>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22">
    <w:name w:val="Light Shading - Accent 22"/>
    <w:basedOn w:val="TableNormal"/>
    <w:next w:val="LightShading-Accent2"/>
    <w:uiPriority w:val="60"/>
    <w:rsid w:val="00C8228F"/>
    <w:pPr>
      <w:spacing w:after="0" w:line="240" w:lineRule="auto"/>
    </w:pPr>
    <w:rPr>
      <w:color w:val="943634"/>
      <w:sz w:val="22"/>
      <w:szCs w:val="22"/>
      <w:lang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32">
    <w:name w:val="Light Shading - Accent 32"/>
    <w:basedOn w:val="TableNormal"/>
    <w:next w:val="LightShading-Accent3"/>
    <w:uiPriority w:val="60"/>
    <w:rsid w:val="00C8228F"/>
    <w:pPr>
      <w:spacing w:after="0" w:line="240" w:lineRule="auto"/>
    </w:pPr>
    <w:rPr>
      <w:color w:val="76923C"/>
      <w:sz w:val="22"/>
      <w:szCs w:val="22"/>
      <w:lang w:eastAsia="en-US"/>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42">
    <w:name w:val="Light Shading - Accent 42"/>
    <w:basedOn w:val="TableNormal"/>
    <w:next w:val="LightShading-Accent4"/>
    <w:uiPriority w:val="60"/>
    <w:rsid w:val="00C8228F"/>
    <w:pPr>
      <w:spacing w:after="0" w:line="240" w:lineRule="auto"/>
    </w:pPr>
    <w:rPr>
      <w:color w:val="5F497A"/>
      <w:sz w:val="22"/>
      <w:szCs w:val="22"/>
      <w:lang w:eastAsia="en-US"/>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LightShading-Accent52">
    <w:name w:val="Light Shading - Accent 52"/>
    <w:basedOn w:val="TableNormal"/>
    <w:next w:val="LightShading-Accent5"/>
    <w:uiPriority w:val="60"/>
    <w:rsid w:val="00C8228F"/>
    <w:pPr>
      <w:spacing w:after="0" w:line="240" w:lineRule="auto"/>
    </w:pPr>
    <w:rPr>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62">
    <w:name w:val="Light Shading - Accent 62"/>
    <w:basedOn w:val="TableNormal"/>
    <w:next w:val="LightShading-Accent6"/>
    <w:uiPriority w:val="60"/>
    <w:rsid w:val="00C8228F"/>
    <w:pPr>
      <w:spacing w:after="0" w:line="240" w:lineRule="auto"/>
    </w:pPr>
    <w:rPr>
      <w:color w:val="E36C0A"/>
      <w:sz w:val="22"/>
      <w:szCs w:val="22"/>
      <w:lang w:eastAsia="en-US"/>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2">
    <w:name w:val="Light List2"/>
    <w:basedOn w:val="TableNormal"/>
    <w:next w:val="LightList"/>
    <w:uiPriority w:val="61"/>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4">
    <w:name w:val="Light List - Accent 14"/>
    <w:basedOn w:val="TableNormal"/>
    <w:next w:val="LightList-Accent1"/>
    <w:uiPriority w:val="61"/>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2">
    <w:name w:val="Light List - Accent 22"/>
    <w:basedOn w:val="TableNormal"/>
    <w:next w:val="LightList-Accent2"/>
    <w:uiPriority w:val="61"/>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2">
    <w:name w:val="Light List - Accent 32"/>
    <w:basedOn w:val="TableNormal"/>
    <w:next w:val="LightList-Accent3"/>
    <w:uiPriority w:val="61"/>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List-Accent42">
    <w:name w:val="Light List - Accent 42"/>
    <w:basedOn w:val="TableNormal"/>
    <w:next w:val="LightList-Accent4"/>
    <w:uiPriority w:val="61"/>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LightList-Accent52">
    <w:name w:val="Light List - Accent 52"/>
    <w:basedOn w:val="TableNormal"/>
    <w:next w:val="LightList-Accent5"/>
    <w:uiPriority w:val="61"/>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62">
    <w:name w:val="Light List - Accent 62"/>
    <w:basedOn w:val="TableNormal"/>
    <w:next w:val="LightList-Accent6"/>
    <w:uiPriority w:val="61"/>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2">
    <w:name w:val="Light Grid2"/>
    <w:basedOn w:val="TableNormal"/>
    <w:next w:val="LightGrid"/>
    <w:uiPriority w:val="62"/>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2">
    <w:name w:val="Light Grid - Accent 12"/>
    <w:basedOn w:val="TableNormal"/>
    <w:next w:val="LightGrid-Accent1"/>
    <w:uiPriority w:val="62"/>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2">
    <w:name w:val="Light Grid - Accent 22"/>
    <w:basedOn w:val="TableNormal"/>
    <w:next w:val="LightGrid-Accent2"/>
    <w:uiPriority w:val="62"/>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Grid-Accent32">
    <w:name w:val="Light Grid - Accent 32"/>
    <w:basedOn w:val="TableNormal"/>
    <w:next w:val="LightGrid-Accent3"/>
    <w:uiPriority w:val="62"/>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Grid-Accent42">
    <w:name w:val="Light Grid - Accent 42"/>
    <w:basedOn w:val="TableNormal"/>
    <w:next w:val="LightGrid-Accent4"/>
    <w:uiPriority w:val="62"/>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Grid-Accent52">
    <w:name w:val="Light Grid - Accent 52"/>
    <w:basedOn w:val="TableNormal"/>
    <w:next w:val="LightGrid-Accent5"/>
    <w:uiPriority w:val="62"/>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62">
    <w:name w:val="Light Grid - Accent 62"/>
    <w:basedOn w:val="TableNormal"/>
    <w:next w:val="LightGrid-Accent6"/>
    <w:uiPriority w:val="62"/>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MediumShading12">
    <w:name w:val="Medium Shading 12"/>
    <w:basedOn w:val="TableNormal"/>
    <w:next w:val="MediumShading1"/>
    <w:uiPriority w:val="63"/>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2">
    <w:name w:val="Medium Shading 1 - Accent 12"/>
    <w:basedOn w:val="TableNormal"/>
    <w:next w:val="MediumShading1-Accent1"/>
    <w:uiPriority w:val="63"/>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22">
    <w:name w:val="Medium Shading 1 - Accent 22"/>
    <w:basedOn w:val="TableNormal"/>
    <w:next w:val="MediumShading1-Accent2"/>
    <w:uiPriority w:val="63"/>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MediumShading1-Accent32">
    <w:name w:val="Medium Shading 1 - Accent 32"/>
    <w:basedOn w:val="TableNormal"/>
    <w:next w:val="MediumShading1-Accent3"/>
    <w:uiPriority w:val="63"/>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MediumShading1-Accent42">
    <w:name w:val="Medium Shading 1 - Accent 42"/>
    <w:basedOn w:val="TableNormal"/>
    <w:next w:val="MediumShading1-Accent4"/>
    <w:uiPriority w:val="63"/>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MediumShading1-Accent52">
    <w:name w:val="Medium Shading 1 - Accent 52"/>
    <w:basedOn w:val="TableNormal"/>
    <w:next w:val="MediumShading1-Accent5"/>
    <w:uiPriority w:val="63"/>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MediumShading1-Accent62">
    <w:name w:val="Medium Shading 1 - Accent 62"/>
    <w:basedOn w:val="TableNormal"/>
    <w:next w:val="MediumShading1-Accent6"/>
    <w:uiPriority w:val="63"/>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Shading22">
    <w:name w:val="Medium Shading 22"/>
    <w:basedOn w:val="TableNormal"/>
    <w:next w:val="MediumShading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next w:val="MediumShading2-Accent1"/>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2">
    <w:name w:val="Medium Shading 2 - Accent 22"/>
    <w:basedOn w:val="TableNormal"/>
    <w:next w:val="MediumShading2-Accent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2">
    <w:name w:val="Medium Shading 2 - Accent 32"/>
    <w:basedOn w:val="TableNormal"/>
    <w:next w:val="MediumShading2-Accent3"/>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2">
    <w:name w:val="Medium Shading 2 - Accent 42"/>
    <w:basedOn w:val="TableNormal"/>
    <w:next w:val="MediumShading2-Accent4"/>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2">
    <w:name w:val="Medium Shading 2 - Accent 52"/>
    <w:basedOn w:val="TableNormal"/>
    <w:next w:val="MediumShading2-Accent5"/>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2">
    <w:name w:val="Medium Shading 2 - Accent 62"/>
    <w:basedOn w:val="TableNormal"/>
    <w:next w:val="MediumShading2-Accent6"/>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2">
    <w:name w:val="Medium List 12"/>
    <w:basedOn w:val="TableNormal"/>
    <w:next w:val="MediumList1"/>
    <w:uiPriority w:val="65"/>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w:eastAsia="MS Gothic" w:hAnsi="Calibri"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2">
    <w:name w:val="Medium List 1 - Accent 12"/>
    <w:basedOn w:val="TableNormal"/>
    <w:next w:val="MediumList1-Accent1"/>
    <w:uiPriority w:val="65"/>
    <w:rsid w:val="00C8228F"/>
    <w:pPr>
      <w:spacing w:after="0" w:line="240" w:lineRule="auto"/>
    </w:pPr>
    <w:rPr>
      <w:color w:val="000000"/>
      <w:sz w:val="22"/>
      <w:szCs w:val="22"/>
      <w:lang w:eastAsia="en-US"/>
    </w:rPr>
    <w:tblPr>
      <w:tblStyleRowBandSize w:val="1"/>
      <w:tblStyleColBandSize w:val="1"/>
      <w:tblBorders>
        <w:top w:val="single" w:sz="8" w:space="0" w:color="4F81BD"/>
        <w:bottom w:val="single" w:sz="8" w:space="0" w:color="4F81BD"/>
      </w:tblBorders>
    </w:tblPr>
    <w:tblStylePr w:type="firstRow">
      <w:rPr>
        <w:rFonts w:ascii="Calibri" w:eastAsia="MS Gothic" w:hAnsi="Calibri"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MediumList1-Accent22">
    <w:name w:val="Medium List 1 - Accent 22"/>
    <w:basedOn w:val="TableNormal"/>
    <w:next w:val="MediumList1-Accent2"/>
    <w:uiPriority w:val="65"/>
    <w:rsid w:val="00C8228F"/>
    <w:pPr>
      <w:spacing w:after="0" w:line="240" w:lineRule="auto"/>
    </w:pPr>
    <w:rPr>
      <w:color w:val="000000"/>
      <w:sz w:val="22"/>
      <w:szCs w:val="22"/>
      <w:lang w:eastAsia="en-US"/>
    </w:rPr>
    <w:tblPr>
      <w:tblStyleRowBandSize w:val="1"/>
      <w:tblStyleColBandSize w:val="1"/>
      <w:tblBorders>
        <w:top w:val="single" w:sz="8" w:space="0" w:color="C0504D"/>
        <w:bottom w:val="single" w:sz="8" w:space="0" w:color="C0504D"/>
      </w:tblBorders>
    </w:tblPr>
    <w:tblStylePr w:type="firstRow">
      <w:rPr>
        <w:rFonts w:ascii="Calibri" w:eastAsia="MS Gothic" w:hAnsi="Calibri"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MediumList1-Accent32">
    <w:name w:val="Medium List 1 - Accent 32"/>
    <w:basedOn w:val="TableNormal"/>
    <w:next w:val="MediumList1-Accent3"/>
    <w:uiPriority w:val="65"/>
    <w:rsid w:val="00C8228F"/>
    <w:pPr>
      <w:spacing w:after="0" w:line="240" w:lineRule="auto"/>
    </w:pPr>
    <w:rPr>
      <w:color w:val="000000"/>
      <w:sz w:val="22"/>
      <w:szCs w:val="22"/>
      <w:lang w:eastAsia="en-US"/>
    </w:rPr>
    <w:tblPr>
      <w:tblStyleRowBandSize w:val="1"/>
      <w:tblStyleColBandSize w:val="1"/>
      <w:tblBorders>
        <w:top w:val="single" w:sz="8" w:space="0" w:color="9BBB59"/>
        <w:bottom w:val="single" w:sz="8" w:space="0" w:color="9BBB59"/>
      </w:tblBorders>
    </w:tblPr>
    <w:tblStylePr w:type="firstRow">
      <w:rPr>
        <w:rFonts w:ascii="Calibri" w:eastAsia="MS Gothic" w:hAnsi="Calibri"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MediumList1-Accent42">
    <w:name w:val="Medium List 1 - Accent 42"/>
    <w:basedOn w:val="TableNormal"/>
    <w:next w:val="MediumList1-Accent4"/>
    <w:uiPriority w:val="65"/>
    <w:rsid w:val="00C8228F"/>
    <w:pPr>
      <w:spacing w:after="0" w:line="240" w:lineRule="auto"/>
    </w:pPr>
    <w:rPr>
      <w:color w:val="000000"/>
      <w:sz w:val="22"/>
      <w:szCs w:val="22"/>
      <w:lang w:eastAsia="en-US"/>
    </w:rPr>
    <w:tblPr>
      <w:tblStyleRowBandSize w:val="1"/>
      <w:tblStyleColBandSize w:val="1"/>
      <w:tblBorders>
        <w:top w:val="single" w:sz="8" w:space="0" w:color="8064A2"/>
        <w:bottom w:val="single" w:sz="8" w:space="0" w:color="8064A2"/>
      </w:tblBorders>
    </w:tblPr>
    <w:tblStylePr w:type="firstRow">
      <w:rPr>
        <w:rFonts w:ascii="Calibri" w:eastAsia="MS Gothic" w:hAnsi="Calibri"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MediumList1-Accent52">
    <w:name w:val="Medium List 1 - Accent 52"/>
    <w:basedOn w:val="TableNormal"/>
    <w:next w:val="MediumList1-Accent5"/>
    <w:uiPriority w:val="65"/>
    <w:rsid w:val="00C8228F"/>
    <w:pPr>
      <w:spacing w:after="0" w:line="240" w:lineRule="auto"/>
    </w:pPr>
    <w:rPr>
      <w:color w:val="000000"/>
      <w:sz w:val="22"/>
      <w:szCs w:val="22"/>
      <w:lang w:eastAsia="en-US"/>
    </w:rPr>
    <w:tblPr>
      <w:tblStyleRowBandSize w:val="1"/>
      <w:tblStyleColBandSize w:val="1"/>
      <w:tblBorders>
        <w:top w:val="single" w:sz="8" w:space="0" w:color="4BACC6"/>
        <w:bottom w:val="single" w:sz="8" w:space="0" w:color="4BACC6"/>
      </w:tblBorders>
    </w:tblPr>
    <w:tblStylePr w:type="firstRow">
      <w:rPr>
        <w:rFonts w:ascii="Calibri" w:eastAsia="MS Gothic" w:hAnsi="Calibri"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MediumList1-Accent62">
    <w:name w:val="Medium List 1 - Accent 62"/>
    <w:basedOn w:val="TableNormal"/>
    <w:next w:val="MediumList1-Accent6"/>
    <w:uiPriority w:val="65"/>
    <w:rsid w:val="00C8228F"/>
    <w:pPr>
      <w:spacing w:after="0" w:line="240" w:lineRule="auto"/>
    </w:pPr>
    <w:rPr>
      <w:color w:val="000000"/>
      <w:sz w:val="22"/>
      <w:szCs w:val="22"/>
      <w:lang w:eastAsia="en-US"/>
    </w:rPr>
    <w:tblPr>
      <w:tblStyleRowBandSize w:val="1"/>
      <w:tblStyleColBandSize w:val="1"/>
      <w:tblBorders>
        <w:top w:val="single" w:sz="8" w:space="0" w:color="F79646"/>
        <w:bottom w:val="single" w:sz="8" w:space="0" w:color="F79646"/>
      </w:tblBorders>
    </w:tblPr>
    <w:tblStylePr w:type="firstRow">
      <w:rPr>
        <w:rFonts w:ascii="Calibri" w:eastAsia="MS Gothic" w:hAnsi="Calibri"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MediumList22">
    <w:name w:val="Medium List 22"/>
    <w:basedOn w:val="TableNormal"/>
    <w:next w:val="MediumLis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2">
    <w:name w:val="Medium List 2 - Accent 12"/>
    <w:basedOn w:val="TableNormal"/>
    <w:next w:val="MediumList2-Accent1"/>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MediumList2-Accent22">
    <w:name w:val="Medium List 2 - Accent 22"/>
    <w:basedOn w:val="TableNormal"/>
    <w:next w:val="MediumList2-Accen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Accent32">
    <w:name w:val="Medium List 2 - Accent 32"/>
    <w:basedOn w:val="TableNormal"/>
    <w:next w:val="MediumList2-Accent3"/>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MediumList2-Accent42">
    <w:name w:val="Medium List 2 - Accent 42"/>
    <w:basedOn w:val="TableNormal"/>
    <w:next w:val="MediumList2-Accent4"/>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MediumList2-Accent52">
    <w:name w:val="Medium List 2 - Accent 52"/>
    <w:basedOn w:val="TableNormal"/>
    <w:next w:val="MediumList2-Accent5"/>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List2-Accent62">
    <w:name w:val="Medium List 2 - Accent 62"/>
    <w:basedOn w:val="TableNormal"/>
    <w:next w:val="MediumList2-Accent6"/>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MediumGrid12">
    <w:name w:val="Medium Grid 12"/>
    <w:basedOn w:val="TableNormal"/>
    <w:next w:val="MediumGrid1"/>
    <w:uiPriority w:val="67"/>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2">
    <w:name w:val="Medium Grid 1 - Accent 12"/>
    <w:basedOn w:val="TableNormal"/>
    <w:next w:val="MediumGrid1-Accent1"/>
    <w:uiPriority w:val="67"/>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2">
    <w:name w:val="Medium Grid 1 - Accent 22"/>
    <w:basedOn w:val="TableNormal"/>
    <w:next w:val="MediumGrid1-Accent2"/>
    <w:uiPriority w:val="67"/>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MediumGrid1-Accent32">
    <w:name w:val="Medium Grid 1 - Accent 32"/>
    <w:basedOn w:val="TableNormal"/>
    <w:next w:val="MediumGrid1-Accent3"/>
    <w:uiPriority w:val="67"/>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2">
    <w:name w:val="Medium Grid 1 - Accent 42"/>
    <w:basedOn w:val="TableNormal"/>
    <w:next w:val="MediumGrid1-Accent4"/>
    <w:uiPriority w:val="67"/>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2">
    <w:name w:val="Medium Grid 1 - Accent 52"/>
    <w:basedOn w:val="TableNormal"/>
    <w:next w:val="MediumGrid1-Accent5"/>
    <w:uiPriority w:val="67"/>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MediumGrid1-Accent62">
    <w:name w:val="Medium Grid 1 - Accent 62"/>
    <w:basedOn w:val="TableNormal"/>
    <w:next w:val="MediumGrid1-Accent6"/>
    <w:uiPriority w:val="67"/>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Grid22">
    <w:name w:val="Medium Grid 22"/>
    <w:basedOn w:val="TableNormal"/>
    <w:next w:val="MediumGrid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2">
    <w:name w:val="Medium Grid 2 - Accent 12"/>
    <w:basedOn w:val="TableNormal"/>
    <w:next w:val="MediumGrid2-Accent1"/>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MediumGrid2-Accent22">
    <w:name w:val="Medium Grid 2 - Accent 22"/>
    <w:basedOn w:val="TableNormal"/>
    <w:next w:val="MediumGrid2-Accent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Accent32">
    <w:name w:val="Medium Grid 2 - Accent 32"/>
    <w:basedOn w:val="TableNormal"/>
    <w:next w:val="MediumGrid2-Accent3"/>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MediumGrid2-Accent42">
    <w:name w:val="Medium Grid 2 - Accent 42"/>
    <w:basedOn w:val="TableNormal"/>
    <w:next w:val="MediumGrid2-Accent4"/>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Grid2-Accent52">
    <w:name w:val="Medium Grid 2 - Accent 52"/>
    <w:basedOn w:val="TableNormal"/>
    <w:next w:val="MediumGrid2-Accent5"/>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62">
    <w:name w:val="Medium Grid 2 - Accent 62"/>
    <w:basedOn w:val="TableNormal"/>
    <w:next w:val="MediumGrid2-Accent6"/>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32">
    <w:name w:val="Medium Grid 32"/>
    <w:basedOn w:val="TableNormal"/>
    <w:next w:val="MediumGrid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2">
    <w:name w:val="Medium Grid 3 - Accent 12"/>
    <w:basedOn w:val="TableNormal"/>
    <w:next w:val="MediumGrid3-Accent1"/>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MediumGrid3-Accent22">
    <w:name w:val="Medium Grid 3 - Accent 22"/>
    <w:basedOn w:val="TableNormal"/>
    <w:next w:val="MediumGrid3-Accent2"/>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Accent32">
    <w:name w:val="Medium Grid 3 - Accent 32"/>
    <w:basedOn w:val="TableNormal"/>
    <w:next w:val="MediumGrid3-Accent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MediumGrid3-Accent42">
    <w:name w:val="Medium Grid 3 - Accent 42"/>
    <w:basedOn w:val="TableNormal"/>
    <w:next w:val="MediumGrid3-Accent4"/>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MediumGrid3-Accent52">
    <w:name w:val="Medium Grid 3 - Accent 52"/>
    <w:basedOn w:val="TableNormal"/>
    <w:next w:val="MediumGrid3-Accent5"/>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MediumGrid3-Accent62">
    <w:name w:val="Medium Grid 3 - Accent 62"/>
    <w:basedOn w:val="TableNormal"/>
    <w:next w:val="MediumGrid3-Accent6"/>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DarkList2">
    <w:name w:val="Dark List2"/>
    <w:basedOn w:val="TableNormal"/>
    <w:next w:val="DarkList"/>
    <w:uiPriority w:val="70"/>
    <w:rsid w:val="00C8228F"/>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2">
    <w:name w:val="Dark List - Accent 12"/>
    <w:basedOn w:val="TableNormal"/>
    <w:next w:val="DarkList-Accent1"/>
    <w:uiPriority w:val="70"/>
    <w:rsid w:val="00C8228F"/>
    <w:pPr>
      <w:spacing w:after="0" w:line="240" w:lineRule="auto"/>
    </w:pPr>
    <w:rPr>
      <w:color w:val="FFFFFF"/>
      <w:sz w:val="22"/>
      <w:szCs w:val="22"/>
      <w:lang w:eastAsia="en-US"/>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DarkList-Accent22">
    <w:name w:val="Dark List - Accent 22"/>
    <w:basedOn w:val="TableNormal"/>
    <w:next w:val="DarkList-Accent2"/>
    <w:uiPriority w:val="70"/>
    <w:rsid w:val="00C8228F"/>
    <w:pPr>
      <w:spacing w:after="0" w:line="240" w:lineRule="auto"/>
    </w:pPr>
    <w:rPr>
      <w:color w:val="FFFFFF"/>
      <w:sz w:val="22"/>
      <w:szCs w:val="22"/>
      <w:lang w:eastAsia="en-US"/>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DarkList-Accent32">
    <w:name w:val="Dark List - Accent 32"/>
    <w:basedOn w:val="TableNormal"/>
    <w:next w:val="DarkList-Accent3"/>
    <w:uiPriority w:val="70"/>
    <w:rsid w:val="00C8228F"/>
    <w:pPr>
      <w:spacing w:after="0" w:line="240" w:lineRule="auto"/>
    </w:pPr>
    <w:rPr>
      <w:color w:val="FFFFFF"/>
      <w:sz w:val="22"/>
      <w:szCs w:val="22"/>
      <w:lang w:eastAsia="en-US"/>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DarkList-Accent42">
    <w:name w:val="Dark List - Accent 42"/>
    <w:basedOn w:val="TableNormal"/>
    <w:next w:val="DarkList-Accent4"/>
    <w:uiPriority w:val="70"/>
    <w:rsid w:val="00C8228F"/>
    <w:pPr>
      <w:spacing w:after="0" w:line="240" w:lineRule="auto"/>
    </w:pPr>
    <w:rPr>
      <w:color w:val="FFFFFF"/>
      <w:sz w:val="22"/>
      <w:szCs w:val="22"/>
      <w:lang w:eastAsia="en-US"/>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DarkList-Accent52">
    <w:name w:val="Dark List - Accent 52"/>
    <w:basedOn w:val="TableNormal"/>
    <w:next w:val="DarkList-Accent5"/>
    <w:uiPriority w:val="70"/>
    <w:rsid w:val="00C8228F"/>
    <w:pPr>
      <w:spacing w:after="0" w:line="240" w:lineRule="auto"/>
    </w:pPr>
    <w:rPr>
      <w:color w:val="FFFFFF"/>
      <w:sz w:val="22"/>
      <w:szCs w:val="22"/>
      <w:lang w:eastAsia="en-US"/>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DarkList-Accent62">
    <w:name w:val="Dark List - Accent 62"/>
    <w:basedOn w:val="TableNormal"/>
    <w:next w:val="DarkList-Accent6"/>
    <w:uiPriority w:val="70"/>
    <w:rsid w:val="00C8228F"/>
    <w:pPr>
      <w:spacing w:after="0" w:line="240" w:lineRule="auto"/>
    </w:pPr>
    <w:rPr>
      <w:color w:val="FFFFFF"/>
      <w:sz w:val="22"/>
      <w:szCs w:val="22"/>
      <w:lang w:eastAsia="en-US"/>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ColorfulShading2">
    <w:name w:val="Colorful Shading2"/>
    <w:basedOn w:val="TableNormal"/>
    <w:next w:val="ColorfulShading"/>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2">
    <w:name w:val="Colorful Shading - Accent 12"/>
    <w:basedOn w:val="TableNormal"/>
    <w:next w:val="ColorfulShading-Accent1"/>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ColorfulShading-Accent22">
    <w:name w:val="Colorful Shading - Accent 22"/>
    <w:basedOn w:val="TableNormal"/>
    <w:next w:val="ColorfulShading-Accent2"/>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ColorfulShading-Accent32">
    <w:name w:val="Colorful Shading - Accent 32"/>
    <w:basedOn w:val="TableNormal"/>
    <w:next w:val="ColorfulShading-Accent3"/>
    <w:uiPriority w:val="71"/>
    <w:rsid w:val="00C8228F"/>
    <w:pPr>
      <w:spacing w:after="0" w:line="240" w:lineRule="auto"/>
    </w:pPr>
    <w:rPr>
      <w:color w:val="000000"/>
      <w:sz w:val="22"/>
      <w:szCs w:val="22"/>
      <w:lang w:eastAsia="en-US"/>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ColorfulShading-Accent42">
    <w:name w:val="Colorful Shading - Accent 42"/>
    <w:basedOn w:val="TableNormal"/>
    <w:next w:val="ColorfulShading-Accent4"/>
    <w:uiPriority w:val="71"/>
    <w:rsid w:val="00C8228F"/>
    <w:pPr>
      <w:spacing w:after="0" w:line="240" w:lineRule="auto"/>
    </w:pPr>
    <w:rPr>
      <w:color w:val="000000"/>
      <w:sz w:val="22"/>
      <w:szCs w:val="22"/>
      <w:lang w:eastAsia="en-US"/>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ColorfulShading-Accent52">
    <w:name w:val="Colorful Shading - Accent 52"/>
    <w:basedOn w:val="TableNormal"/>
    <w:next w:val="ColorfulShading-Accent5"/>
    <w:uiPriority w:val="71"/>
    <w:rsid w:val="00C8228F"/>
    <w:pPr>
      <w:spacing w:after="0" w:line="240" w:lineRule="auto"/>
    </w:pPr>
    <w:rPr>
      <w:color w:val="000000"/>
      <w:sz w:val="22"/>
      <w:szCs w:val="22"/>
      <w:lang w:eastAsia="en-US"/>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ColorfulShading-Accent62">
    <w:name w:val="Colorful Shading - Accent 62"/>
    <w:basedOn w:val="TableNormal"/>
    <w:next w:val="ColorfulShading-Accent6"/>
    <w:uiPriority w:val="71"/>
    <w:rsid w:val="00C8228F"/>
    <w:pPr>
      <w:spacing w:after="0" w:line="240" w:lineRule="auto"/>
    </w:pPr>
    <w:rPr>
      <w:color w:val="000000"/>
      <w:sz w:val="22"/>
      <w:szCs w:val="22"/>
      <w:lang w:eastAsia="en-US"/>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ColorfulList2">
    <w:name w:val="Colorful List2"/>
    <w:basedOn w:val="TableNormal"/>
    <w:next w:val="ColorfulList"/>
    <w:uiPriority w:val="72"/>
    <w:rsid w:val="00C8228F"/>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2">
    <w:name w:val="Colorful List - Accent 12"/>
    <w:basedOn w:val="TableNormal"/>
    <w:next w:val="ColorfulList-Accent1"/>
    <w:uiPriority w:val="72"/>
    <w:rsid w:val="00C8228F"/>
    <w:pPr>
      <w:spacing w:after="0" w:line="240" w:lineRule="auto"/>
    </w:pPr>
    <w:rPr>
      <w:color w:val="000000"/>
      <w:sz w:val="22"/>
      <w:szCs w:val="22"/>
      <w:lang w:eastAsia="en-US"/>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ColorfulList-Accent22">
    <w:name w:val="Colorful List - Accent 22"/>
    <w:basedOn w:val="TableNormal"/>
    <w:next w:val="ColorfulList-Accent2"/>
    <w:uiPriority w:val="72"/>
    <w:rsid w:val="00C8228F"/>
    <w:pPr>
      <w:spacing w:after="0" w:line="240" w:lineRule="auto"/>
    </w:pPr>
    <w:rPr>
      <w:color w:val="000000"/>
      <w:sz w:val="22"/>
      <w:szCs w:val="22"/>
      <w:lang w:eastAsia="en-US"/>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ColorfulList-Accent32">
    <w:name w:val="Colorful List - Accent 32"/>
    <w:basedOn w:val="TableNormal"/>
    <w:next w:val="ColorfulList-Accent3"/>
    <w:uiPriority w:val="72"/>
    <w:rsid w:val="00C8228F"/>
    <w:pPr>
      <w:spacing w:after="0" w:line="240" w:lineRule="auto"/>
    </w:pPr>
    <w:rPr>
      <w:color w:val="000000"/>
      <w:sz w:val="22"/>
      <w:szCs w:val="22"/>
      <w:lang w:eastAsia="en-US"/>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ColorfulList-Accent42">
    <w:name w:val="Colorful List - Accent 42"/>
    <w:basedOn w:val="TableNormal"/>
    <w:next w:val="ColorfulList-Accent4"/>
    <w:uiPriority w:val="72"/>
    <w:rsid w:val="00C8228F"/>
    <w:pPr>
      <w:spacing w:after="0" w:line="240" w:lineRule="auto"/>
    </w:pPr>
    <w:rPr>
      <w:color w:val="000000"/>
      <w:sz w:val="22"/>
      <w:szCs w:val="22"/>
      <w:lang w:eastAsia="en-US"/>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ColorfulList-Accent52">
    <w:name w:val="Colorful List - Accent 52"/>
    <w:basedOn w:val="TableNormal"/>
    <w:next w:val="ColorfulList-Accent5"/>
    <w:uiPriority w:val="72"/>
    <w:rsid w:val="00C8228F"/>
    <w:pPr>
      <w:spacing w:after="0" w:line="240" w:lineRule="auto"/>
    </w:pPr>
    <w:rPr>
      <w:color w:val="000000"/>
      <w:sz w:val="22"/>
      <w:szCs w:val="22"/>
      <w:lang w:eastAsia="en-US"/>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ColorfulList-Accent62">
    <w:name w:val="Colorful List - Accent 62"/>
    <w:basedOn w:val="TableNormal"/>
    <w:next w:val="ColorfulList-Accent6"/>
    <w:uiPriority w:val="72"/>
    <w:rsid w:val="00C8228F"/>
    <w:pPr>
      <w:spacing w:after="0" w:line="240" w:lineRule="auto"/>
    </w:pPr>
    <w:rPr>
      <w:color w:val="000000"/>
      <w:sz w:val="22"/>
      <w:szCs w:val="22"/>
      <w:lang w:eastAsia="en-US"/>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ColorfulGrid2">
    <w:name w:val="Colorful Grid2"/>
    <w:basedOn w:val="TableNormal"/>
    <w:next w:val="ColorfulGrid"/>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2">
    <w:name w:val="Colorful Grid - Accent 12"/>
    <w:basedOn w:val="TableNormal"/>
    <w:next w:val="ColorfulGrid-Accent1"/>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olorfulGrid-Accent22">
    <w:name w:val="Colorful Grid - Accent 22"/>
    <w:basedOn w:val="TableNormal"/>
    <w:next w:val="ColorfulGrid-Accent2"/>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olorfulGrid-Accent32">
    <w:name w:val="Colorful Grid - Accent 32"/>
    <w:basedOn w:val="TableNormal"/>
    <w:next w:val="ColorfulGrid-Accent3"/>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ColorfulGrid-Accent42">
    <w:name w:val="Colorful Grid - Accent 42"/>
    <w:basedOn w:val="TableNormal"/>
    <w:next w:val="ColorfulGrid-Accent4"/>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rfulGrid-Accent52">
    <w:name w:val="Colorful Grid - Accent 52"/>
    <w:basedOn w:val="TableNormal"/>
    <w:next w:val="ColorfulGrid-Accent5"/>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ColorfulGrid-Accent62">
    <w:name w:val="Colorful Grid - Accent 62"/>
    <w:basedOn w:val="TableNormal"/>
    <w:next w:val="ColorfulGrid-Accent6"/>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customStyle="1" w:styleId="GridTable4-Accent11">
    <w:name w:val="Grid Table 4 - Accent 11"/>
    <w:basedOn w:val="TableNormal"/>
    <w:next w:val="Grid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4-Accent11">
    <w:name w:val="List Table 4 - Accent 11"/>
    <w:basedOn w:val="TableNormal"/>
    <w:next w:val="List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tcBorders>
        <w:shd w:val="clear" w:color="auto" w:fill="4F81BD"/>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3-Accent12">
    <w:name w:val="List Table 3 - Accent 12"/>
    <w:basedOn w:val="TableNormal"/>
    <w:next w:val="ListTable3-Accent1"/>
    <w:uiPriority w:val="48"/>
    <w:rsid w:val="00C8228F"/>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GridTable4-Accent1">
    <w:name w:val="Grid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1">
    <w:name w:val="List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GridTable4-Accent12">
    <w:name w:val="Grid Table 4 - Accent 12"/>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2">
    <w:name w:val="List Table 4 - Accent 12"/>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PlainTable4">
    <w:name w:val="Plain Table 4"/>
    <w:basedOn w:val="TableNormal"/>
    <w:uiPriority w:val="44"/>
    <w:rsid w:val="008934A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ghtList-Accent15">
    <w:name w:val="Light List - Accent 15"/>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16">
    <w:name w:val="Light List - Accent 16"/>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NoList4">
    <w:name w:val="No List4"/>
    <w:next w:val="NoList"/>
    <w:uiPriority w:val="99"/>
    <w:semiHidden/>
    <w:unhideWhenUsed/>
    <w:rsid w:val="008934A9"/>
  </w:style>
  <w:style w:type="table" w:customStyle="1" w:styleId="ListTable5Dark2">
    <w:name w:val="List Table 5 Dark2"/>
    <w:basedOn w:val="TableNormal"/>
    <w:next w:val="ListTable5Dark"/>
    <w:uiPriority w:val="50"/>
    <w:rsid w:val="008934A9"/>
    <w:pPr>
      <w:spacing w:after="0" w:line="240" w:lineRule="auto"/>
    </w:pPr>
    <w:rPr>
      <w:rFonts w:eastAsia="Calibri"/>
      <w:color w:val="FFFFFF"/>
      <w:kern w:val="2"/>
      <w:sz w:val="22"/>
      <w:szCs w:val="22"/>
      <w:lang w:val="en-PH" w:eastAsia="en-US"/>
      <w14:ligatures w14:val="standardContextual"/>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2">
    <w:name w:val="List Table 42"/>
    <w:basedOn w:val="TableNormal"/>
    <w:next w:val="ListTable4"/>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9">
    <w:name w:val="Plain Table 29"/>
    <w:basedOn w:val="TableNormal"/>
    <w:next w:val="PlainTable2"/>
    <w:uiPriority w:val="42"/>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7">
    <w:name w:val="Table Grid7"/>
    <w:basedOn w:val="TableNormal"/>
    <w:next w:val="TableGrid"/>
    <w:uiPriority w:val="59"/>
    <w:rsid w:val="008934A9"/>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3">
    <w:name w:val="Light Shading3"/>
    <w:basedOn w:val="TableNormal"/>
    <w:next w:val="LightShading"/>
    <w:uiPriority w:val="60"/>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3">
    <w:name w:val="Light Shading - Accent 13"/>
    <w:basedOn w:val="TableNormal"/>
    <w:next w:val="LightShading-Accent1"/>
    <w:uiPriority w:val="60"/>
    <w:rsid w:val="008934A9"/>
    <w:pPr>
      <w:spacing w:after="0" w:line="240" w:lineRule="auto"/>
    </w:pPr>
    <w:rPr>
      <w:color w:val="2F5496"/>
      <w:sz w:val="22"/>
      <w:szCs w:val="22"/>
      <w:lang w:eastAsia="en-US"/>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3">
    <w:name w:val="Light Shading - Accent 23"/>
    <w:basedOn w:val="TableNormal"/>
    <w:next w:val="LightShading-Accent2"/>
    <w:uiPriority w:val="60"/>
    <w:rsid w:val="008934A9"/>
    <w:pPr>
      <w:spacing w:after="0" w:line="240" w:lineRule="auto"/>
    </w:pPr>
    <w:rPr>
      <w:color w:val="C45911"/>
      <w:sz w:val="22"/>
      <w:szCs w:val="22"/>
      <w:lang w:eastAsia="en-US"/>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3">
    <w:name w:val="Light Shading - Accent 33"/>
    <w:basedOn w:val="TableNormal"/>
    <w:next w:val="LightShading-Accent3"/>
    <w:uiPriority w:val="60"/>
    <w:rsid w:val="008934A9"/>
    <w:pPr>
      <w:spacing w:after="0" w:line="240" w:lineRule="auto"/>
    </w:pPr>
    <w:rPr>
      <w:color w:val="7B7B7B"/>
      <w:sz w:val="22"/>
      <w:szCs w:val="22"/>
      <w:lang w:eastAsia="en-US"/>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3">
    <w:name w:val="Light Shading - Accent 43"/>
    <w:basedOn w:val="TableNormal"/>
    <w:next w:val="LightShading-Accent4"/>
    <w:uiPriority w:val="60"/>
    <w:rsid w:val="008934A9"/>
    <w:pPr>
      <w:spacing w:after="0" w:line="240" w:lineRule="auto"/>
    </w:pPr>
    <w:rPr>
      <w:color w:val="BF8F00"/>
      <w:sz w:val="22"/>
      <w:szCs w:val="22"/>
      <w:lang w:eastAsia="en-US"/>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3">
    <w:name w:val="Light Shading - Accent 53"/>
    <w:basedOn w:val="TableNormal"/>
    <w:next w:val="LightShading-Accent5"/>
    <w:uiPriority w:val="60"/>
    <w:rsid w:val="008934A9"/>
    <w:pPr>
      <w:spacing w:after="0" w:line="240" w:lineRule="auto"/>
    </w:pPr>
    <w:rPr>
      <w:color w:val="2E74B5"/>
      <w:sz w:val="22"/>
      <w:szCs w:val="22"/>
      <w:lang w:eastAsia="en-US"/>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3">
    <w:name w:val="Light Shading - Accent 63"/>
    <w:basedOn w:val="TableNormal"/>
    <w:next w:val="LightShading-Accent6"/>
    <w:uiPriority w:val="60"/>
    <w:rsid w:val="008934A9"/>
    <w:pPr>
      <w:spacing w:after="0" w:line="240" w:lineRule="auto"/>
    </w:pPr>
    <w:rPr>
      <w:color w:val="538135"/>
      <w:sz w:val="22"/>
      <w:szCs w:val="22"/>
      <w:lang w:eastAsia="en-US"/>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3">
    <w:name w:val="Light List3"/>
    <w:basedOn w:val="TableNormal"/>
    <w:next w:val="LightList"/>
    <w:uiPriority w:val="61"/>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7">
    <w:name w:val="Light List - Accent 17"/>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3">
    <w:name w:val="Light List - Accent 23"/>
    <w:basedOn w:val="TableNormal"/>
    <w:next w:val="LightList-Accent2"/>
    <w:uiPriority w:val="61"/>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3">
    <w:name w:val="Light List - Accent 33"/>
    <w:basedOn w:val="TableNormal"/>
    <w:next w:val="LightList-Accent3"/>
    <w:uiPriority w:val="61"/>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3">
    <w:name w:val="Light List - Accent 43"/>
    <w:basedOn w:val="TableNormal"/>
    <w:next w:val="LightList-Accent4"/>
    <w:uiPriority w:val="61"/>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3">
    <w:name w:val="Light List - Accent 53"/>
    <w:basedOn w:val="TableNormal"/>
    <w:next w:val="LightList-Accent5"/>
    <w:uiPriority w:val="61"/>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3">
    <w:name w:val="Light List - Accent 63"/>
    <w:basedOn w:val="TableNormal"/>
    <w:next w:val="LightList-Accent6"/>
    <w:uiPriority w:val="61"/>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3">
    <w:name w:val="Light Grid3"/>
    <w:basedOn w:val="TableNormal"/>
    <w:next w:val="LightGrid"/>
    <w:uiPriority w:val="62"/>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3">
    <w:name w:val="Light Grid - Accent 13"/>
    <w:basedOn w:val="TableNormal"/>
    <w:next w:val="LightGrid-Accent1"/>
    <w:uiPriority w:val="62"/>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3">
    <w:name w:val="Light Grid - Accent 23"/>
    <w:basedOn w:val="TableNormal"/>
    <w:next w:val="LightGrid-Accent2"/>
    <w:uiPriority w:val="62"/>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3">
    <w:name w:val="Light Grid - Accent 33"/>
    <w:basedOn w:val="TableNormal"/>
    <w:next w:val="LightGrid-Accent3"/>
    <w:uiPriority w:val="62"/>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3">
    <w:name w:val="Light Grid - Accent 43"/>
    <w:basedOn w:val="TableNormal"/>
    <w:next w:val="LightGrid-Accent4"/>
    <w:uiPriority w:val="62"/>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3">
    <w:name w:val="Light Grid - Accent 53"/>
    <w:basedOn w:val="TableNormal"/>
    <w:next w:val="LightGrid-Accent5"/>
    <w:uiPriority w:val="62"/>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3">
    <w:name w:val="Light Grid - Accent 63"/>
    <w:basedOn w:val="TableNormal"/>
    <w:next w:val="LightGrid-Accent6"/>
    <w:uiPriority w:val="62"/>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3">
    <w:name w:val="Medium Shading 13"/>
    <w:basedOn w:val="TableNormal"/>
    <w:next w:val="MediumShading1"/>
    <w:uiPriority w:val="63"/>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3">
    <w:name w:val="Medium Shading 1 - Accent 23"/>
    <w:basedOn w:val="TableNormal"/>
    <w:next w:val="MediumShading1-Accent2"/>
    <w:uiPriority w:val="63"/>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3">
    <w:name w:val="Medium Shading 1 - Accent 33"/>
    <w:basedOn w:val="TableNormal"/>
    <w:next w:val="MediumShading1-Accent3"/>
    <w:uiPriority w:val="63"/>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3">
    <w:name w:val="Medium Shading 1 - Accent 43"/>
    <w:basedOn w:val="TableNormal"/>
    <w:next w:val="MediumShading1-Accent4"/>
    <w:uiPriority w:val="63"/>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3">
    <w:name w:val="Medium Shading 1 - Accent 53"/>
    <w:basedOn w:val="TableNormal"/>
    <w:next w:val="MediumShading1-Accent5"/>
    <w:uiPriority w:val="63"/>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3">
    <w:name w:val="Medium Shading 1 - Accent 63"/>
    <w:basedOn w:val="TableNormal"/>
    <w:next w:val="MediumShading1-Accent6"/>
    <w:uiPriority w:val="63"/>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3">
    <w:name w:val="Medium Shading 23"/>
    <w:basedOn w:val="TableNormal"/>
    <w:next w:val="MediumShading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3">
    <w:name w:val="Medium Shading 2 - Accent 13"/>
    <w:basedOn w:val="TableNormal"/>
    <w:next w:val="MediumShading2-Accent1"/>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3">
    <w:name w:val="Medium Shading 2 - Accent 23"/>
    <w:basedOn w:val="TableNormal"/>
    <w:next w:val="MediumShading2-Accent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3">
    <w:name w:val="Medium Shading 2 - Accent 33"/>
    <w:basedOn w:val="TableNormal"/>
    <w:next w:val="MediumShading2-Accent3"/>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3">
    <w:name w:val="Medium Shading 2 - Accent 43"/>
    <w:basedOn w:val="TableNormal"/>
    <w:next w:val="MediumShading2-Accent4"/>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3">
    <w:name w:val="Medium Shading 2 - Accent 53"/>
    <w:basedOn w:val="TableNormal"/>
    <w:next w:val="MediumShading2-Accent5"/>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3">
    <w:name w:val="Medium Shading 2 - Accent 63"/>
    <w:basedOn w:val="TableNormal"/>
    <w:next w:val="MediumShading2-Accent6"/>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3">
    <w:name w:val="Medium List 13"/>
    <w:basedOn w:val="TableNormal"/>
    <w:next w:val="MediumList1"/>
    <w:uiPriority w:val="65"/>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3">
    <w:name w:val="Medium List 1 - Accent 13"/>
    <w:basedOn w:val="TableNormal"/>
    <w:next w:val="MediumList1-Accent1"/>
    <w:uiPriority w:val="65"/>
    <w:rsid w:val="008934A9"/>
    <w:pPr>
      <w:spacing w:after="0" w:line="240" w:lineRule="auto"/>
    </w:pPr>
    <w:rPr>
      <w:color w:val="000000"/>
      <w:sz w:val="22"/>
      <w:szCs w:val="22"/>
      <w:lang w:eastAsia="en-US"/>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3">
    <w:name w:val="Medium List 1 - Accent 23"/>
    <w:basedOn w:val="TableNormal"/>
    <w:next w:val="MediumList1-Accent2"/>
    <w:uiPriority w:val="65"/>
    <w:rsid w:val="008934A9"/>
    <w:pPr>
      <w:spacing w:after="0" w:line="240" w:lineRule="auto"/>
    </w:pPr>
    <w:rPr>
      <w:color w:val="000000"/>
      <w:sz w:val="22"/>
      <w:szCs w:val="22"/>
      <w:lang w:eastAsia="en-US"/>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3">
    <w:name w:val="Medium List 1 - Accent 33"/>
    <w:basedOn w:val="TableNormal"/>
    <w:next w:val="MediumList1-Accent3"/>
    <w:uiPriority w:val="65"/>
    <w:rsid w:val="008934A9"/>
    <w:pPr>
      <w:spacing w:after="0" w:line="240" w:lineRule="auto"/>
    </w:pPr>
    <w:rPr>
      <w:color w:val="000000"/>
      <w:sz w:val="22"/>
      <w:szCs w:val="22"/>
      <w:lang w:eastAsia="en-US"/>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3">
    <w:name w:val="Medium List 1 - Accent 43"/>
    <w:basedOn w:val="TableNormal"/>
    <w:next w:val="MediumList1-Accent4"/>
    <w:uiPriority w:val="65"/>
    <w:rsid w:val="008934A9"/>
    <w:pPr>
      <w:spacing w:after="0" w:line="240" w:lineRule="auto"/>
    </w:pPr>
    <w:rPr>
      <w:color w:val="000000"/>
      <w:sz w:val="22"/>
      <w:szCs w:val="22"/>
      <w:lang w:eastAsia="en-US"/>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3">
    <w:name w:val="Medium List 1 - Accent 53"/>
    <w:basedOn w:val="TableNormal"/>
    <w:next w:val="MediumList1-Accent5"/>
    <w:uiPriority w:val="65"/>
    <w:rsid w:val="008934A9"/>
    <w:pPr>
      <w:spacing w:after="0" w:line="240" w:lineRule="auto"/>
    </w:pPr>
    <w:rPr>
      <w:color w:val="000000"/>
      <w:sz w:val="22"/>
      <w:szCs w:val="22"/>
      <w:lang w:eastAsia="en-US"/>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3">
    <w:name w:val="Medium List 1 - Accent 63"/>
    <w:basedOn w:val="TableNormal"/>
    <w:next w:val="MediumList1-Accent6"/>
    <w:uiPriority w:val="65"/>
    <w:rsid w:val="008934A9"/>
    <w:pPr>
      <w:spacing w:after="0" w:line="240" w:lineRule="auto"/>
    </w:pPr>
    <w:rPr>
      <w:color w:val="000000"/>
      <w:sz w:val="22"/>
      <w:szCs w:val="22"/>
      <w:lang w:eastAsia="en-US"/>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3">
    <w:name w:val="Medium List 23"/>
    <w:basedOn w:val="TableNormal"/>
    <w:next w:val="MediumLis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3">
    <w:name w:val="Medium List 2 - Accent 13"/>
    <w:basedOn w:val="TableNormal"/>
    <w:next w:val="MediumList2-Accent1"/>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3">
    <w:name w:val="Medium List 2 - Accent 23"/>
    <w:basedOn w:val="TableNormal"/>
    <w:next w:val="MediumList2-Accen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3">
    <w:name w:val="Medium List 2 - Accent 33"/>
    <w:basedOn w:val="TableNormal"/>
    <w:next w:val="MediumList2-Accent3"/>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3">
    <w:name w:val="Medium List 2 - Accent 43"/>
    <w:basedOn w:val="TableNormal"/>
    <w:next w:val="MediumList2-Accent4"/>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3">
    <w:name w:val="Medium List 2 - Accent 53"/>
    <w:basedOn w:val="TableNormal"/>
    <w:next w:val="MediumList2-Accent5"/>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3">
    <w:name w:val="Medium List 2 - Accent 63"/>
    <w:basedOn w:val="TableNormal"/>
    <w:next w:val="MediumList2-Accent6"/>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3">
    <w:name w:val="Medium Grid 13"/>
    <w:basedOn w:val="TableNormal"/>
    <w:next w:val="MediumGrid1"/>
    <w:uiPriority w:val="67"/>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3">
    <w:name w:val="Medium Grid 1 - Accent 13"/>
    <w:basedOn w:val="TableNormal"/>
    <w:next w:val="MediumGrid1-Accent1"/>
    <w:uiPriority w:val="67"/>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3">
    <w:name w:val="Medium Grid 1 - Accent 23"/>
    <w:basedOn w:val="TableNormal"/>
    <w:next w:val="MediumGrid1-Accent2"/>
    <w:uiPriority w:val="67"/>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3">
    <w:name w:val="Medium Grid 1 - Accent 33"/>
    <w:basedOn w:val="TableNormal"/>
    <w:next w:val="MediumGrid1-Accent3"/>
    <w:uiPriority w:val="67"/>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3">
    <w:name w:val="Medium Grid 1 - Accent 43"/>
    <w:basedOn w:val="TableNormal"/>
    <w:next w:val="MediumGrid1-Accent4"/>
    <w:uiPriority w:val="67"/>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3">
    <w:name w:val="Medium Grid 1 - Accent 53"/>
    <w:basedOn w:val="TableNormal"/>
    <w:next w:val="MediumGrid1-Accent5"/>
    <w:uiPriority w:val="67"/>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3">
    <w:name w:val="Medium Grid 1 - Accent 63"/>
    <w:basedOn w:val="TableNormal"/>
    <w:next w:val="MediumGrid1-Accent6"/>
    <w:uiPriority w:val="67"/>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3">
    <w:name w:val="Medium Grid 23"/>
    <w:basedOn w:val="TableNormal"/>
    <w:next w:val="MediumGrid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3">
    <w:name w:val="Medium Grid 2 - Accent 13"/>
    <w:basedOn w:val="TableNormal"/>
    <w:next w:val="MediumGrid2-Accent1"/>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3">
    <w:name w:val="Medium Grid 2 - Accent 23"/>
    <w:basedOn w:val="TableNormal"/>
    <w:next w:val="MediumGrid2-Accent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3">
    <w:name w:val="Medium Grid 2 - Accent 33"/>
    <w:basedOn w:val="TableNormal"/>
    <w:next w:val="MediumGrid2-Accent3"/>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3">
    <w:name w:val="Medium Grid 2 - Accent 43"/>
    <w:basedOn w:val="TableNormal"/>
    <w:next w:val="MediumGrid2-Accent4"/>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3">
    <w:name w:val="Medium Grid 2 - Accent 53"/>
    <w:basedOn w:val="TableNormal"/>
    <w:next w:val="MediumGrid2-Accent5"/>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3">
    <w:name w:val="Medium Grid 2 - Accent 63"/>
    <w:basedOn w:val="TableNormal"/>
    <w:next w:val="MediumGrid2-Accent6"/>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3">
    <w:name w:val="Medium Grid 33"/>
    <w:basedOn w:val="TableNormal"/>
    <w:next w:val="MediumGrid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3">
    <w:name w:val="Medium Grid 3 - Accent 13"/>
    <w:basedOn w:val="TableNormal"/>
    <w:next w:val="MediumGrid3-Accent1"/>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3">
    <w:name w:val="Medium Grid 3 - Accent 23"/>
    <w:basedOn w:val="TableNormal"/>
    <w:next w:val="MediumGrid3-Accent2"/>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3">
    <w:name w:val="Medium Grid 3 - Accent 33"/>
    <w:basedOn w:val="TableNormal"/>
    <w:next w:val="MediumGrid3-Accent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3">
    <w:name w:val="Medium Grid 3 - Accent 43"/>
    <w:basedOn w:val="TableNormal"/>
    <w:next w:val="MediumGrid3-Accent4"/>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3">
    <w:name w:val="Medium Grid 3 - Accent 53"/>
    <w:basedOn w:val="TableNormal"/>
    <w:next w:val="MediumGrid3-Accent5"/>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3">
    <w:name w:val="Medium Grid 3 - Accent 63"/>
    <w:basedOn w:val="TableNormal"/>
    <w:next w:val="MediumGrid3-Accent6"/>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3">
    <w:name w:val="Dark List3"/>
    <w:basedOn w:val="TableNormal"/>
    <w:next w:val="DarkList"/>
    <w:uiPriority w:val="70"/>
    <w:rsid w:val="008934A9"/>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3">
    <w:name w:val="Dark List - Accent 13"/>
    <w:basedOn w:val="TableNormal"/>
    <w:next w:val="DarkList-Accent1"/>
    <w:uiPriority w:val="70"/>
    <w:rsid w:val="008934A9"/>
    <w:pPr>
      <w:spacing w:after="0" w:line="240" w:lineRule="auto"/>
    </w:pPr>
    <w:rPr>
      <w:color w:val="FFFFFF"/>
      <w:sz w:val="22"/>
      <w:szCs w:val="22"/>
      <w:lang w:eastAsia="en-US"/>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3">
    <w:name w:val="Dark List - Accent 23"/>
    <w:basedOn w:val="TableNormal"/>
    <w:next w:val="DarkList-Accent2"/>
    <w:uiPriority w:val="70"/>
    <w:rsid w:val="008934A9"/>
    <w:pPr>
      <w:spacing w:after="0" w:line="240" w:lineRule="auto"/>
    </w:pPr>
    <w:rPr>
      <w:color w:val="FFFFFF"/>
      <w:sz w:val="22"/>
      <w:szCs w:val="22"/>
      <w:lang w:eastAsia="en-US"/>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3">
    <w:name w:val="Dark List - Accent 33"/>
    <w:basedOn w:val="TableNormal"/>
    <w:next w:val="DarkList-Accent3"/>
    <w:uiPriority w:val="70"/>
    <w:rsid w:val="008934A9"/>
    <w:pPr>
      <w:spacing w:after="0" w:line="240" w:lineRule="auto"/>
    </w:pPr>
    <w:rPr>
      <w:color w:val="FFFFFF"/>
      <w:sz w:val="22"/>
      <w:szCs w:val="22"/>
      <w:lang w:eastAsia="en-US"/>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3">
    <w:name w:val="Dark List - Accent 43"/>
    <w:basedOn w:val="TableNormal"/>
    <w:next w:val="DarkList-Accent4"/>
    <w:uiPriority w:val="70"/>
    <w:rsid w:val="008934A9"/>
    <w:pPr>
      <w:spacing w:after="0" w:line="240" w:lineRule="auto"/>
    </w:pPr>
    <w:rPr>
      <w:color w:val="FFFFFF"/>
      <w:sz w:val="22"/>
      <w:szCs w:val="22"/>
      <w:lang w:eastAsia="en-US"/>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3">
    <w:name w:val="Dark List - Accent 53"/>
    <w:basedOn w:val="TableNormal"/>
    <w:next w:val="DarkList-Accent5"/>
    <w:uiPriority w:val="70"/>
    <w:rsid w:val="008934A9"/>
    <w:pPr>
      <w:spacing w:after="0" w:line="240" w:lineRule="auto"/>
    </w:pPr>
    <w:rPr>
      <w:color w:val="FFFFFF"/>
      <w:sz w:val="22"/>
      <w:szCs w:val="22"/>
      <w:lang w:eastAsia="en-US"/>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3">
    <w:name w:val="Dark List - Accent 63"/>
    <w:basedOn w:val="TableNormal"/>
    <w:next w:val="DarkList-Accent6"/>
    <w:uiPriority w:val="70"/>
    <w:rsid w:val="008934A9"/>
    <w:pPr>
      <w:spacing w:after="0" w:line="240" w:lineRule="auto"/>
    </w:pPr>
    <w:rPr>
      <w:color w:val="FFFFFF"/>
      <w:sz w:val="22"/>
      <w:szCs w:val="22"/>
      <w:lang w:eastAsia="en-US"/>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3">
    <w:name w:val="Colorful Shading3"/>
    <w:basedOn w:val="TableNormal"/>
    <w:next w:val="ColorfulShading"/>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3">
    <w:name w:val="Colorful Shading - Accent 13"/>
    <w:basedOn w:val="TableNormal"/>
    <w:next w:val="ColorfulShading-Accent1"/>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3">
    <w:name w:val="Colorful Shading - Accent 23"/>
    <w:basedOn w:val="TableNormal"/>
    <w:next w:val="ColorfulShading-Accent2"/>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3">
    <w:name w:val="Colorful Shading - Accent 33"/>
    <w:basedOn w:val="TableNormal"/>
    <w:next w:val="ColorfulShading-Accent3"/>
    <w:uiPriority w:val="71"/>
    <w:rsid w:val="008934A9"/>
    <w:pPr>
      <w:spacing w:after="0" w:line="240" w:lineRule="auto"/>
    </w:pPr>
    <w:rPr>
      <w:color w:val="000000"/>
      <w:sz w:val="22"/>
      <w:szCs w:val="22"/>
      <w:lang w:eastAsia="en-US"/>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3">
    <w:name w:val="Colorful Shading - Accent 43"/>
    <w:basedOn w:val="TableNormal"/>
    <w:next w:val="ColorfulShading-Accent4"/>
    <w:uiPriority w:val="71"/>
    <w:rsid w:val="008934A9"/>
    <w:pPr>
      <w:spacing w:after="0" w:line="240" w:lineRule="auto"/>
    </w:pPr>
    <w:rPr>
      <w:color w:val="000000"/>
      <w:sz w:val="22"/>
      <w:szCs w:val="22"/>
      <w:lang w:eastAsia="en-US"/>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3">
    <w:name w:val="Colorful Shading - Accent 53"/>
    <w:basedOn w:val="TableNormal"/>
    <w:next w:val="ColorfulShading-Accent5"/>
    <w:uiPriority w:val="71"/>
    <w:rsid w:val="008934A9"/>
    <w:pPr>
      <w:spacing w:after="0" w:line="240" w:lineRule="auto"/>
    </w:pPr>
    <w:rPr>
      <w:color w:val="000000"/>
      <w:sz w:val="22"/>
      <w:szCs w:val="22"/>
      <w:lang w:eastAsia="en-US"/>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3">
    <w:name w:val="Colorful Shading - Accent 63"/>
    <w:basedOn w:val="TableNormal"/>
    <w:next w:val="ColorfulShading-Accent6"/>
    <w:uiPriority w:val="71"/>
    <w:rsid w:val="008934A9"/>
    <w:pPr>
      <w:spacing w:after="0" w:line="240" w:lineRule="auto"/>
    </w:pPr>
    <w:rPr>
      <w:color w:val="000000"/>
      <w:sz w:val="22"/>
      <w:szCs w:val="22"/>
      <w:lang w:eastAsia="en-US"/>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3">
    <w:name w:val="Colorful List3"/>
    <w:basedOn w:val="TableNormal"/>
    <w:next w:val="ColorfulList"/>
    <w:uiPriority w:val="72"/>
    <w:rsid w:val="008934A9"/>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3">
    <w:name w:val="Colorful List - Accent 13"/>
    <w:basedOn w:val="TableNormal"/>
    <w:next w:val="ColorfulList-Accent1"/>
    <w:uiPriority w:val="72"/>
    <w:rsid w:val="008934A9"/>
    <w:pPr>
      <w:spacing w:after="0" w:line="240" w:lineRule="auto"/>
    </w:pPr>
    <w:rPr>
      <w:color w:val="000000"/>
      <w:sz w:val="22"/>
      <w:szCs w:val="22"/>
      <w:lang w:eastAsia="en-US"/>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3">
    <w:name w:val="Colorful List - Accent 23"/>
    <w:basedOn w:val="TableNormal"/>
    <w:next w:val="ColorfulList-Accent2"/>
    <w:uiPriority w:val="72"/>
    <w:rsid w:val="008934A9"/>
    <w:pPr>
      <w:spacing w:after="0" w:line="240" w:lineRule="auto"/>
    </w:pPr>
    <w:rPr>
      <w:color w:val="000000"/>
      <w:sz w:val="22"/>
      <w:szCs w:val="22"/>
      <w:lang w:eastAsia="en-US"/>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3">
    <w:name w:val="Colorful List - Accent 33"/>
    <w:basedOn w:val="TableNormal"/>
    <w:next w:val="ColorfulList-Accent3"/>
    <w:uiPriority w:val="72"/>
    <w:rsid w:val="008934A9"/>
    <w:pPr>
      <w:spacing w:after="0" w:line="240" w:lineRule="auto"/>
    </w:pPr>
    <w:rPr>
      <w:color w:val="000000"/>
      <w:sz w:val="22"/>
      <w:szCs w:val="22"/>
      <w:lang w:eastAsia="en-US"/>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3">
    <w:name w:val="Colorful List - Accent 43"/>
    <w:basedOn w:val="TableNormal"/>
    <w:next w:val="ColorfulList-Accent4"/>
    <w:uiPriority w:val="72"/>
    <w:rsid w:val="008934A9"/>
    <w:pPr>
      <w:spacing w:after="0" w:line="240" w:lineRule="auto"/>
    </w:pPr>
    <w:rPr>
      <w:color w:val="000000"/>
      <w:sz w:val="22"/>
      <w:szCs w:val="22"/>
      <w:lang w:eastAsia="en-US"/>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3">
    <w:name w:val="Colorful List - Accent 53"/>
    <w:basedOn w:val="TableNormal"/>
    <w:next w:val="ColorfulList-Accent5"/>
    <w:uiPriority w:val="72"/>
    <w:rsid w:val="008934A9"/>
    <w:pPr>
      <w:spacing w:after="0" w:line="240" w:lineRule="auto"/>
    </w:pPr>
    <w:rPr>
      <w:color w:val="000000"/>
      <w:sz w:val="22"/>
      <w:szCs w:val="22"/>
      <w:lang w:eastAsia="en-US"/>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3">
    <w:name w:val="Colorful List - Accent 63"/>
    <w:basedOn w:val="TableNormal"/>
    <w:next w:val="ColorfulList-Accent6"/>
    <w:uiPriority w:val="72"/>
    <w:rsid w:val="008934A9"/>
    <w:pPr>
      <w:spacing w:after="0" w:line="240" w:lineRule="auto"/>
    </w:pPr>
    <w:rPr>
      <w:color w:val="000000"/>
      <w:sz w:val="22"/>
      <w:szCs w:val="22"/>
      <w:lang w:eastAsia="en-US"/>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3">
    <w:name w:val="Colorful Grid3"/>
    <w:basedOn w:val="TableNormal"/>
    <w:next w:val="ColorfulGrid"/>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3">
    <w:name w:val="Colorful Grid - Accent 13"/>
    <w:basedOn w:val="TableNormal"/>
    <w:next w:val="ColorfulGrid-Accent1"/>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3">
    <w:name w:val="Colorful Grid - Accent 23"/>
    <w:basedOn w:val="TableNormal"/>
    <w:next w:val="ColorfulGrid-Accent2"/>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3">
    <w:name w:val="Colorful Grid - Accent 33"/>
    <w:basedOn w:val="TableNormal"/>
    <w:next w:val="ColorfulGrid-Accent3"/>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3">
    <w:name w:val="Colorful Grid - Accent 43"/>
    <w:basedOn w:val="TableNormal"/>
    <w:next w:val="ColorfulGrid-Accent4"/>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3">
    <w:name w:val="Colorful Grid - Accent 53"/>
    <w:basedOn w:val="TableNormal"/>
    <w:next w:val="ColorfulGrid-Accent5"/>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3">
    <w:name w:val="Colorful Grid - Accent 63"/>
    <w:basedOn w:val="TableNormal"/>
    <w:next w:val="ColorfulGrid-Accent6"/>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customStyle="1" w:styleId="GridTable3-Accent31">
    <w:name w:val="Grid Table 3 - Accent 31"/>
    <w:basedOn w:val="TableNormal"/>
    <w:next w:val="GridTable3-Accent3"/>
    <w:uiPriority w:val="48"/>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GridTable4-Accent13">
    <w:name w:val="Grid Table 4 - Accent 13"/>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3">
    <w:name w:val="List Table 4 - Accent 13"/>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3-Accent13">
    <w:name w:val="List Table 3 - Accent 13"/>
    <w:basedOn w:val="TableNormal"/>
    <w:next w:val="ListTable3-Accent1"/>
    <w:uiPriority w:val="48"/>
    <w:rsid w:val="008934A9"/>
    <w:pPr>
      <w:spacing w:after="0" w:line="240" w:lineRule="auto"/>
    </w:pPr>
    <w:rPr>
      <w:sz w:val="22"/>
      <w:szCs w:val="22"/>
      <w:lang w:eastAsia="en-US"/>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GridTable3-Accent3">
    <w:name w:val="Grid Table 3 Accent 3"/>
    <w:basedOn w:val="TableNormal"/>
    <w:uiPriority w:val="48"/>
    <w:rsid w:val="008934A9"/>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paragraph" w:styleId="TOC1">
    <w:name w:val="toc 1"/>
    <w:basedOn w:val="Normal"/>
    <w:next w:val="Normal"/>
    <w:autoRedefine/>
    <w:uiPriority w:val="39"/>
    <w:unhideWhenUsed/>
    <w:rsid w:val="001B3436"/>
    <w:pPr>
      <w:tabs>
        <w:tab w:val="right" w:leader="dot" w:pos="9350"/>
      </w:tabs>
      <w:spacing w:after="100"/>
    </w:pPr>
    <w:rPr>
      <w:rFonts w:eastAsiaTheme="majorEastAsia"/>
      <w:b/>
      <w:bCs/>
      <w:noProof/>
    </w:rPr>
  </w:style>
  <w:style w:type="paragraph" w:styleId="TOC2">
    <w:name w:val="toc 2"/>
    <w:basedOn w:val="Normal"/>
    <w:next w:val="Normal"/>
    <w:autoRedefine/>
    <w:uiPriority w:val="39"/>
    <w:unhideWhenUsed/>
    <w:rsid w:val="00AC58D8"/>
    <w:pPr>
      <w:tabs>
        <w:tab w:val="right" w:leader="dot" w:pos="9350"/>
      </w:tabs>
      <w:spacing w:after="100"/>
      <w:ind w:left="920" w:firstLine="0"/>
      <w:jc w:val="left"/>
    </w:pPr>
  </w:style>
  <w:style w:type="paragraph" w:styleId="TOC3">
    <w:name w:val="toc 3"/>
    <w:basedOn w:val="Normal"/>
    <w:next w:val="Normal"/>
    <w:autoRedefine/>
    <w:uiPriority w:val="39"/>
    <w:unhideWhenUsed/>
    <w:rsid w:val="00AC58D8"/>
    <w:pPr>
      <w:tabs>
        <w:tab w:val="right" w:leader="dot" w:pos="9350"/>
      </w:tabs>
      <w:spacing w:after="100"/>
      <w:ind w:left="1120" w:firstLine="0"/>
      <w:jc w:val="left"/>
    </w:pPr>
  </w:style>
  <w:style w:type="paragraph" w:styleId="TOC4">
    <w:name w:val="toc 4"/>
    <w:basedOn w:val="Normal"/>
    <w:next w:val="Normal"/>
    <w:autoRedefine/>
    <w:uiPriority w:val="39"/>
    <w:unhideWhenUsed/>
    <w:rsid w:val="000060BC"/>
    <w:pPr>
      <w:spacing w:after="100" w:line="278" w:lineRule="auto"/>
      <w:ind w:left="72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5">
    <w:name w:val="toc 5"/>
    <w:basedOn w:val="Normal"/>
    <w:next w:val="Normal"/>
    <w:autoRedefine/>
    <w:uiPriority w:val="39"/>
    <w:unhideWhenUsed/>
    <w:rsid w:val="000060BC"/>
    <w:pPr>
      <w:spacing w:after="100" w:line="278" w:lineRule="auto"/>
      <w:ind w:left="96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6">
    <w:name w:val="toc 6"/>
    <w:basedOn w:val="Normal"/>
    <w:next w:val="Normal"/>
    <w:autoRedefine/>
    <w:uiPriority w:val="39"/>
    <w:unhideWhenUsed/>
    <w:rsid w:val="000060BC"/>
    <w:pPr>
      <w:spacing w:after="100" w:line="278" w:lineRule="auto"/>
      <w:ind w:left="120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7">
    <w:name w:val="toc 7"/>
    <w:basedOn w:val="Normal"/>
    <w:next w:val="Normal"/>
    <w:autoRedefine/>
    <w:uiPriority w:val="39"/>
    <w:unhideWhenUsed/>
    <w:rsid w:val="000060BC"/>
    <w:pPr>
      <w:spacing w:after="100" w:line="278" w:lineRule="auto"/>
      <w:ind w:left="144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8">
    <w:name w:val="toc 8"/>
    <w:basedOn w:val="Normal"/>
    <w:next w:val="Normal"/>
    <w:autoRedefine/>
    <w:uiPriority w:val="39"/>
    <w:unhideWhenUsed/>
    <w:rsid w:val="000060BC"/>
    <w:pPr>
      <w:spacing w:after="100" w:line="278" w:lineRule="auto"/>
      <w:ind w:left="168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9">
    <w:name w:val="toc 9"/>
    <w:basedOn w:val="Normal"/>
    <w:next w:val="Normal"/>
    <w:autoRedefine/>
    <w:uiPriority w:val="39"/>
    <w:unhideWhenUsed/>
    <w:rsid w:val="000060BC"/>
    <w:pPr>
      <w:spacing w:after="100" w:line="278" w:lineRule="auto"/>
      <w:ind w:left="1920" w:firstLine="0"/>
      <w:jc w:val="left"/>
    </w:pPr>
    <w:rPr>
      <w:rFonts w:asciiTheme="minorHAnsi" w:eastAsiaTheme="minorEastAsia" w:hAnsiTheme="minorHAnsi" w:cstheme="minorBidi"/>
      <w:color w:val="auto"/>
      <w:kern w:val="2"/>
      <w:sz w:val="24"/>
      <w:szCs w:val="24"/>
      <w:lang w:val="en-PH" w:eastAsia="en-PH"/>
      <w14:ligatures w14:val="standardContextual"/>
    </w:rPr>
  </w:style>
  <w:style w:type="table" w:customStyle="1" w:styleId="PlainTable211">
    <w:name w:val="Plain Table 211"/>
    <w:basedOn w:val="TableNormal"/>
    <w:next w:val="PlainTable2"/>
    <w:uiPriority w:val="42"/>
    <w:rsid w:val="009816FE"/>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8">
    <w:name w:val="Table Grid8"/>
    <w:basedOn w:val="TableNormal"/>
    <w:next w:val="TableGrid"/>
    <w:uiPriority w:val="39"/>
    <w:rsid w:val="00556B97"/>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0">
    <w:name w:val="Plain Table 210"/>
    <w:basedOn w:val="TableNormal"/>
    <w:next w:val="PlainTable2"/>
    <w:uiPriority w:val="42"/>
    <w:rsid w:val="00785F54"/>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2">
    <w:name w:val="Plain Table 212"/>
    <w:basedOn w:val="TableNormal"/>
    <w:next w:val="PlainTable2"/>
    <w:uiPriority w:val="42"/>
    <w:rsid w:val="003446B8"/>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3">
    <w:name w:val="Plain Table 213"/>
    <w:basedOn w:val="TableNormal"/>
    <w:next w:val="PlainTable2"/>
    <w:uiPriority w:val="42"/>
    <w:rsid w:val="00321300"/>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40701">
      <w:bodyDiv w:val="1"/>
      <w:marLeft w:val="0"/>
      <w:marRight w:val="0"/>
      <w:marTop w:val="0"/>
      <w:marBottom w:val="0"/>
      <w:divBdr>
        <w:top w:val="none" w:sz="0" w:space="0" w:color="auto"/>
        <w:left w:val="none" w:sz="0" w:space="0" w:color="auto"/>
        <w:bottom w:val="none" w:sz="0" w:space="0" w:color="auto"/>
        <w:right w:val="none" w:sz="0" w:space="0" w:color="auto"/>
      </w:divBdr>
    </w:div>
    <w:div w:id="83769989">
      <w:bodyDiv w:val="1"/>
      <w:marLeft w:val="0"/>
      <w:marRight w:val="0"/>
      <w:marTop w:val="0"/>
      <w:marBottom w:val="0"/>
      <w:divBdr>
        <w:top w:val="none" w:sz="0" w:space="0" w:color="auto"/>
        <w:left w:val="none" w:sz="0" w:space="0" w:color="auto"/>
        <w:bottom w:val="none" w:sz="0" w:space="0" w:color="auto"/>
        <w:right w:val="none" w:sz="0" w:space="0" w:color="auto"/>
      </w:divBdr>
    </w:div>
    <w:div w:id="118693112">
      <w:bodyDiv w:val="1"/>
      <w:marLeft w:val="0"/>
      <w:marRight w:val="0"/>
      <w:marTop w:val="0"/>
      <w:marBottom w:val="0"/>
      <w:divBdr>
        <w:top w:val="none" w:sz="0" w:space="0" w:color="auto"/>
        <w:left w:val="none" w:sz="0" w:space="0" w:color="auto"/>
        <w:bottom w:val="none" w:sz="0" w:space="0" w:color="auto"/>
        <w:right w:val="none" w:sz="0" w:space="0" w:color="auto"/>
      </w:divBdr>
    </w:div>
    <w:div w:id="192420574">
      <w:bodyDiv w:val="1"/>
      <w:marLeft w:val="0"/>
      <w:marRight w:val="0"/>
      <w:marTop w:val="0"/>
      <w:marBottom w:val="0"/>
      <w:divBdr>
        <w:top w:val="none" w:sz="0" w:space="0" w:color="auto"/>
        <w:left w:val="none" w:sz="0" w:space="0" w:color="auto"/>
        <w:bottom w:val="none" w:sz="0" w:space="0" w:color="auto"/>
        <w:right w:val="none" w:sz="0" w:space="0" w:color="auto"/>
      </w:divBdr>
    </w:div>
    <w:div w:id="202330643">
      <w:bodyDiv w:val="1"/>
      <w:marLeft w:val="0"/>
      <w:marRight w:val="0"/>
      <w:marTop w:val="0"/>
      <w:marBottom w:val="0"/>
      <w:divBdr>
        <w:top w:val="none" w:sz="0" w:space="0" w:color="auto"/>
        <w:left w:val="none" w:sz="0" w:space="0" w:color="auto"/>
        <w:bottom w:val="none" w:sz="0" w:space="0" w:color="auto"/>
        <w:right w:val="none" w:sz="0" w:space="0" w:color="auto"/>
      </w:divBdr>
    </w:div>
    <w:div w:id="270867270">
      <w:bodyDiv w:val="1"/>
      <w:marLeft w:val="0"/>
      <w:marRight w:val="0"/>
      <w:marTop w:val="0"/>
      <w:marBottom w:val="0"/>
      <w:divBdr>
        <w:top w:val="none" w:sz="0" w:space="0" w:color="auto"/>
        <w:left w:val="none" w:sz="0" w:space="0" w:color="auto"/>
        <w:bottom w:val="none" w:sz="0" w:space="0" w:color="auto"/>
        <w:right w:val="none" w:sz="0" w:space="0" w:color="auto"/>
      </w:divBdr>
    </w:div>
    <w:div w:id="308287215">
      <w:bodyDiv w:val="1"/>
      <w:marLeft w:val="0"/>
      <w:marRight w:val="0"/>
      <w:marTop w:val="0"/>
      <w:marBottom w:val="0"/>
      <w:divBdr>
        <w:top w:val="none" w:sz="0" w:space="0" w:color="auto"/>
        <w:left w:val="none" w:sz="0" w:space="0" w:color="auto"/>
        <w:bottom w:val="none" w:sz="0" w:space="0" w:color="auto"/>
        <w:right w:val="none" w:sz="0" w:space="0" w:color="auto"/>
      </w:divBdr>
    </w:div>
    <w:div w:id="318309211">
      <w:bodyDiv w:val="1"/>
      <w:marLeft w:val="0"/>
      <w:marRight w:val="0"/>
      <w:marTop w:val="0"/>
      <w:marBottom w:val="0"/>
      <w:divBdr>
        <w:top w:val="none" w:sz="0" w:space="0" w:color="auto"/>
        <w:left w:val="none" w:sz="0" w:space="0" w:color="auto"/>
        <w:bottom w:val="none" w:sz="0" w:space="0" w:color="auto"/>
        <w:right w:val="none" w:sz="0" w:space="0" w:color="auto"/>
      </w:divBdr>
    </w:div>
    <w:div w:id="364795267">
      <w:bodyDiv w:val="1"/>
      <w:marLeft w:val="0"/>
      <w:marRight w:val="0"/>
      <w:marTop w:val="0"/>
      <w:marBottom w:val="0"/>
      <w:divBdr>
        <w:top w:val="none" w:sz="0" w:space="0" w:color="auto"/>
        <w:left w:val="none" w:sz="0" w:space="0" w:color="auto"/>
        <w:bottom w:val="none" w:sz="0" w:space="0" w:color="auto"/>
        <w:right w:val="none" w:sz="0" w:space="0" w:color="auto"/>
      </w:divBdr>
    </w:div>
    <w:div w:id="376127878">
      <w:bodyDiv w:val="1"/>
      <w:marLeft w:val="0"/>
      <w:marRight w:val="0"/>
      <w:marTop w:val="0"/>
      <w:marBottom w:val="0"/>
      <w:divBdr>
        <w:top w:val="none" w:sz="0" w:space="0" w:color="auto"/>
        <w:left w:val="none" w:sz="0" w:space="0" w:color="auto"/>
        <w:bottom w:val="none" w:sz="0" w:space="0" w:color="auto"/>
        <w:right w:val="none" w:sz="0" w:space="0" w:color="auto"/>
      </w:divBdr>
    </w:div>
    <w:div w:id="454257197">
      <w:bodyDiv w:val="1"/>
      <w:marLeft w:val="0"/>
      <w:marRight w:val="0"/>
      <w:marTop w:val="0"/>
      <w:marBottom w:val="0"/>
      <w:divBdr>
        <w:top w:val="none" w:sz="0" w:space="0" w:color="auto"/>
        <w:left w:val="none" w:sz="0" w:space="0" w:color="auto"/>
        <w:bottom w:val="none" w:sz="0" w:space="0" w:color="auto"/>
        <w:right w:val="none" w:sz="0" w:space="0" w:color="auto"/>
      </w:divBdr>
    </w:div>
    <w:div w:id="497768728">
      <w:bodyDiv w:val="1"/>
      <w:marLeft w:val="0"/>
      <w:marRight w:val="0"/>
      <w:marTop w:val="0"/>
      <w:marBottom w:val="0"/>
      <w:divBdr>
        <w:top w:val="none" w:sz="0" w:space="0" w:color="auto"/>
        <w:left w:val="none" w:sz="0" w:space="0" w:color="auto"/>
        <w:bottom w:val="none" w:sz="0" w:space="0" w:color="auto"/>
        <w:right w:val="none" w:sz="0" w:space="0" w:color="auto"/>
      </w:divBdr>
    </w:div>
    <w:div w:id="504832557">
      <w:bodyDiv w:val="1"/>
      <w:marLeft w:val="0"/>
      <w:marRight w:val="0"/>
      <w:marTop w:val="0"/>
      <w:marBottom w:val="0"/>
      <w:divBdr>
        <w:top w:val="none" w:sz="0" w:space="0" w:color="auto"/>
        <w:left w:val="none" w:sz="0" w:space="0" w:color="auto"/>
        <w:bottom w:val="none" w:sz="0" w:space="0" w:color="auto"/>
        <w:right w:val="none" w:sz="0" w:space="0" w:color="auto"/>
      </w:divBdr>
    </w:div>
    <w:div w:id="558442558">
      <w:bodyDiv w:val="1"/>
      <w:marLeft w:val="0"/>
      <w:marRight w:val="0"/>
      <w:marTop w:val="0"/>
      <w:marBottom w:val="0"/>
      <w:divBdr>
        <w:top w:val="none" w:sz="0" w:space="0" w:color="auto"/>
        <w:left w:val="none" w:sz="0" w:space="0" w:color="auto"/>
        <w:bottom w:val="none" w:sz="0" w:space="0" w:color="auto"/>
        <w:right w:val="none" w:sz="0" w:space="0" w:color="auto"/>
      </w:divBdr>
    </w:div>
    <w:div w:id="591738200">
      <w:bodyDiv w:val="1"/>
      <w:marLeft w:val="0"/>
      <w:marRight w:val="0"/>
      <w:marTop w:val="0"/>
      <w:marBottom w:val="0"/>
      <w:divBdr>
        <w:top w:val="none" w:sz="0" w:space="0" w:color="auto"/>
        <w:left w:val="none" w:sz="0" w:space="0" w:color="auto"/>
        <w:bottom w:val="none" w:sz="0" w:space="0" w:color="auto"/>
        <w:right w:val="none" w:sz="0" w:space="0" w:color="auto"/>
      </w:divBdr>
    </w:div>
    <w:div w:id="741415792">
      <w:bodyDiv w:val="1"/>
      <w:marLeft w:val="0"/>
      <w:marRight w:val="0"/>
      <w:marTop w:val="0"/>
      <w:marBottom w:val="0"/>
      <w:divBdr>
        <w:top w:val="none" w:sz="0" w:space="0" w:color="auto"/>
        <w:left w:val="none" w:sz="0" w:space="0" w:color="auto"/>
        <w:bottom w:val="none" w:sz="0" w:space="0" w:color="auto"/>
        <w:right w:val="none" w:sz="0" w:space="0" w:color="auto"/>
      </w:divBdr>
    </w:div>
    <w:div w:id="754517509">
      <w:bodyDiv w:val="1"/>
      <w:marLeft w:val="0"/>
      <w:marRight w:val="0"/>
      <w:marTop w:val="0"/>
      <w:marBottom w:val="0"/>
      <w:divBdr>
        <w:top w:val="none" w:sz="0" w:space="0" w:color="auto"/>
        <w:left w:val="none" w:sz="0" w:space="0" w:color="auto"/>
        <w:bottom w:val="none" w:sz="0" w:space="0" w:color="auto"/>
        <w:right w:val="none" w:sz="0" w:space="0" w:color="auto"/>
      </w:divBdr>
    </w:div>
    <w:div w:id="820780481">
      <w:bodyDiv w:val="1"/>
      <w:marLeft w:val="0"/>
      <w:marRight w:val="0"/>
      <w:marTop w:val="0"/>
      <w:marBottom w:val="0"/>
      <w:divBdr>
        <w:top w:val="none" w:sz="0" w:space="0" w:color="auto"/>
        <w:left w:val="none" w:sz="0" w:space="0" w:color="auto"/>
        <w:bottom w:val="none" w:sz="0" w:space="0" w:color="auto"/>
        <w:right w:val="none" w:sz="0" w:space="0" w:color="auto"/>
      </w:divBdr>
    </w:div>
    <w:div w:id="821313549">
      <w:bodyDiv w:val="1"/>
      <w:marLeft w:val="0"/>
      <w:marRight w:val="0"/>
      <w:marTop w:val="0"/>
      <w:marBottom w:val="0"/>
      <w:divBdr>
        <w:top w:val="none" w:sz="0" w:space="0" w:color="auto"/>
        <w:left w:val="none" w:sz="0" w:space="0" w:color="auto"/>
        <w:bottom w:val="none" w:sz="0" w:space="0" w:color="auto"/>
        <w:right w:val="none" w:sz="0" w:space="0" w:color="auto"/>
      </w:divBdr>
    </w:div>
    <w:div w:id="931741353">
      <w:bodyDiv w:val="1"/>
      <w:marLeft w:val="0"/>
      <w:marRight w:val="0"/>
      <w:marTop w:val="0"/>
      <w:marBottom w:val="0"/>
      <w:divBdr>
        <w:top w:val="none" w:sz="0" w:space="0" w:color="auto"/>
        <w:left w:val="none" w:sz="0" w:space="0" w:color="auto"/>
        <w:bottom w:val="none" w:sz="0" w:space="0" w:color="auto"/>
        <w:right w:val="none" w:sz="0" w:space="0" w:color="auto"/>
      </w:divBdr>
    </w:div>
    <w:div w:id="955674393">
      <w:bodyDiv w:val="1"/>
      <w:marLeft w:val="0"/>
      <w:marRight w:val="0"/>
      <w:marTop w:val="0"/>
      <w:marBottom w:val="0"/>
      <w:divBdr>
        <w:top w:val="none" w:sz="0" w:space="0" w:color="auto"/>
        <w:left w:val="none" w:sz="0" w:space="0" w:color="auto"/>
        <w:bottom w:val="none" w:sz="0" w:space="0" w:color="auto"/>
        <w:right w:val="none" w:sz="0" w:space="0" w:color="auto"/>
      </w:divBdr>
    </w:div>
    <w:div w:id="1002004345">
      <w:bodyDiv w:val="1"/>
      <w:marLeft w:val="0"/>
      <w:marRight w:val="0"/>
      <w:marTop w:val="0"/>
      <w:marBottom w:val="0"/>
      <w:divBdr>
        <w:top w:val="none" w:sz="0" w:space="0" w:color="auto"/>
        <w:left w:val="none" w:sz="0" w:space="0" w:color="auto"/>
        <w:bottom w:val="none" w:sz="0" w:space="0" w:color="auto"/>
        <w:right w:val="none" w:sz="0" w:space="0" w:color="auto"/>
      </w:divBdr>
    </w:div>
    <w:div w:id="1015571132">
      <w:bodyDiv w:val="1"/>
      <w:marLeft w:val="0"/>
      <w:marRight w:val="0"/>
      <w:marTop w:val="0"/>
      <w:marBottom w:val="0"/>
      <w:divBdr>
        <w:top w:val="none" w:sz="0" w:space="0" w:color="auto"/>
        <w:left w:val="none" w:sz="0" w:space="0" w:color="auto"/>
        <w:bottom w:val="none" w:sz="0" w:space="0" w:color="auto"/>
        <w:right w:val="none" w:sz="0" w:space="0" w:color="auto"/>
      </w:divBdr>
    </w:div>
    <w:div w:id="1022170737">
      <w:bodyDiv w:val="1"/>
      <w:marLeft w:val="0"/>
      <w:marRight w:val="0"/>
      <w:marTop w:val="0"/>
      <w:marBottom w:val="0"/>
      <w:divBdr>
        <w:top w:val="none" w:sz="0" w:space="0" w:color="auto"/>
        <w:left w:val="none" w:sz="0" w:space="0" w:color="auto"/>
        <w:bottom w:val="none" w:sz="0" w:space="0" w:color="auto"/>
        <w:right w:val="none" w:sz="0" w:space="0" w:color="auto"/>
      </w:divBdr>
    </w:div>
    <w:div w:id="1065300120">
      <w:bodyDiv w:val="1"/>
      <w:marLeft w:val="0"/>
      <w:marRight w:val="0"/>
      <w:marTop w:val="0"/>
      <w:marBottom w:val="0"/>
      <w:divBdr>
        <w:top w:val="none" w:sz="0" w:space="0" w:color="auto"/>
        <w:left w:val="none" w:sz="0" w:space="0" w:color="auto"/>
        <w:bottom w:val="none" w:sz="0" w:space="0" w:color="auto"/>
        <w:right w:val="none" w:sz="0" w:space="0" w:color="auto"/>
      </w:divBdr>
    </w:div>
    <w:div w:id="1070930601">
      <w:bodyDiv w:val="1"/>
      <w:marLeft w:val="0"/>
      <w:marRight w:val="0"/>
      <w:marTop w:val="0"/>
      <w:marBottom w:val="0"/>
      <w:divBdr>
        <w:top w:val="none" w:sz="0" w:space="0" w:color="auto"/>
        <w:left w:val="none" w:sz="0" w:space="0" w:color="auto"/>
        <w:bottom w:val="none" w:sz="0" w:space="0" w:color="auto"/>
        <w:right w:val="none" w:sz="0" w:space="0" w:color="auto"/>
      </w:divBdr>
    </w:div>
    <w:div w:id="1136332439">
      <w:bodyDiv w:val="1"/>
      <w:marLeft w:val="0"/>
      <w:marRight w:val="0"/>
      <w:marTop w:val="0"/>
      <w:marBottom w:val="0"/>
      <w:divBdr>
        <w:top w:val="none" w:sz="0" w:space="0" w:color="auto"/>
        <w:left w:val="none" w:sz="0" w:space="0" w:color="auto"/>
        <w:bottom w:val="none" w:sz="0" w:space="0" w:color="auto"/>
        <w:right w:val="none" w:sz="0" w:space="0" w:color="auto"/>
      </w:divBdr>
    </w:div>
    <w:div w:id="1199051606">
      <w:bodyDiv w:val="1"/>
      <w:marLeft w:val="0"/>
      <w:marRight w:val="0"/>
      <w:marTop w:val="0"/>
      <w:marBottom w:val="0"/>
      <w:divBdr>
        <w:top w:val="none" w:sz="0" w:space="0" w:color="auto"/>
        <w:left w:val="none" w:sz="0" w:space="0" w:color="auto"/>
        <w:bottom w:val="none" w:sz="0" w:space="0" w:color="auto"/>
        <w:right w:val="none" w:sz="0" w:space="0" w:color="auto"/>
      </w:divBdr>
    </w:div>
    <w:div w:id="1229146602">
      <w:bodyDiv w:val="1"/>
      <w:marLeft w:val="0"/>
      <w:marRight w:val="0"/>
      <w:marTop w:val="0"/>
      <w:marBottom w:val="0"/>
      <w:divBdr>
        <w:top w:val="none" w:sz="0" w:space="0" w:color="auto"/>
        <w:left w:val="none" w:sz="0" w:space="0" w:color="auto"/>
        <w:bottom w:val="none" w:sz="0" w:space="0" w:color="auto"/>
        <w:right w:val="none" w:sz="0" w:space="0" w:color="auto"/>
      </w:divBdr>
    </w:div>
    <w:div w:id="1234390809">
      <w:bodyDiv w:val="1"/>
      <w:marLeft w:val="0"/>
      <w:marRight w:val="0"/>
      <w:marTop w:val="0"/>
      <w:marBottom w:val="0"/>
      <w:divBdr>
        <w:top w:val="none" w:sz="0" w:space="0" w:color="auto"/>
        <w:left w:val="none" w:sz="0" w:space="0" w:color="auto"/>
        <w:bottom w:val="none" w:sz="0" w:space="0" w:color="auto"/>
        <w:right w:val="none" w:sz="0" w:space="0" w:color="auto"/>
      </w:divBdr>
    </w:div>
    <w:div w:id="1246842530">
      <w:bodyDiv w:val="1"/>
      <w:marLeft w:val="0"/>
      <w:marRight w:val="0"/>
      <w:marTop w:val="0"/>
      <w:marBottom w:val="0"/>
      <w:divBdr>
        <w:top w:val="none" w:sz="0" w:space="0" w:color="auto"/>
        <w:left w:val="none" w:sz="0" w:space="0" w:color="auto"/>
        <w:bottom w:val="none" w:sz="0" w:space="0" w:color="auto"/>
        <w:right w:val="none" w:sz="0" w:space="0" w:color="auto"/>
      </w:divBdr>
    </w:div>
    <w:div w:id="1260022400">
      <w:bodyDiv w:val="1"/>
      <w:marLeft w:val="0"/>
      <w:marRight w:val="0"/>
      <w:marTop w:val="0"/>
      <w:marBottom w:val="0"/>
      <w:divBdr>
        <w:top w:val="none" w:sz="0" w:space="0" w:color="auto"/>
        <w:left w:val="none" w:sz="0" w:space="0" w:color="auto"/>
        <w:bottom w:val="none" w:sz="0" w:space="0" w:color="auto"/>
        <w:right w:val="none" w:sz="0" w:space="0" w:color="auto"/>
      </w:divBdr>
    </w:div>
    <w:div w:id="1291012536">
      <w:bodyDiv w:val="1"/>
      <w:marLeft w:val="0"/>
      <w:marRight w:val="0"/>
      <w:marTop w:val="0"/>
      <w:marBottom w:val="0"/>
      <w:divBdr>
        <w:top w:val="none" w:sz="0" w:space="0" w:color="auto"/>
        <w:left w:val="none" w:sz="0" w:space="0" w:color="auto"/>
        <w:bottom w:val="none" w:sz="0" w:space="0" w:color="auto"/>
        <w:right w:val="none" w:sz="0" w:space="0" w:color="auto"/>
      </w:divBdr>
    </w:div>
    <w:div w:id="1360428616">
      <w:bodyDiv w:val="1"/>
      <w:marLeft w:val="0"/>
      <w:marRight w:val="0"/>
      <w:marTop w:val="0"/>
      <w:marBottom w:val="0"/>
      <w:divBdr>
        <w:top w:val="none" w:sz="0" w:space="0" w:color="auto"/>
        <w:left w:val="none" w:sz="0" w:space="0" w:color="auto"/>
        <w:bottom w:val="none" w:sz="0" w:space="0" w:color="auto"/>
        <w:right w:val="none" w:sz="0" w:space="0" w:color="auto"/>
      </w:divBdr>
    </w:div>
    <w:div w:id="1371035442">
      <w:bodyDiv w:val="1"/>
      <w:marLeft w:val="0"/>
      <w:marRight w:val="0"/>
      <w:marTop w:val="0"/>
      <w:marBottom w:val="0"/>
      <w:divBdr>
        <w:top w:val="none" w:sz="0" w:space="0" w:color="auto"/>
        <w:left w:val="none" w:sz="0" w:space="0" w:color="auto"/>
        <w:bottom w:val="none" w:sz="0" w:space="0" w:color="auto"/>
        <w:right w:val="none" w:sz="0" w:space="0" w:color="auto"/>
      </w:divBdr>
    </w:div>
    <w:div w:id="1387995236">
      <w:bodyDiv w:val="1"/>
      <w:marLeft w:val="0"/>
      <w:marRight w:val="0"/>
      <w:marTop w:val="0"/>
      <w:marBottom w:val="0"/>
      <w:divBdr>
        <w:top w:val="none" w:sz="0" w:space="0" w:color="auto"/>
        <w:left w:val="none" w:sz="0" w:space="0" w:color="auto"/>
        <w:bottom w:val="none" w:sz="0" w:space="0" w:color="auto"/>
        <w:right w:val="none" w:sz="0" w:space="0" w:color="auto"/>
      </w:divBdr>
    </w:div>
    <w:div w:id="1390377638">
      <w:bodyDiv w:val="1"/>
      <w:marLeft w:val="0"/>
      <w:marRight w:val="0"/>
      <w:marTop w:val="0"/>
      <w:marBottom w:val="0"/>
      <w:divBdr>
        <w:top w:val="none" w:sz="0" w:space="0" w:color="auto"/>
        <w:left w:val="none" w:sz="0" w:space="0" w:color="auto"/>
        <w:bottom w:val="none" w:sz="0" w:space="0" w:color="auto"/>
        <w:right w:val="none" w:sz="0" w:space="0" w:color="auto"/>
      </w:divBdr>
    </w:div>
    <w:div w:id="1456407725">
      <w:bodyDiv w:val="1"/>
      <w:marLeft w:val="0"/>
      <w:marRight w:val="0"/>
      <w:marTop w:val="0"/>
      <w:marBottom w:val="0"/>
      <w:divBdr>
        <w:top w:val="none" w:sz="0" w:space="0" w:color="auto"/>
        <w:left w:val="none" w:sz="0" w:space="0" w:color="auto"/>
        <w:bottom w:val="none" w:sz="0" w:space="0" w:color="auto"/>
        <w:right w:val="none" w:sz="0" w:space="0" w:color="auto"/>
      </w:divBdr>
    </w:div>
    <w:div w:id="1483347600">
      <w:bodyDiv w:val="1"/>
      <w:marLeft w:val="0"/>
      <w:marRight w:val="0"/>
      <w:marTop w:val="0"/>
      <w:marBottom w:val="0"/>
      <w:divBdr>
        <w:top w:val="none" w:sz="0" w:space="0" w:color="auto"/>
        <w:left w:val="none" w:sz="0" w:space="0" w:color="auto"/>
        <w:bottom w:val="none" w:sz="0" w:space="0" w:color="auto"/>
        <w:right w:val="none" w:sz="0" w:space="0" w:color="auto"/>
      </w:divBdr>
    </w:div>
    <w:div w:id="1514611767">
      <w:bodyDiv w:val="1"/>
      <w:marLeft w:val="0"/>
      <w:marRight w:val="0"/>
      <w:marTop w:val="0"/>
      <w:marBottom w:val="0"/>
      <w:divBdr>
        <w:top w:val="none" w:sz="0" w:space="0" w:color="auto"/>
        <w:left w:val="none" w:sz="0" w:space="0" w:color="auto"/>
        <w:bottom w:val="none" w:sz="0" w:space="0" w:color="auto"/>
        <w:right w:val="none" w:sz="0" w:space="0" w:color="auto"/>
      </w:divBdr>
    </w:div>
    <w:div w:id="1530028637">
      <w:bodyDiv w:val="1"/>
      <w:marLeft w:val="0"/>
      <w:marRight w:val="0"/>
      <w:marTop w:val="0"/>
      <w:marBottom w:val="0"/>
      <w:divBdr>
        <w:top w:val="none" w:sz="0" w:space="0" w:color="auto"/>
        <w:left w:val="none" w:sz="0" w:space="0" w:color="auto"/>
        <w:bottom w:val="none" w:sz="0" w:space="0" w:color="auto"/>
        <w:right w:val="none" w:sz="0" w:space="0" w:color="auto"/>
      </w:divBdr>
    </w:div>
    <w:div w:id="1545674692">
      <w:bodyDiv w:val="1"/>
      <w:marLeft w:val="0"/>
      <w:marRight w:val="0"/>
      <w:marTop w:val="0"/>
      <w:marBottom w:val="0"/>
      <w:divBdr>
        <w:top w:val="none" w:sz="0" w:space="0" w:color="auto"/>
        <w:left w:val="none" w:sz="0" w:space="0" w:color="auto"/>
        <w:bottom w:val="none" w:sz="0" w:space="0" w:color="auto"/>
        <w:right w:val="none" w:sz="0" w:space="0" w:color="auto"/>
      </w:divBdr>
    </w:div>
    <w:div w:id="1573001677">
      <w:bodyDiv w:val="1"/>
      <w:marLeft w:val="0"/>
      <w:marRight w:val="0"/>
      <w:marTop w:val="0"/>
      <w:marBottom w:val="0"/>
      <w:divBdr>
        <w:top w:val="none" w:sz="0" w:space="0" w:color="auto"/>
        <w:left w:val="none" w:sz="0" w:space="0" w:color="auto"/>
        <w:bottom w:val="none" w:sz="0" w:space="0" w:color="auto"/>
        <w:right w:val="none" w:sz="0" w:space="0" w:color="auto"/>
      </w:divBdr>
    </w:div>
    <w:div w:id="1588726471">
      <w:bodyDiv w:val="1"/>
      <w:marLeft w:val="0"/>
      <w:marRight w:val="0"/>
      <w:marTop w:val="0"/>
      <w:marBottom w:val="0"/>
      <w:divBdr>
        <w:top w:val="none" w:sz="0" w:space="0" w:color="auto"/>
        <w:left w:val="none" w:sz="0" w:space="0" w:color="auto"/>
        <w:bottom w:val="none" w:sz="0" w:space="0" w:color="auto"/>
        <w:right w:val="none" w:sz="0" w:space="0" w:color="auto"/>
      </w:divBdr>
    </w:div>
    <w:div w:id="1638531639">
      <w:bodyDiv w:val="1"/>
      <w:marLeft w:val="0"/>
      <w:marRight w:val="0"/>
      <w:marTop w:val="0"/>
      <w:marBottom w:val="0"/>
      <w:divBdr>
        <w:top w:val="none" w:sz="0" w:space="0" w:color="auto"/>
        <w:left w:val="none" w:sz="0" w:space="0" w:color="auto"/>
        <w:bottom w:val="none" w:sz="0" w:space="0" w:color="auto"/>
        <w:right w:val="none" w:sz="0" w:space="0" w:color="auto"/>
      </w:divBdr>
    </w:div>
    <w:div w:id="1675768061">
      <w:bodyDiv w:val="1"/>
      <w:marLeft w:val="0"/>
      <w:marRight w:val="0"/>
      <w:marTop w:val="0"/>
      <w:marBottom w:val="0"/>
      <w:divBdr>
        <w:top w:val="none" w:sz="0" w:space="0" w:color="auto"/>
        <w:left w:val="none" w:sz="0" w:space="0" w:color="auto"/>
        <w:bottom w:val="none" w:sz="0" w:space="0" w:color="auto"/>
        <w:right w:val="none" w:sz="0" w:space="0" w:color="auto"/>
      </w:divBdr>
    </w:div>
    <w:div w:id="1716079602">
      <w:bodyDiv w:val="1"/>
      <w:marLeft w:val="0"/>
      <w:marRight w:val="0"/>
      <w:marTop w:val="0"/>
      <w:marBottom w:val="0"/>
      <w:divBdr>
        <w:top w:val="none" w:sz="0" w:space="0" w:color="auto"/>
        <w:left w:val="none" w:sz="0" w:space="0" w:color="auto"/>
        <w:bottom w:val="none" w:sz="0" w:space="0" w:color="auto"/>
        <w:right w:val="none" w:sz="0" w:space="0" w:color="auto"/>
      </w:divBdr>
    </w:div>
    <w:div w:id="1745252428">
      <w:bodyDiv w:val="1"/>
      <w:marLeft w:val="0"/>
      <w:marRight w:val="0"/>
      <w:marTop w:val="0"/>
      <w:marBottom w:val="0"/>
      <w:divBdr>
        <w:top w:val="none" w:sz="0" w:space="0" w:color="auto"/>
        <w:left w:val="none" w:sz="0" w:space="0" w:color="auto"/>
        <w:bottom w:val="none" w:sz="0" w:space="0" w:color="auto"/>
        <w:right w:val="none" w:sz="0" w:space="0" w:color="auto"/>
      </w:divBdr>
    </w:div>
    <w:div w:id="1757483011">
      <w:bodyDiv w:val="1"/>
      <w:marLeft w:val="0"/>
      <w:marRight w:val="0"/>
      <w:marTop w:val="0"/>
      <w:marBottom w:val="0"/>
      <w:divBdr>
        <w:top w:val="none" w:sz="0" w:space="0" w:color="auto"/>
        <w:left w:val="none" w:sz="0" w:space="0" w:color="auto"/>
        <w:bottom w:val="none" w:sz="0" w:space="0" w:color="auto"/>
        <w:right w:val="none" w:sz="0" w:space="0" w:color="auto"/>
      </w:divBdr>
    </w:div>
    <w:div w:id="1848399078">
      <w:bodyDiv w:val="1"/>
      <w:marLeft w:val="0"/>
      <w:marRight w:val="0"/>
      <w:marTop w:val="0"/>
      <w:marBottom w:val="0"/>
      <w:divBdr>
        <w:top w:val="none" w:sz="0" w:space="0" w:color="auto"/>
        <w:left w:val="none" w:sz="0" w:space="0" w:color="auto"/>
        <w:bottom w:val="none" w:sz="0" w:space="0" w:color="auto"/>
        <w:right w:val="none" w:sz="0" w:space="0" w:color="auto"/>
      </w:divBdr>
    </w:div>
    <w:div w:id="1871409307">
      <w:bodyDiv w:val="1"/>
      <w:marLeft w:val="0"/>
      <w:marRight w:val="0"/>
      <w:marTop w:val="0"/>
      <w:marBottom w:val="0"/>
      <w:divBdr>
        <w:top w:val="none" w:sz="0" w:space="0" w:color="auto"/>
        <w:left w:val="none" w:sz="0" w:space="0" w:color="auto"/>
        <w:bottom w:val="none" w:sz="0" w:space="0" w:color="auto"/>
        <w:right w:val="none" w:sz="0" w:space="0" w:color="auto"/>
      </w:divBdr>
    </w:div>
    <w:div w:id="1930314703">
      <w:bodyDiv w:val="1"/>
      <w:marLeft w:val="0"/>
      <w:marRight w:val="0"/>
      <w:marTop w:val="0"/>
      <w:marBottom w:val="0"/>
      <w:divBdr>
        <w:top w:val="none" w:sz="0" w:space="0" w:color="auto"/>
        <w:left w:val="none" w:sz="0" w:space="0" w:color="auto"/>
        <w:bottom w:val="none" w:sz="0" w:space="0" w:color="auto"/>
        <w:right w:val="none" w:sz="0" w:space="0" w:color="auto"/>
      </w:divBdr>
    </w:div>
    <w:div w:id="2009014656">
      <w:bodyDiv w:val="1"/>
      <w:marLeft w:val="0"/>
      <w:marRight w:val="0"/>
      <w:marTop w:val="0"/>
      <w:marBottom w:val="0"/>
      <w:divBdr>
        <w:top w:val="none" w:sz="0" w:space="0" w:color="auto"/>
        <w:left w:val="none" w:sz="0" w:space="0" w:color="auto"/>
        <w:bottom w:val="none" w:sz="0" w:space="0" w:color="auto"/>
        <w:right w:val="none" w:sz="0" w:space="0" w:color="auto"/>
      </w:divBdr>
    </w:div>
    <w:div w:id="2126383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62D39-55AC-499A-99D9-B3330AB15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42</Pages>
  <Words>16571</Words>
  <Characters>94459</Characters>
  <Application>Microsoft Office Word</Application>
  <DocSecurity>0</DocSecurity>
  <Lines>787</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Angelo Cordon</dc:creator>
  <cp:keywords/>
  <dc:description/>
  <cp:lastModifiedBy>Yuijiro Centeno</cp:lastModifiedBy>
  <cp:revision>2</cp:revision>
  <cp:lastPrinted>2025-12-01T05:07:00Z</cp:lastPrinted>
  <dcterms:created xsi:type="dcterms:W3CDTF">2025-12-14T16:43:00Z</dcterms:created>
  <dcterms:modified xsi:type="dcterms:W3CDTF">2025-12-14T16:43:00Z</dcterms:modified>
</cp:coreProperties>
</file>