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218C8F" w14:textId="77777777" w:rsidR="008755A5" w:rsidRDefault="008755A5" w:rsidP="008755A5">
      <w:pPr>
        <w:spacing w:before="120" w:after="120"/>
        <w:contextualSpacing/>
        <w:rPr>
          <w:rFonts w:ascii="Arial" w:hAnsi="Arial" w:cs="Arial"/>
        </w:rPr>
      </w:pPr>
      <w:r w:rsidRPr="008755A5">
        <w:rPr>
          <w:rFonts w:ascii="Arial" w:hAnsi="Arial" w:cs="Arial"/>
          <w:color w:val="EE0000"/>
        </w:rPr>
        <w:t>Annex 1</w:t>
      </w:r>
      <w:r w:rsidR="004F496B">
        <w:rPr>
          <w:rFonts w:ascii="Arial" w:hAnsi="Arial" w:cs="Arial"/>
          <w:color w:val="EE0000"/>
        </w:rPr>
        <w:t>:</w:t>
      </w:r>
      <w:r w:rsidRPr="008755A5">
        <w:rPr>
          <w:rFonts w:ascii="Arial" w:hAnsi="Arial" w:cs="Arial"/>
          <w:color w:val="EE0000"/>
        </w:rPr>
        <w:t xml:space="preserve"> </w:t>
      </w:r>
      <w:r w:rsidRPr="008755A5">
        <w:rPr>
          <w:rFonts w:ascii="Arial" w:hAnsi="Arial" w:cs="Arial"/>
        </w:rPr>
        <w:t xml:space="preserve">GDP, GDP growth rate, GDP per capita, Inflation rate, Poverty headcount, and employment rate of Thailand (2000-2024) </w:t>
      </w:r>
    </w:p>
    <w:p w14:paraId="351A1AF3" w14:textId="77777777" w:rsidR="008755A5" w:rsidRPr="008755A5" w:rsidRDefault="008755A5" w:rsidP="008755A5">
      <w:pPr>
        <w:spacing w:before="120" w:after="120"/>
        <w:contextualSpacing/>
        <w:rPr>
          <w:rFonts w:ascii="Arial" w:hAnsi="Arial" w:cs="Arial"/>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0"/>
        <w:gridCol w:w="1067"/>
        <w:gridCol w:w="1017"/>
        <w:gridCol w:w="1270"/>
        <w:gridCol w:w="1043"/>
        <w:gridCol w:w="1897"/>
        <w:gridCol w:w="1997"/>
      </w:tblGrid>
      <w:tr w:rsidR="008755A5" w:rsidRPr="008755A5" w14:paraId="0E18AA45" w14:textId="77777777" w:rsidTr="008755A5">
        <w:trPr>
          <w:trHeight w:val="1380"/>
          <w:tblHeader/>
        </w:trPr>
        <w:tc>
          <w:tcPr>
            <w:tcW w:w="1060" w:type="dxa"/>
            <w:noWrap/>
            <w:hideMark/>
          </w:tcPr>
          <w:p w14:paraId="45889D5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Year</w:t>
            </w:r>
          </w:p>
        </w:tc>
        <w:tc>
          <w:tcPr>
            <w:tcW w:w="1067" w:type="dxa"/>
            <w:hideMark/>
          </w:tcPr>
          <w:p w14:paraId="2507F96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GDP (current million US$)</w:t>
            </w:r>
          </w:p>
        </w:tc>
        <w:tc>
          <w:tcPr>
            <w:tcW w:w="1017" w:type="dxa"/>
            <w:hideMark/>
          </w:tcPr>
          <w:p w14:paraId="3DF6C69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GDP growth (annual %)</w:t>
            </w:r>
          </w:p>
        </w:tc>
        <w:tc>
          <w:tcPr>
            <w:tcW w:w="1270" w:type="dxa"/>
            <w:hideMark/>
          </w:tcPr>
          <w:p w14:paraId="3F2E8712"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Inflation, consumer prices (annual %)</w:t>
            </w:r>
          </w:p>
        </w:tc>
        <w:tc>
          <w:tcPr>
            <w:tcW w:w="1043" w:type="dxa"/>
            <w:hideMark/>
          </w:tcPr>
          <w:p w14:paraId="7700980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GDP per capita (current US$)</w:t>
            </w:r>
          </w:p>
        </w:tc>
        <w:tc>
          <w:tcPr>
            <w:tcW w:w="1897" w:type="dxa"/>
            <w:hideMark/>
          </w:tcPr>
          <w:p w14:paraId="6CD614BE"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Unemployment rate, total (% of total labor force) (national estimate)</w:t>
            </w:r>
          </w:p>
        </w:tc>
        <w:tc>
          <w:tcPr>
            <w:tcW w:w="1997" w:type="dxa"/>
            <w:hideMark/>
          </w:tcPr>
          <w:p w14:paraId="6BE6BE1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Poverty headcount ratio at $8.30 a day (2021 PPP) (% of population)</w:t>
            </w:r>
          </w:p>
        </w:tc>
      </w:tr>
      <w:tr w:rsidR="008755A5" w:rsidRPr="008755A5" w14:paraId="1A33901E" w14:textId="77777777" w:rsidTr="008755A5">
        <w:trPr>
          <w:trHeight w:val="81"/>
        </w:trPr>
        <w:tc>
          <w:tcPr>
            <w:tcW w:w="1060" w:type="dxa"/>
            <w:noWrap/>
            <w:vAlign w:val="center"/>
            <w:hideMark/>
          </w:tcPr>
          <w:p w14:paraId="6348C80B"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2000</w:t>
            </w:r>
          </w:p>
        </w:tc>
        <w:tc>
          <w:tcPr>
            <w:tcW w:w="1067" w:type="dxa"/>
            <w:noWrap/>
            <w:vAlign w:val="center"/>
            <w:hideMark/>
          </w:tcPr>
          <w:p w14:paraId="7A2F49E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126.4</w:t>
            </w:r>
          </w:p>
        </w:tc>
        <w:tc>
          <w:tcPr>
            <w:tcW w:w="1017" w:type="dxa"/>
            <w:noWrap/>
            <w:vAlign w:val="center"/>
            <w:hideMark/>
          </w:tcPr>
          <w:p w14:paraId="0333F39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4.5</w:t>
            </w:r>
          </w:p>
        </w:tc>
        <w:tc>
          <w:tcPr>
            <w:tcW w:w="1270" w:type="dxa"/>
            <w:noWrap/>
            <w:vAlign w:val="center"/>
            <w:hideMark/>
          </w:tcPr>
          <w:p w14:paraId="7B14063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1.3</w:t>
            </w:r>
          </w:p>
        </w:tc>
        <w:tc>
          <w:tcPr>
            <w:tcW w:w="1043" w:type="dxa"/>
            <w:noWrap/>
            <w:vAlign w:val="center"/>
            <w:hideMark/>
          </w:tcPr>
          <w:p w14:paraId="4A3F9EE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2,006.0</w:t>
            </w:r>
          </w:p>
        </w:tc>
        <w:tc>
          <w:tcPr>
            <w:tcW w:w="1897" w:type="dxa"/>
            <w:noWrap/>
            <w:vAlign w:val="center"/>
            <w:hideMark/>
          </w:tcPr>
          <w:p w14:paraId="05C03846"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2.4</w:t>
            </w:r>
          </w:p>
        </w:tc>
        <w:tc>
          <w:tcPr>
            <w:tcW w:w="1997" w:type="dxa"/>
            <w:noWrap/>
            <w:vAlign w:val="center"/>
            <w:hideMark/>
          </w:tcPr>
          <w:p w14:paraId="3A3B90E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61.2</w:t>
            </w:r>
          </w:p>
        </w:tc>
      </w:tr>
      <w:tr w:rsidR="008755A5" w:rsidRPr="008755A5" w14:paraId="2B5064FA" w14:textId="77777777" w:rsidTr="008755A5">
        <w:trPr>
          <w:trHeight w:val="276"/>
        </w:trPr>
        <w:tc>
          <w:tcPr>
            <w:tcW w:w="1060" w:type="dxa"/>
            <w:noWrap/>
            <w:vAlign w:val="center"/>
            <w:hideMark/>
          </w:tcPr>
          <w:p w14:paraId="472C9555"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2001</w:t>
            </w:r>
          </w:p>
        </w:tc>
        <w:tc>
          <w:tcPr>
            <w:tcW w:w="1067" w:type="dxa"/>
            <w:noWrap/>
            <w:vAlign w:val="center"/>
            <w:hideMark/>
          </w:tcPr>
          <w:p w14:paraId="1469ADD5"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120.3</w:t>
            </w:r>
          </w:p>
        </w:tc>
        <w:tc>
          <w:tcPr>
            <w:tcW w:w="1017" w:type="dxa"/>
            <w:noWrap/>
            <w:vAlign w:val="center"/>
            <w:hideMark/>
          </w:tcPr>
          <w:p w14:paraId="353E7096"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3.4</w:t>
            </w:r>
          </w:p>
        </w:tc>
        <w:tc>
          <w:tcPr>
            <w:tcW w:w="1270" w:type="dxa"/>
            <w:noWrap/>
            <w:vAlign w:val="center"/>
            <w:hideMark/>
          </w:tcPr>
          <w:p w14:paraId="37720AC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2.2</w:t>
            </w:r>
          </w:p>
        </w:tc>
        <w:tc>
          <w:tcPr>
            <w:tcW w:w="1043" w:type="dxa"/>
            <w:noWrap/>
            <w:vAlign w:val="center"/>
            <w:hideMark/>
          </w:tcPr>
          <w:p w14:paraId="2D14376E"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1,889.9</w:t>
            </w:r>
          </w:p>
        </w:tc>
        <w:tc>
          <w:tcPr>
            <w:tcW w:w="1897" w:type="dxa"/>
            <w:noWrap/>
            <w:vAlign w:val="center"/>
            <w:hideMark/>
          </w:tcPr>
          <w:p w14:paraId="7B9F4735"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2.6</w:t>
            </w:r>
          </w:p>
        </w:tc>
        <w:tc>
          <w:tcPr>
            <w:tcW w:w="1997" w:type="dxa"/>
            <w:noWrap/>
            <w:vAlign w:val="center"/>
            <w:hideMark/>
          </w:tcPr>
          <w:p w14:paraId="287BAAB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w:t>
            </w:r>
          </w:p>
        </w:tc>
      </w:tr>
      <w:tr w:rsidR="008755A5" w:rsidRPr="008755A5" w14:paraId="66763099" w14:textId="77777777" w:rsidTr="008755A5">
        <w:trPr>
          <w:trHeight w:val="276"/>
        </w:trPr>
        <w:tc>
          <w:tcPr>
            <w:tcW w:w="1060" w:type="dxa"/>
            <w:noWrap/>
            <w:vAlign w:val="center"/>
            <w:hideMark/>
          </w:tcPr>
          <w:p w14:paraId="463E9D64"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2002</w:t>
            </w:r>
          </w:p>
        </w:tc>
        <w:tc>
          <w:tcPr>
            <w:tcW w:w="1067" w:type="dxa"/>
            <w:noWrap/>
            <w:vAlign w:val="center"/>
            <w:hideMark/>
          </w:tcPr>
          <w:p w14:paraId="6B28E59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134.3</w:t>
            </w:r>
          </w:p>
        </w:tc>
        <w:tc>
          <w:tcPr>
            <w:tcW w:w="1017" w:type="dxa"/>
            <w:noWrap/>
            <w:vAlign w:val="center"/>
            <w:hideMark/>
          </w:tcPr>
          <w:p w14:paraId="1AFD7B2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6.1</w:t>
            </w:r>
          </w:p>
        </w:tc>
        <w:tc>
          <w:tcPr>
            <w:tcW w:w="1270" w:type="dxa"/>
            <w:noWrap/>
            <w:vAlign w:val="center"/>
            <w:hideMark/>
          </w:tcPr>
          <w:p w14:paraId="096B173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1.6</w:t>
            </w:r>
          </w:p>
        </w:tc>
        <w:tc>
          <w:tcPr>
            <w:tcW w:w="1043" w:type="dxa"/>
            <w:noWrap/>
            <w:vAlign w:val="center"/>
            <w:hideMark/>
          </w:tcPr>
          <w:p w14:paraId="6C6720E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2,089.8</w:t>
            </w:r>
          </w:p>
        </w:tc>
        <w:tc>
          <w:tcPr>
            <w:tcW w:w="1897" w:type="dxa"/>
            <w:noWrap/>
            <w:vAlign w:val="center"/>
            <w:hideMark/>
          </w:tcPr>
          <w:p w14:paraId="4B65278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w:t>
            </w:r>
          </w:p>
        </w:tc>
        <w:tc>
          <w:tcPr>
            <w:tcW w:w="1997" w:type="dxa"/>
            <w:noWrap/>
            <w:vAlign w:val="center"/>
            <w:hideMark/>
          </w:tcPr>
          <w:p w14:paraId="02AA9DD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53.3</w:t>
            </w:r>
          </w:p>
        </w:tc>
      </w:tr>
      <w:tr w:rsidR="008755A5" w:rsidRPr="008755A5" w14:paraId="4BF1C19C" w14:textId="77777777" w:rsidTr="008755A5">
        <w:trPr>
          <w:trHeight w:val="276"/>
        </w:trPr>
        <w:tc>
          <w:tcPr>
            <w:tcW w:w="1060" w:type="dxa"/>
            <w:noWrap/>
            <w:vAlign w:val="center"/>
            <w:hideMark/>
          </w:tcPr>
          <w:p w14:paraId="5F334236"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2003</w:t>
            </w:r>
          </w:p>
        </w:tc>
        <w:tc>
          <w:tcPr>
            <w:tcW w:w="1067" w:type="dxa"/>
            <w:noWrap/>
            <w:vAlign w:val="center"/>
            <w:hideMark/>
          </w:tcPr>
          <w:p w14:paraId="4C80004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152.3</w:t>
            </w:r>
          </w:p>
        </w:tc>
        <w:tc>
          <w:tcPr>
            <w:tcW w:w="1017" w:type="dxa"/>
            <w:noWrap/>
            <w:vAlign w:val="center"/>
            <w:hideMark/>
          </w:tcPr>
          <w:p w14:paraId="6597D53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7.2</w:t>
            </w:r>
          </w:p>
        </w:tc>
        <w:tc>
          <w:tcPr>
            <w:tcW w:w="1270" w:type="dxa"/>
            <w:noWrap/>
            <w:vAlign w:val="center"/>
            <w:hideMark/>
          </w:tcPr>
          <w:p w14:paraId="0CDBCA5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3.3</w:t>
            </w:r>
          </w:p>
        </w:tc>
        <w:tc>
          <w:tcPr>
            <w:tcW w:w="1043" w:type="dxa"/>
            <w:noWrap/>
            <w:vAlign w:val="center"/>
            <w:hideMark/>
          </w:tcPr>
          <w:p w14:paraId="66EE554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2,347.5</w:t>
            </w:r>
          </w:p>
        </w:tc>
        <w:tc>
          <w:tcPr>
            <w:tcW w:w="1897" w:type="dxa"/>
            <w:noWrap/>
            <w:vAlign w:val="center"/>
            <w:hideMark/>
          </w:tcPr>
          <w:p w14:paraId="60497CC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1.5</w:t>
            </w:r>
          </w:p>
        </w:tc>
        <w:tc>
          <w:tcPr>
            <w:tcW w:w="1997" w:type="dxa"/>
            <w:noWrap/>
            <w:vAlign w:val="center"/>
            <w:hideMark/>
          </w:tcPr>
          <w:p w14:paraId="7E45844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w:t>
            </w:r>
          </w:p>
        </w:tc>
      </w:tr>
      <w:tr w:rsidR="008755A5" w:rsidRPr="008755A5" w14:paraId="3C4E7D10" w14:textId="77777777" w:rsidTr="008755A5">
        <w:trPr>
          <w:trHeight w:val="276"/>
        </w:trPr>
        <w:tc>
          <w:tcPr>
            <w:tcW w:w="1060" w:type="dxa"/>
            <w:noWrap/>
            <w:vAlign w:val="center"/>
            <w:hideMark/>
          </w:tcPr>
          <w:p w14:paraId="149D61B4"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2004</w:t>
            </w:r>
          </w:p>
        </w:tc>
        <w:tc>
          <w:tcPr>
            <w:tcW w:w="1067" w:type="dxa"/>
            <w:noWrap/>
            <w:vAlign w:val="center"/>
            <w:hideMark/>
          </w:tcPr>
          <w:p w14:paraId="74B9FCA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172.9</w:t>
            </w:r>
          </w:p>
        </w:tc>
        <w:tc>
          <w:tcPr>
            <w:tcW w:w="1017" w:type="dxa"/>
            <w:noWrap/>
            <w:vAlign w:val="center"/>
            <w:hideMark/>
          </w:tcPr>
          <w:p w14:paraId="1E1F3AD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6.3</w:t>
            </w:r>
          </w:p>
        </w:tc>
        <w:tc>
          <w:tcPr>
            <w:tcW w:w="1270" w:type="dxa"/>
            <w:noWrap/>
            <w:vAlign w:val="center"/>
            <w:hideMark/>
          </w:tcPr>
          <w:p w14:paraId="2F21E4D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3.2</w:t>
            </w:r>
          </w:p>
        </w:tc>
        <w:tc>
          <w:tcPr>
            <w:tcW w:w="1043" w:type="dxa"/>
            <w:noWrap/>
            <w:vAlign w:val="center"/>
            <w:hideMark/>
          </w:tcPr>
          <w:p w14:paraId="4253BFB4"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2,641.6</w:t>
            </w:r>
          </w:p>
        </w:tc>
        <w:tc>
          <w:tcPr>
            <w:tcW w:w="1897" w:type="dxa"/>
            <w:noWrap/>
            <w:vAlign w:val="center"/>
            <w:hideMark/>
          </w:tcPr>
          <w:p w14:paraId="21EE227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1.5</w:t>
            </w:r>
          </w:p>
        </w:tc>
        <w:tc>
          <w:tcPr>
            <w:tcW w:w="1997" w:type="dxa"/>
            <w:noWrap/>
            <w:vAlign w:val="center"/>
            <w:hideMark/>
          </w:tcPr>
          <w:p w14:paraId="47AC693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46.7</w:t>
            </w:r>
          </w:p>
        </w:tc>
      </w:tr>
      <w:tr w:rsidR="008755A5" w:rsidRPr="008755A5" w14:paraId="57E5C06A" w14:textId="77777777" w:rsidTr="008755A5">
        <w:trPr>
          <w:trHeight w:val="276"/>
        </w:trPr>
        <w:tc>
          <w:tcPr>
            <w:tcW w:w="1060" w:type="dxa"/>
            <w:noWrap/>
            <w:vAlign w:val="center"/>
            <w:hideMark/>
          </w:tcPr>
          <w:p w14:paraId="2A20AD3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2005</w:t>
            </w:r>
          </w:p>
        </w:tc>
        <w:tc>
          <w:tcPr>
            <w:tcW w:w="1067" w:type="dxa"/>
            <w:noWrap/>
            <w:vAlign w:val="center"/>
            <w:hideMark/>
          </w:tcPr>
          <w:p w14:paraId="42A2387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189.3</w:t>
            </w:r>
          </w:p>
        </w:tc>
        <w:tc>
          <w:tcPr>
            <w:tcW w:w="1017" w:type="dxa"/>
            <w:noWrap/>
            <w:vAlign w:val="center"/>
            <w:hideMark/>
          </w:tcPr>
          <w:p w14:paraId="645C7E5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4.2</w:t>
            </w:r>
          </w:p>
        </w:tc>
        <w:tc>
          <w:tcPr>
            <w:tcW w:w="1270" w:type="dxa"/>
            <w:noWrap/>
            <w:vAlign w:val="center"/>
            <w:hideMark/>
          </w:tcPr>
          <w:p w14:paraId="4B671B3B"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4.5</w:t>
            </w:r>
          </w:p>
        </w:tc>
        <w:tc>
          <w:tcPr>
            <w:tcW w:w="1043" w:type="dxa"/>
            <w:noWrap/>
            <w:vAlign w:val="center"/>
            <w:hideMark/>
          </w:tcPr>
          <w:p w14:paraId="4D8C818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2,867.7</w:t>
            </w:r>
          </w:p>
        </w:tc>
        <w:tc>
          <w:tcPr>
            <w:tcW w:w="1897" w:type="dxa"/>
            <w:noWrap/>
            <w:vAlign w:val="center"/>
            <w:hideMark/>
          </w:tcPr>
          <w:p w14:paraId="2252ACE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1.4</w:t>
            </w:r>
          </w:p>
        </w:tc>
        <w:tc>
          <w:tcPr>
            <w:tcW w:w="1997" w:type="dxa"/>
            <w:noWrap/>
            <w:vAlign w:val="center"/>
            <w:hideMark/>
          </w:tcPr>
          <w:p w14:paraId="58BFF9F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w:t>
            </w:r>
          </w:p>
        </w:tc>
      </w:tr>
      <w:tr w:rsidR="008755A5" w:rsidRPr="008755A5" w14:paraId="1CF92611" w14:textId="77777777" w:rsidTr="008755A5">
        <w:trPr>
          <w:trHeight w:val="276"/>
        </w:trPr>
        <w:tc>
          <w:tcPr>
            <w:tcW w:w="1060" w:type="dxa"/>
            <w:noWrap/>
            <w:vAlign w:val="center"/>
            <w:hideMark/>
          </w:tcPr>
          <w:p w14:paraId="24137F1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2006</w:t>
            </w:r>
          </w:p>
        </w:tc>
        <w:tc>
          <w:tcPr>
            <w:tcW w:w="1067" w:type="dxa"/>
            <w:noWrap/>
            <w:vAlign w:val="center"/>
            <w:hideMark/>
          </w:tcPr>
          <w:p w14:paraId="1B008F3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221.8</w:t>
            </w:r>
          </w:p>
        </w:tc>
        <w:tc>
          <w:tcPr>
            <w:tcW w:w="1017" w:type="dxa"/>
            <w:noWrap/>
            <w:vAlign w:val="center"/>
            <w:hideMark/>
          </w:tcPr>
          <w:p w14:paraId="7F8331B4"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5.0</w:t>
            </w:r>
          </w:p>
        </w:tc>
        <w:tc>
          <w:tcPr>
            <w:tcW w:w="1270" w:type="dxa"/>
            <w:noWrap/>
            <w:vAlign w:val="center"/>
            <w:hideMark/>
          </w:tcPr>
          <w:p w14:paraId="6716C8D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4.6</w:t>
            </w:r>
          </w:p>
        </w:tc>
        <w:tc>
          <w:tcPr>
            <w:tcW w:w="1043" w:type="dxa"/>
            <w:noWrap/>
            <w:vAlign w:val="center"/>
            <w:hideMark/>
          </w:tcPr>
          <w:p w14:paraId="7023C315"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3,331.3</w:t>
            </w:r>
          </w:p>
        </w:tc>
        <w:tc>
          <w:tcPr>
            <w:tcW w:w="1897" w:type="dxa"/>
            <w:noWrap/>
            <w:vAlign w:val="center"/>
            <w:hideMark/>
          </w:tcPr>
          <w:p w14:paraId="26FFFAC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1.2</w:t>
            </w:r>
          </w:p>
        </w:tc>
        <w:tc>
          <w:tcPr>
            <w:tcW w:w="1997" w:type="dxa"/>
            <w:noWrap/>
            <w:vAlign w:val="center"/>
            <w:hideMark/>
          </w:tcPr>
          <w:p w14:paraId="4545AC8B"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39.5</w:t>
            </w:r>
          </w:p>
        </w:tc>
      </w:tr>
      <w:tr w:rsidR="008755A5" w:rsidRPr="008755A5" w14:paraId="17ADCA09" w14:textId="77777777" w:rsidTr="008755A5">
        <w:trPr>
          <w:trHeight w:val="276"/>
        </w:trPr>
        <w:tc>
          <w:tcPr>
            <w:tcW w:w="1060" w:type="dxa"/>
            <w:noWrap/>
            <w:vAlign w:val="center"/>
            <w:hideMark/>
          </w:tcPr>
          <w:p w14:paraId="1D361E4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2007</w:t>
            </w:r>
          </w:p>
        </w:tc>
        <w:tc>
          <w:tcPr>
            <w:tcW w:w="1067" w:type="dxa"/>
            <w:noWrap/>
            <w:vAlign w:val="center"/>
            <w:hideMark/>
          </w:tcPr>
          <w:p w14:paraId="4034B4A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262.9</w:t>
            </w:r>
          </w:p>
        </w:tc>
        <w:tc>
          <w:tcPr>
            <w:tcW w:w="1017" w:type="dxa"/>
            <w:noWrap/>
            <w:vAlign w:val="center"/>
            <w:hideMark/>
          </w:tcPr>
          <w:p w14:paraId="410263B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5.4</w:t>
            </w:r>
          </w:p>
        </w:tc>
        <w:tc>
          <w:tcPr>
            <w:tcW w:w="1270" w:type="dxa"/>
            <w:noWrap/>
            <w:vAlign w:val="center"/>
            <w:hideMark/>
          </w:tcPr>
          <w:p w14:paraId="13B884E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2.2</w:t>
            </w:r>
          </w:p>
        </w:tc>
        <w:tc>
          <w:tcPr>
            <w:tcW w:w="1043" w:type="dxa"/>
            <w:noWrap/>
            <w:vAlign w:val="center"/>
            <w:hideMark/>
          </w:tcPr>
          <w:p w14:paraId="28CE68F5"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3,918.5</w:t>
            </w:r>
          </w:p>
        </w:tc>
        <w:tc>
          <w:tcPr>
            <w:tcW w:w="1897" w:type="dxa"/>
            <w:noWrap/>
            <w:vAlign w:val="center"/>
            <w:hideMark/>
          </w:tcPr>
          <w:p w14:paraId="119D41D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1.2</w:t>
            </w:r>
          </w:p>
        </w:tc>
        <w:tc>
          <w:tcPr>
            <w:tcW w:w="1997" w:type="dxa"/>
            <w:noWrap/>
            <w:vAlign w:val="center"/>
            <w:hideMark/>
          </w:tcPr>
          <w:p w14:paraId="58F3AFD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37.4</w:t>
            </w:r>
          </w:p>
        </w:tc>
      </w:tr>
      <w:tr w:rsidR="008755A5" w:rsidRPr="008755A5" w14:paraId="47C25EA1" w14:textId="77777777" w:rsidTr="008755A5">
        <w:trPr>
          <w:trHeight w:val="276"/>
        </w:trPr>
        <w:tc>
          <w:tcPr>
            <w:tcW w:w="1060" w:type="dxa"/>
            <w:noWrap/>
            <w:vAlign w:val="center"/>
            <w:hideMark/>
          </w:tcPr>
          <w:p w14:paraId="012C899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2008</w:t>
            </w:r>
          </w:p>
        </w:tc>
        <w:tc>
          <w:tcPr>
            <w:tcW w:w="1067" w:type="dxa"/>
            <w:noWrap/>
            <w:vAlign w:val="center"/>
            <w:hideMark/>
          </w:tcPr>
          <w:p w14:paraId="24A678C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291.4</w:t>
            </w:r>
          </w:p>
        </w:tc>
        <w:tc>
          <w:tcPr>
            <w:tcW w:w="1017" w:type="dxa"/>
            <w:noWrap/>
            <w:vAlign w:val="center"/>
            <w:hideMark/>
          </w:tcPr>
          <w:p w14:paraId="217398B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1.7</w:t>
            </w:r>
          </w:p>
        </w:tc>
        <w:tc>
          <w:tcPr>
            <w:tcW w:w="1270" w:type="dxa"/>
            <w:noWrap/>
            <w:vAlign w:val="center"/>
            <w:hideMark/>
          </w:tcPr>
          <w:p w14:paraId="6AB5D16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5.5</w:t>
            </w:r>
          </w:p>
        </w:tc>
        <w:tc>
          <w:tcPr>
            <w:tcW w:w="1043" w:type="dxa"/>
            <w:noWrap/>
            <w:vAlign w:val="center"/>
            <w:hideMark/>
          </w:tcPr>
          <w:p w14:paraId="5C2FFBE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4,309.1</w:t>
            </w:r>
          </w:p>
        </w:tc>
        <w:tc>
          <w:tcPr>
            <w:tcW w:w="1897" w:type="dxa"/>
            <w:noWrap/>
            <w:vAlign w:val="center"/>
            <w:hideMark/>
          </w:tcPr>
          <w:p w14:paraId="37DECE9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1.2</w:t>
            </w:r>
          </w:p>
        </w:tc>
        <w:tc>
          <w:tcPr>
            <w:tcW w:w="1997" w:type="dxa"/>
            <w:noWrap/>
            <w:vAlign w:val="center"/>
            <w:hideMark/>
          </w:tcPr>
          <w:p w14:paraId="79A8474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35.2</w:t>
            </w:r>
          </w:p>
        </w:tc>
      </w:tr>
      <w:tr w:rsidR="008755A5" w:rsidRPr="008755A5" w14:paraId="0842175C" w14:textId="77777777" w:rsidTr="008755A5">
        <w:trPr>
          <w:trHeight w:val="276"/>
        </w:trPr>
        <w:tc>
          <w:tcPr>
            <w:tcW w:w="1060" w:type="dxa"/>
            <w:noWrap/>
            <w:vAlign w:val="center"/>
            <w:hideMark/>
          </w:tcPr>
          <w:p w14:paraId="06B5346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2009</w:t>
            </w:r>
          </w:p>
        </w:tc>
        <w:tc>
          <w:tcPr>
            <w:tcW w:w="1067" w:type="dxa"/>
            <w:noWrap/>
            <w:vAlign w:val="center"/>
            <w:hideMark/>
          </w:tcPr>
          <w:p w14:paraId="70A8658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281.7</w:t>
            </w:r>
          </w:p>
        </w:tc>
        <w:tc>
          <w:tcPr>
            <w:tcW w:w="1017" w:type="dxa"/>
            <w:noWrap/>
            <w:vAlign w:val="center"/>
            <w:hideMark/>
          </w:tcPr>
          <w:p w14:paraId="074BCD8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-0.7</w:t>
            </w:r>
          </w:p>
        </w:tc>
        <w:tc>
          <w:tcPr>
            <w:tcW w:w="1270" w:type="dxa"/>
            <w:noWrap/>
            <w:vAlign w:val="center"/>
            <w:hideMark/>
          </w:tcPr>
          <w:p w14:paraId="021873A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-0.9</w:t>
            </w:r>
          </w:p>
        </w:tc>
        <w:tc>
          <w:tcPr>
            <w:tcW w:w="1043" w:type="dxa"/>
            <w:noWrap/>
            <w:vAlign w:val="center"/>
            <w:hideMark/>
          </w:tcPr>
          <w:p w14:paraId="7F19D60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4,135.4</w:t>
            </w:r>
          </w:p>
        </w:tc>
        <w:tc>
          <w:tcPr>
            <w:tcW w:w="1897" w:type="dxa"/>
            <w:noWrap/>
            <w:vAlign w:val="center"/>
            <w:hideMark/>
          </w:tcPr>
          <w:p w14:paraId="1D35079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1.5</w:t>
            </w:r>
          </w:p>
        </w:tc>
        <w:tc>
          <w:tcPr>
            <w:tcW w:w="1997" w:type="dxa"/>
            <w:noWrap/>
            <w:vAlign w:val="center"/>
            <w:hideMark/>
          </w:tcPr>
          <w:p w14:paraId="1671010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32.2</w:t>
            </w:r>
          </w:p>
        </w:tc>
      </w:tr>
      <w:tr w:rsidR="008755A5" w:rsidRPr="008755A5" w14:paraId="359A471E" w14:textId="77777777" w:rsidTr="008755A5">
        <w:trPr>
          <w:trHeight w:val="276"/>
        </w:trPr>
        <w:tc>
          <w:tcPr>
            <w:tcW w:w="1060" w:type="dxa"/>
            <w:noWrap/>
            <w:vAlign w:val="center"/>
            <w:hideMark/>
          </w:tcPr>
          <w:p w14:paraId="6A86CA6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2010</w:t>
            </w:r>
          </w:p>
        </w:tc>
        <w:tc>
          <w:tcPr>
            <w:tcW w:w="1067" w:type="dxa"/>
            <w:noWrap/>
            <w:vAlign w:val="center"/>
            <w:hideMark/>
          </w:tcPr>
          <w:p w14:paraId="500FFB8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341.1</w:t>
            </w:r>
          </w:p>
        </w:tc>
        <w:tc>
          <w:tcPr>
            <w:tcW w:w="1017" w:type="dxa"/>
            <w:noWrap/>
            <w:vAlign w:val="center"/>
            <w:hideMark/>
          </w:tcPr>
          <w:p w14:paraId="10306A25"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7.5</w:t>
            </w:r>
          </w:p>
        </w:tc>
        <w:tc>
          <w:tcPr>
            <w:tcW w:w="1270" w:type="dxa"/>
            <w:noWrap/>
            <w:vAlign w:val="center"/>
            <w:hideMark/>
          </w:tcPr>
          <w:p w14:paraId="2C64BE9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hAnsi="Arial" w:cs="Arial"/>
                <w:color w:val="000000"/>
              </w:rPr>
              <w:t>3.3</w:t>
            </w:r>
          </w:p>
        </w:tc>
        <w:tc>
          <w:tcPr>
            <w:tcW w:w="1043" w:type="dxa"/>
            <w:noWrap/>
            <w:vAlign w:val="center"/>
            <w:hideMark/>
          </w:tcPr>
          <w:p w14:paraId="2FF0AD0E"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4,973.9</w:t>
            </w:r>
          </w:p>
        </w:tc>
        <w:tc>
          <w:tcPr>
            <w:tcW w:w="1897" w:type="dxa"/>
            <w:noWrap/>
            <w:vAlign w:val="center"/>
            <w:hideMark/>
          </w:tcPr>
          <w:p w14:paraId="3F2BB1C6"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0.6</w:t>
            </w:r>
          </w:p>
        </w:tc>
        <w:tc>
          <w:tcPr>
            <w:tcW w:w="1997" w:type="dxa"/>
            <w:noWrap/>
            <w:vAlign w:val="center"/>
            <w:hideMark/>
          </w:tcPr>
          <w:p w14:paraId="0A4FE1E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30.0</w:t>
            </w:r>
          </w:p>
        </w:tc>
      </w:tr>
      <w:tr w:rsidR="008755A5" w:rsidRPr="008755A5" w14:paraId="5ADDCE40" w14:textId="77777777" w:rsidTr="008755A5">
        <w:trPr>
          <w:trHeight w:val="276"/>
        </w:trPr>
        <w:tc>
          <w:tcPr>
            <w:tcW w:w="1060" w:type="dxa"/>
            <w:noWrap/>
            <w:vAlign w:val="center"/>
            <w:hideMark/>
          </w:tcPr>
          <w:p w14:paraId="7AA70876"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2011</w:t>
            </w:r>
          </w:p>
        </w:tc>
        <w:tc>
          <w:tcPr>
            <w:tcW w:w="1067" w:type="dxa"/>
            <w:noWrap/>
            <w:vAlign w:val="center"/>
            <w:hideMark/>
          </w:tcPr>
          <w:p w14:paraId="74FC8A6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370.8</w:t>
            </w:r>
          </w:p>
        </w:tc>
        <w:tc>
          <w:tcPr>
            <w:tcW w:w="1017" w:type="dxa"/>
            <w:noWrap/>
            <w:vAlign w:val="center"/>
            <w:hideMark/>
          </w:tcPr>
          <w:p w14:paraId="1756953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0.8</w:t>
            </w:r>
          </w:p>
        </w:tc>
        <w:tc>
          <w:tcPr>
            <w:tcW w:w="1270" w:type="dxa"/>
            <w:noWrap/>
            <w:vAlign w:val="center"/>
            <w:hideMark/>
          </w:tcPr>
          <w:p w14:paraId="6FA74C4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3.8</w:t>
            </w:r>
          </w:p>
        </w:tc>
        <w:tc>
          <w:tcPr>
            <w:tcW w:w="1043" w:type="dxa"/>
            <w:noWrap/>
            <w:vAlign w:val="center"/>
            <w:hideMark/>
          </w:tcPr>
          <w:p w14:paraId="0027005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5,373.6</w:t>
            </w:r>
          </w:p>
        </w:tc>
        <w:tc>
          <w:tcPr>
            <w:tcW w:w="1897" w:type="dxa"/>
            <w:noWrap/>
            <w:vAlign w:val="center"/>
            <w:hideMark/>
          </w:tcPr>
          <w:p w14:paraId="7344BF7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0.7</w:t>
            </w:r>
          </w:p>
        </w:tc>
        <w:tc>
          <w:tcPr>
            <w:tcW w:w="1997" w:type="dxa"/>
            <w:noWrap/>
            <w:vAlign w:val="center"/>
            <w:hideMark/>
          </w:tcPr>
          <w:p w14:paraId="2F729C2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25.5</w:t>
            </w:r>
          </w:p>
        </w:tc>
      </w:tr>
      <w:tr w:rsidR="008755A5" w:rsidRPr="008755A5" w14:paraId="5A2B9108" w14:textId="77777777" w:rsidTr="008755A5">
        <w:trPr>
          <w:trHeight w:val="276"/>
        </w:trPr>
        <w:tc>
          <w:tcPr>
            <w:tcW w:w="1060" w:type="dxa"/>
            <w:noWrap/>
            <w:vAlign w:val="center"/>
            <w:hideMark/>
          </w:tcPr>
          <w:p w14:paraId="0A3E42A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2012</w:t>
            </w:r>
          </w:p>
        </w:tc>
        <w:tc>
          <w:tcPr>
            <w:tcW w:w="1067" w:type="dxa"/>
            <w:noWrap/>
            <w:vAlign w:val="center"/>
            <w:hideMark/>
          </w:tcPr>
          <w:p w14:paraId="119076A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397.6</w:t>
            </w:r>
          </w:p>
        </w:tc>
        <w:tc>
          <w:tcPr>
            <w:tcW w:w="1017" w:type="dxa"/>
            <w:noWrap/>
            <w:vAlign w:val="center"/>
            <w:hideMark/>
          </w:tcPr>
          <w:p w14:paraId="6E24F16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7.2</w:t>
            </w:r>
          </w:p>
        </w:tc>
        <w:tc>
          <w:tcPr>
            <w:tcW w:w="1270" w:type="dxa"/>
            <w:noWrap/>
            <w:vAlign w:val="center"/>
            <w:hideMark/>
          </w:tcPr>
          <w:p w14:paraId="1A4D1B1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3.0</w:t>
            </w:r>
          </w:p>
        </w:tc>
        <w:tc>
          <w:tcPr>
            <w:tcW w:w="1043" w:type="dxa"/>
            <w:noWrap/>
            <w:vAlign w:val="center"/>
            <w:hideMark/>
          </w:tcPr>
          <w:p w14:paraId="1B14F6C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5,725.5</w:t>
            </w:r>
          </w:p>
        </w:tc>
        <w:tc>
          <w:tcPr>
            <w:tcW w:w="1897" w:type="dxa"/>
            <w:noWrap/>
            <w:vAlign w:val="center"/>
            <w:hideMark/>
          </w:tcPr>
          <w:p w14:paraId="0E4C1DB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0.6</w:t>
            </w:r>
          </w:p>
        </w:tc>
        <w:tc>
          <w:tcPr>
            <w:tcW w:w="1997" w:type="dxa"/>
            <w:noWrap/>
            <w:vAlign w:val="center"/>
            <w:hideMark/>
          </w:tcPr>
          <w:p w14:paraId="191BCA46"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24.9</w:t>
            </w:r>
          </w:p>
        </w:tc>
      </w:tr>
      <w:tr w:rsidR="008755A5" w:rsidRPr="008755A5" w14:paraId="30FB7763" w14:textId="77777777" w:rsidTr="008755A5">
        <w:trPr>
          <w:trHeight w:val="276"/>
        </w:trPr>
        <w:tc>
          <w:tcPr>
            <w:tcW w:w="1060" w:type="dxa"/>
            <w:noWrap/>
            <w:vAlign w:val="center"/>
            <w:hideMark/>
          </w:tcPr>
          <w:p w14:paraId="5467C32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2013</w:t>
            </w:r>
          </w:p>
        </w:tc>
        <w:tc>
          <w:tcPr>
            <w:tcW w:w="1067" w:type="dxa"/>
            <w:noWrap/>
            <w:vAlign w:val="center"/>
            <w:hideMark/>
          </w:tcPr>
          <w:p w14:paraId="2BB7D5C4"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420.3</w:t>
            </w:r>
          </w:p>
        </w:tc>
        <w:tc>
          <w:tcPr>
            <w:tcW w:w="1017" w:type="dxa"/>
            <w:noWrap/>
            <w:vAlign w:val="center"/>
            <w:hideMark/>
          </w:tcPr>
          <w:p w14:paraId="4690851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2.7</w:t>
            </w:r>
          </w:p>
        </w:tc>
        <w:tc>
          <w:tcPr>
            <w:tcW w:w="1270" w:type="dxa"/>
            <w:noWrap/>
            <w:vAlign w:val="center"/>
            <w:hideMark/>
          </w:tcPr>
          <w:p w14:paraId="314D8DE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2.2</w:t>
            </w:r>
          </w:p>
        </w:tc>
        <w:tc>
          <w:tcPr>
            <w:tcW w:w="1043" w:type="dxa"/>
            <w:noWrap/>
            <w:vAlign w:val="center"/>
            <w:hideMark/>
          </w:tcPr>
          <w:p w14:paraId="0748CD2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6,018.1</w:t>
            </w:r>
          </w:p>
        </w:tc>
        <w:tc>
          <w:tcPr>
            <w:tcW w:w="1897" w:type="dxa"/>
            <w:noWrap/>
            <w:vAlign w:val="center"/>
            <w:hideMark/>
          </w:tcPr>
          <w:p w14:paraId="0EF21D0B"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0.2</w:t>
            </w:r>
          </w:p>
        </w:tc>
        <w:tc>
          <w:tcPr>
            <w:tcW w:w="1997" w:type="dxa"/>
            <w:noWrap/>
            <w:vAlign w:val="center"/>
            <w:hideMark/>
          </w:tcPr>
          <w:p w14:paraId="7950EF5B"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21.8</w:t>
            </w:r>
          </w:p>
        </w:tc>
      </w:tr>
      <w:tr w:rsidR="008755A5" w:rsidRPr="008755A5" w14:paraId="2C7554BF" w14:textId="77777777" w:rsidTr="008755A5">
        <w:trPr>
          <w:trHeight w:val="276"/>
        </w:trPr>
        <w:tc>
          <w:tcPr>
            <w:tcW w:w="1060" w:type="dxa"/>
            <w:noWrap/>
            <w:vAlign w:val="center"/>
            <w:hideMark/>
          </w:tcPr>
          <w:p w14:paraId="3A1FD83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2014</w:t>
            </w:r>
          </w:p>
        </w:tc>
        <w:tc>
          <w:tcPr>
            <w:tcW w:w="1067" w:type="dxa"/>
            <w:noWrap/>
            <w:vAlign w:val="center"/>
            <w:hideMark/>
          </w:tcPr>
          <w:p w14:paraId="72B6D294"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407.3</w:t>
            </w:r>
          </w:p>
        </w:tc>
        <w:tc>
          <w:tcPr>
            <w:tcW w:w="1017" w:type="dxa"/>
            <w:noWrap/>
            <w:vAlign w:val="center"/>
            <w:hideMark/>
          </w:tcPr>
          <w:p w14:paraId="6AB969BB"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1.0</w:t>
            </w:r>
          </w:p>
        </w:tc>
        <w:tc>
          <w:tcPr>
            <w:tcW w:w="1270" w:type="dxa"/>
            <w:noWrap/>
            <w:vAlign w:val="center"/>
            <w:hideMark/>
          </w:tcPr>
          <w:p w14:paraId="661A0F6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1.9</w:t>
            </w:r>
          </w:p>
        </w:tc>
        <w:tc>
          <w:tcPr>
            <w:tcW w:w="1043" w:type="dxa"/>
            <w:noWrap/>
            <w:vAlign w:val="center"/>
            <w:hideMark/>
          </w:tcPr>
          <w:p w14:paraId="10CE1F3E"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5,801.2</w:t>
            </w:r>
          </w:p>
        </w:tc>
        <w:tc>
          <w:tcPr>
            <w:tcW w:w="1897" w:type="dxa"/>
            <w:noWrap/>
            <w:vAlign w:val="center"/>
            <w:hideMark/>
          </w:tcPr>
          <w:p w14:paraId="4E9136C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0.6</w:t>
            </w:r>
          </w:p>
        </w:tc>
        <w:tc>
          <w:tcPr>
            <w:tcW w:w="1997" w:type="dxa"/>
            <w:noWrap/>
            <w:vAlign w:val="center"/>
            <w:hideMark/>
          </w:tcPr>
          <w:p w14:paraId="33F0804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20.9</w:t>
            </w:r>
          </w:p>
        </w:tc>
      </w:tr>
      <w:tr w:rsidR="008755A5" w:rsidRPr="008755A5" w14:paraId="3EEEFB34" w14:textId="77777777" w:rsidTr="008755A5">
        <w:trPr>
          <w:trHeight w:val="276"/>
        </w:trPr>
        <w:tc>
          <w:tcPr>
            <w:tcW w:w="1060" w:type="dxa"/>
            <w:noWrap/>
            <w:vAlign w:val="center"/>
            <w:hideMark/>
          </w:tcPr>
          <w:p w14:paraId="2C40E50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2015</w:t>
            </w:r>
          </w:p>
        </w:tc>
        <w:tc>
          <w:tcPr>
            <w:tcW w:w="1067" w:type="dxa"/>
            <w:noWrap/>
            <w:vAlign w:val="center"/>
            <w:hideMark/>
          </w:tcPr>
          <w:p w14:paraId="509EF584"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401.3</w:t>
            </w:r>
          </w:p>
        </w:tc>
        <w:tc>
          <w:tcPr>
            <w:tcW w:w="1017" w:type="dxa"/>
            <w:noWrap/>
            <w:vAlign w:val="center"/>
            <w:hideMark/>
          </w:tcPr>
          <w:p w14:paraId="7D3D96B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3.1</w:t>
            </w:r>
          </w:p>
        </w:tc>
        <w:tc>
          <w:tcPr>
            <w:tcW w:w="1270" w:type="dxa"/>
            <w:noWrap/>
            <w:vAlign w:val="center"/>
            <w:hideMark/>
          </w:tcPr>
          <w:p w14:paraId="3ECC4C3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-0.9</w:t>
            </w:r>
          </w:p>
        </w:tc>
        <w:tc>
          <w:tcPr>
            <w:tcW w:w="1043" w:type="dxa"/>
            <w:noWrap/>
            <w:vAlign w:val="center"/>
            <w:hideMark/>
          </w:tcPr>
          <w:p w14:paraId="3E95A4F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5,688.9</w:t>
            </w:r>
          </w:p>
        </w:tc>
        <w:tc>
          <w:tcPr>
            <w:tcW w:w="1897" w:type="dxa"/>
            <w:noWrap/>
            <w:vAlign w:val="center"/>
            <w:hideMark/>
          </w:tcPr>
          <w:p w14:paraId="0DE570CB"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0.6</w:t>
            </w:r>
          </w:p>
        </w:tc>
        <w:tc>
          <w:tcPr>
            <w:tcW w:w="1997" w:type="dxa"/>
            <w:noWrap/>
            <w:vAlign w:val="center"/>
            <w:hideMark/>
          </w:tcPr>
          <w:p w14:paraId="3624DAE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16.9</w:t>
            </w:r>
          </w:p>
        </w:tc>
      </w:tr>
      <w:tr w:rsidR="008755A5" w:rsidRPr="008755A5" w14:paraId="448E3F6F" w14:textId="77777777" w:rsidTr="008755A5">
        <w:trPr>
          <w:trHeight w:val="276"/>
        </w:trPr>
        <w:tc>
          <w:tcPr>
            <w:tcW w:w="1060" w:type="dxa"/>
            <w:noWrap/>
            <w:vAlign w:val="center"/>
            <w:hideMark/>
          </w:tcPr>
          <w:p w14:paraId="7127DC92"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2016</w:t>
            </w:r>
          </w:p>
        </w:tc>
        <w:tc>
          <w:tcPr>
            <w:tcW w:w="1067" w:type="dxa"/>
            <w:noWrap/>
            <w:vAlign w:val="center"/>
            <w:hideMark/>
          </w:tcPr>
          <w:p w14:paraId="2145AF5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413.4</w:t>
            </w:r>
          </w:p>
        </w:tc>
        <w:tc>
          <w:tcPr>
            <w:tcW w:w="1017" w:type="dxa"/>
            <w:noWrap/>
            <w:vAlign w:val="center"/>
            <w:hideMark/>
          </w:tcPr>
          <w:p w14:paraId="0964A8C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3.4</w:t>
            </w:r>
          </w:p>
        </w:tc>
        <w:tc>
          <w:tcPr>
            <w:tcW w:w="1270" w:type="dxa"/>
            <w:noWrap/>
            <w:vAlign w:val="center"/>
            <w:hideMark/>
          </w:tcPr>
          <w:p w14:paraId="75AC6E2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0.2</w:t>
            </w:r>
          </w:p>
        </w:tc>
        <w:tc>
          <w:tcPr>
            <w:tcW w:w="1043" w:type="dxa"/>
            <w:noWrap/>
            <w:vAlign w:val="center"/>
            <w:hideMark/>
          </w:tcPr>
          <w:p w14:paraId="730BACE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5,833.6</w:t>
            </w:r>
          </w:p>
        </w:tc>
        <w:tc>
          <w:tcPr>
            <w:tcW w:w="1897" w:type="dxa"/>
            <w:noWrap/>
            <w:vAlign w:val="center"/>
            <w:hideMark/>
          </w:tcPr>
          <w:p w14:paraId="21F5242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0.7</w:t>
            </w:r>
          </w:p>
        </w:tc>
        <w:tc>
          <w:tcPr>
            <w:tcW w:w="1997" w:type="dxa"/>
            <w:noWrap/>
            <w:vAlign w:val="center"/>
            <w:hideMark/>
          </w:tcPr>
          <w:p w14:paraId="547917AE"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17.9</w:t>
            </w:r>
          </w:p>
        </w:tc>
      </w:tr>
      <w:tr w:rsidR="008755A5" w:rsidRPr="008755A5" w14:paraId="461AD1ED" w14:textId="77777777" w:rsidTr="008755A5">
        <w:trPr>
          <w:trHeight w:val="276"/>
        </w:trPr>
        <w:tc>
          <w:tcPr>
            <w:tcW w:w="1060" w:type="dxa"/>
            <w:noWrap/>
            <w:vAlign w:val="center"/>
            <w:hideMark/>
          </w:tcPr>
          <w:p w14:paraId="20245B45"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2017</w:t>
            </w:r>
          </w:p>
        </w:tc>
        <w:tc>
          <w:tcPr>
            <w:tcW w:w="1067" w:type="dxa"/>
            <w:noWrap/>
            <w:vAlign w:val="center"/>
            <w:hideMark/>
          </w:tcPr>
          <w:p w14:paraId="2DCE26A8"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456.4</w:t>
            </w:r>
          </w:p>
        </w:tc>
        <w:tc>
          <w:tcPr>
            <w:tcW w:w="1017" w:type="dxa"/>
            <w:noWrap/>
            <w:vAlign w:val="center"/>
            <w:hideMark/>
          </w:tcPr>
          <w:p w14:paraId="58ADC48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4.2</w:t>
            </w:r>
          </w:p>
        </w:tc>
        <w:tc>
          <w:tcPr>
            <w:tcW w:w="1270" w:type="dxa"/>
            <w:noWrap/>
            <w:vAlign w:val="center"/>
            <w:hideMark/>
          </w:tcPr>
          <w:p w14:paraId="1D599CE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0.7</w:t>
            </w:r>
          </w:p>
        </w:tc>
        <w:tc>
          <w:tcPr>
            <w:tcW w:w="1043" w:type="dxa"/>
            <w:noWrap/>
            <w:vAlign w:val="center"/>
            <w:hideMark/>
          </w:tcPr>
          <w:p w14:paraId="11E426C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6,413.1</w:t>
            </w:r>
          </w:p>
        </w:tc>
        <w:tc>
          <w:tcPr>
            <w:tcW w:w="1897" w:type="dxa"/>
            <w:noWrap/>
            <w:vAlign w:val="center"/>
            <w:hideMark/>
          </w:tcPr>
          <w:p w14:paraId="78B14FC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0.8</w:t>
            </w:r>
          </w:p>
        </w:tc>
        <w:tc>
          <w:tcPr>
            <w:tcW w:w="1997" w:type="dxa"/>
            <w:noWrap/>
            <w:vAlign w:val="center"/>
            <w:hideMark/>
          </w:tcPr>
          <w:p w14:paraId="454D6B5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17.2</w:t>
            </w:r>
          </w:p>
        </w:tc>
      </w:tr>
      <w:tr w:rsidR="008755A5" w:rsidRPr="008755A5" w14:paraId="699D59C5" w14:textId="77777777" w:rsidTr="008755A5">
        <w:trPr>
          <w:trHeight w:val="276"/>
        </w:trPr>
        <w:tc>
          <w:tcPr>
            <w:tcW w:w="1060" w:type="dxa"/>
            <w:noWrap/>
            <w:vAlign w:val="center"/>
            <w:hideMark/>
          </w:tcPr>
          <w:p w14:paraId="0DF4403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2018</w:t>
            </w:r>
          </w:p>
        </w:tc>
        <w:tc>
          <w:tcPr>
            <w:tcW w:w="1067" w:type="dxa"/>
            <w:noWrap/>
            <w:vAlign w:val="center"/>
            <w:hideMark/>
          </w:tcPr>
          <w:p w14:paraId="6E509D5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506.8</w:t>
            </w:r>
          </w:p>
        </w:tc>
        <w:tc>
          <w:tcPr>
            <w:tcW w:w="1017" w:type="dxa"/>
            <w:noWrap/>
            <w:vAlign w:val="center"/>
            <w:hideMark/>
          </w:tcPr>
          <w:p w14:paraId="25B16CF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4.2</w:t>
            </w:r>
          </w:p>
        </w:tc>
        <w:tc>
          <w:tcPr>
            <w:tcW w:w="1270" w:type="dxa"/>
            <w:noWrap/>
            <w:vAlign w:val="center"/>
            <w:hideMark/>
          </w:tcPr>
          <w:p w14:paraId="22AD6572"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1.1</w:t>
            </w:r>
          </w:p>
        </w:tc>
        <w:tc>
          <w:tcPr>
            <w:tcW w:w="1043" w:type="dxa"/>
            <w:noWrap/>
            <w:vAlign w:val="center"/>
            <w:hideMark/>
          </w:tcPr>
          <w:p w14:paraId="71197E9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7,099.8</w:t>
            </w:r>
          </w:p>
        </w:tc>
        <w:tc>
          <w:tcPr>
            <w:tcW w:w="1897" w:type="dxa"/>
            <w:noWrap/>
            <w:vAlign w:val="center"/>
            <w:hideMark/>
          </w:tcPr>
          <w:p w14:paraId="7A1B095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0.8</w:t>
            </w:r>
          </w:p>
        </w:tc>
        <w:tc>
          <w:tcPr>
            <w:tcW w:w="1997" w:type="dxa"/>
            <w:noWrap/>
            <w:vAlign w:val="center"/>
            <w:hideMark/>
          </w:tcPr>
          <w:p w14:paraId="7A42A413"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17.8</w:t>
            </w:r>
          </w:p>
        </w:tc>
      </w:tr>
      <w:tr w:rsidR="008755A5" w:rsidRPr="008755A5" w14:paraId="1EEE3F7E" w14:textId="77777777" w:rsidTr="008755A5">
        <w:trPr>
          <w:trHeight w:val="276"/>
        </w:trPr>
        <w:tc>
          <w:tcPr>
            <w:tcW w:w="1060" w:type="dxa"/>
            <w:noWrap/>
            <w:vAlign w:val="center"/>
            <w:hideMark/>
          </w:tcPr>
          <w:p w14:paraId="5489D7E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2019</w:t>
            </w:r>
          </w:p>
        </w:tc>
        <w:tc>
          <w:tcPr>
            <w:tcW w:w="1067" w:type="dxa"/>
            <w:noWrap/>
            <w:vAlign w:val="center"/>
            <w:hideMark/>
          </w:tcPr>
          <w:p w14:paraId="472D4E2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544.0</w:t>
            </w:r>
          </w:p>
        </w:tc>
        <w:tc>
          <w:tcPr>
            <w:tcW w:w="1017" w:type="dxa"/>
            <w:noWrap/>
            <w:vAlign w:val="center"/>
            <w:hideMark/>
          </w:tcPr>
          <w:p w14:paraId="301C0AB5"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2.1</w:t>
            </w:r>
          </w:p>
        </w:tc>
        <w:tc>
          <w:tcPr>
            <w:tcW w:w="1270" w:type="dxa"/>
            <w:noWrap/>
            <w:vAlign w:val="center"/>
            <w:hideMark/>
          </w:tcPr>
          <w:p w14:paraId="3ED381BE"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0.7</w:t>
            </w:r>
          </w:p>
        </w:tc>
        <w:tc>
          <w:tcPr>
            <w:tcW w:w="1043" w:type="dxa"/>
            <w:noWrap/>
            <w:vAlign w:val="center"/>
            <w:hideMark/>
          </w:tcPr>
          <w:p w14:paraId="53253482"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7,605.7</w:t>
            </w:r>
          </w:p>
        </w:tc>
        <w:tc>
          <w:tcPr>
            <w:tcW w:w="1897" w:type="dxa"/>
            <w:noWrap/>
            <w:vAlign w:val="center"/>
            <w:hideMark/>
          </w:tcPr>
          <w:p w14:paraId="555C3AF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0.7</w:t>
            </w:r>
          </w:p>
        </w:tc>
        <w:tc>
          <w:tcPr>
            <w:tcW w:w="1997" w:type="dxa"/>
            <w:noWrap/>
            <w:vAlign w:val="center"/>
            <w:hideMark/>
          </w:tcPr>
          <w:p w14:paraId="4E4DEF9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15.2</w:t>
            </w:r>
          </w:p>
        </w:tc>
      </w:tr>
      <w:tr w:rsidR="008755A5" w:rsidRPr="008755A5" w14:paraId="46BD86F6" w14:textId="77777777" w:rsidTr="008755A5">
        <w:trPr>
          <w:trHeight w:val="276"/>
        </w:trPr>
        <w:tc>
          <w:tcPr>
            <w:tcW w:w="1060" w:type="dxa"/>
            <w:noWrap/>
            <w:vAlign w:val="center"/>
            <w:hideMark/>
          </w:tcPr>
          <w:p w14:paraId="3506760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2020</w:t>
            </w:r>
          </w:p>
        </w:tc>
        <w:tc>
          <w:tcPr>
            <w:tcW w:w="1067" w:type="dxa"/>
            <w:noWrap/>
            <w:vAlign w:val="center"/>
            <w:hideMark/>
          </w:tcPr>
          <w:p w14:paraId="53E9C4C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500.5</w:t>
            </w:r>
          </w:p>
        </w:tc>
        <w:tc>
          <w:tcPr>
            <w:tcW w:w="1017" w:type="dxa"/>
            <w:noWrap/>
            <w:vAlign w:val="center"/>
            <w:hideMark/>
          </w:tcPr>
          <w:p w14:paraId="4A2FCE6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-6.1</w:t>
            </w:r>
          </w:p>
        </w:tc>
        <w:tc>
          <w:tcPr>
            <w:tcW w:w="1270" w:type="dxa"/>
            <w:noWrap/>
            <w:vAlign w:val="center"/>
            <w:hideMark/>
          </w:tcPr>
          <w:p w14:paraId="270E2EC5"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-0.8</w:t>
            </w:r>
          </w:p>
        </w:tc>
        <w:tc>
          <w:tcPr>
            <w:tcW w:w="1043" w:type="dxa"/>
            <w:noWrap/>
            <w:vAlign w:val="center"/>
            <w:hideMark/>
          </w:tcPr>
          <w:p w14:paraId="6624FDE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6,985.6</w:t>
            </w:r>
          </w:p>
        </w:tc>
        <w:tc>
          <w:tcPr>
            <w:tcW w:w="1897" w:type="dxa"/>
            <w:noWrap/>
            <w:vAlign w:val="center"/>
            <w:hideMark/>
          </w:tcPr>
          <w:p w14:paraId="342C711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1.1</w:t>
            </w:r>
          </w:p>
        </w:tc>
        <w:tc>
          <w:tcPr>
            <w:tcW w:w="1997" w:type="dxa"/>
            <w:noWrap/>
            <w:vAlign w:val="center"/>
            <w:hideMark/>
          </w:tcPr>
          <w:p w14:paraId="27FA41D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15.1</w:t>
            </w:r>
          </w:p>
        </w:tc>
      </w:tr>
      <w:tr w:rsidR="008755A5" w:rsidRPr="008755A5" w14:paraId="0AE94FA7" w14:textId="77777777" w:rsidTr="008755A5">
        <w:trPr>
          <w:trHeight w:val="276"/>
        </w:trPr>
        <w:tc>
          <w:tcPr>
            <w:tcW w:w="1060" w:type="dxa"/>
            <w:noWrap/>
            <w:vAlign w:val="center"/>
            <w:hideMark/>
          </w:tcPr>
          <w:p w14:paraId="6FEF76B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2021</w:t>
            </w:r>
          </w:p>
        </w:tc>
        <w:tc>
          <w:tcPr>
            <w:tcW w:w="1067" w:type="dxa"/>
            <w:noWrap/>
            <w:vAlign w:val="center"/>
            <w:hideMark/>
          </w:tcPr>
          <w:p w14:paraId="50AB15A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506.2</w:t>
            </w:r>
          </w:p>
        </w:tc>
        <w:tc>
          <w:tcPr>
            <w:tcW w:w="1017" w:type="dxa"/>
            <w:noWrap/>
            <w:vAlign w:val="center"/>
            <w:hideMark/>
          </w:tcPr>
          <w:p w14:paraId="4E6AEEE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1.6</w:t>
            </w:r>
          </w:p>
        </w:tc>
        <w:tc>
          <w:tcPr>
            <w:tcW w:w="1270" w:type="dxa"/>
            <w:noWrap/>
            <w:vAlign w:val="center"/>
            <w:hideMark/>
          </w:tcPr>
          <w:p w14:paraId="775BED14"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1.2</w:t>
            </w:r>
          </w:p>
        </w:tc>
        <w:tc>
          <w:tcPr>
            <w:tcW w:w="1043" w:type="dxa"/>
            <w:noWrap/>
            <w:vAlign w:val="center"/>
            <w:hideMark/>
          </w:tcPr>
          <w:p w14:paraId="1CA31E5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7,057.2</w:t>
            </w:r>
          </w:p>
        </w:tc>
        <w:tc>
          <w:tcPr>
            <w:tcW w:w="1897" w:type="dxa"/>
            <w:noWrap/>
            <w:vAlign w:val="center"/>
            <w:hideMark/>
          </w:tcPr>
          <w:p w14:paraId="38CEBB41"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1.2</w:t>
            </w:r>
          </w:p>
        </w:tc>
        <w:tc>
          <w:tcPr>
            <w:tcW w:w="1997" w:type="dxa"/>
            <w:noWrap/>
            <w:vAlign w:val="center"/>
            <w:hideMark/>
          </w:tcPr>
          <w:p w14:paraId="6DF27E6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14.1</w:t>
            </w:r>
          </w:p>
        </w:tc>
      </w:tr>
      <w:tr w:rsidR="008755A5" w:rsidRPr="008755A5" w14:paraId="1D8C1173" w14:textId="77777777" w:rsidTr="008755A5">
        <w:trPr>
          <w:trHeight w:val="276"/>
        </w:trPr>
        <w:tc>
          <w:tcPr>
            <w:tcW w:w="1060" w:type="dxa"/>
            <w:noWrap/>
            <w:vAlign w:val="center"/>
            <w:hideMark/>
          </w:tcPr>
          <w:p w14:paraId="33A17FB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2022</w:t>
            </w:r>
          </w:p>
        </w:tc>
        <w:tc>
          <w:tcPr>
            <w:tcW w:w="1067" w:type="dxa"/>
            <w:noWrap/>
            <w:vAlign w:val="center"/>
            <w:hideMark/>
          </w:tcPr>
          <w:p w14:paraId="55ADD60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495.6</w:t>
            </w:r>
          </w:p>
        </w:tc>
        <w:tc>
          <w:tcPr>
            <w:tcW w:w="1017" w:type="dxa"/>
            <w:noWrap/>
            <w:vAlign w:val="center"/>
            <w:hideMark/>
          </w:tcPr>
          <w:p w14:paraId="08F924D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2.6</w:t>
            </w:r>
          </w:p>
        </w:tc>
        <w:tc>
          <w:tcPr>
            <w:tcW w:w="1270" w:type="dxa"/>
            <w:noWrap/>
            <w:vAlign w:val="center"/>
            <w:hideMark/>
          </w:tcPr>
          <w:p w14:paraId="5905F79C"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-1.6</w:t>
            </w:r>
          </w:p>
        </w:tc>
        <w:tc>
          <w:tcPr>
            <w:tcW w:w="1043" w:type="dxa"/>
            <w:noWrap/>
            <w:vAlign w:val="center"/>
            <w:hideMark/>
          </w:tcPr>
          <w:p w14:paraId="54F8F06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6,909.4</w:t>
            </w:r>
          </w:p>
        </w:tc>
        <w:tc>
          <w:tcPr>
            <w:tcW w:w="1897" w:type="dxa"/>
            <w:noWrap/>
            <w:vAlign w:val="center"/>
            <w:hideMark/>
          </w:tcPr>
          <w:p w14:paraId="6D2BFD0E"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0.9</w:t>
            </w:r>
          </w:p>
        </w:tc>
        <w:tc>
          <w:tcPr>
            <w:tcW w:w="1997" w:type="dxa"/>
            <w:noWrap/>
            <w:vAlign w:val="center"/>
            <w:hideMark/>
          </w:tcPr>
          <w:p w14:paraId="4B97E72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9.9</w:t>
            </w:r>
          </w:p>
        </w:tc>
      </w:tr>
      <w:tr w:rsidR="008755A5" w:rsidRPr="008755A5" w14:paraId="33A96AB4" w14:textId="77777777" w:rsidTr="008755A5">
        <w:trPr>
          <w:trHeight w:val="276"/>
        </w:trPr>
        <w:tc>
          <w:tcPr>
            <w:tcW w:w="1060" w:type="dxa"/>
            <w:noWrap/>
            <w:vAlign w:val="center"/>
            <w:hideMark/>
          </w:tcPr>
          <w:p w14:paraId="21861E6E"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2023</w:t>
            </w:r>
          </w:p>
        </w:tc>
        <w:tc>
          <w:tcPr>
            <w:tcW w:w="1067" w:type="dxa"/>
            <w:noWrap/>
            <w:vAlign w:val="center"/>
            <w:hideMark/>
          </w:tcPr>
          <w:p w14:paraId="314A178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515.9</w:t>
            </w:r>
          </w:p>
        </w:tc>
        <w:tc>
          <w:tcPr>
            <w:tcW w:w="1017" w:type="dxa"/>
            <w:noWrap/>
            <w:vAlign w:val="center"/>
            <w:hideMark/>
          </w:tcPr>
          <w:p w14:paraId="0275B7BE"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w:t>
            </w:r>
          </w:p>
        </w:tc>
        <w:tc>
          <w:tcPr>
            <w:tcW w:w="1270" w:type="dxa"/>
            <w:noWrap/>
            <w:vAlign w:val="center"/>
            <w:hideMark/>
          </w:tcPr>
          <w:p w14:paraId="7916A6B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8.5</w:t>
            </w:r>
          </w:p>
        </w:tc>
        <w:tc>
          <w:tcPr>
            <w:tcW w:w="1043" w:type="dxa"/>
            <w:noWrap/>
            <w:vAlign w:val="center"/>
            <w:hideMark/>
          </w:tcPr>
          <w:p w14:paraId="7507EC7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7,195.1</w:t>
            </w:r>
          </w:p>
        </w:tc>
        <w:tc>
          <w:tcPr>
            <w:tcW w:w="1897" w:type="dxa"/>
            <w:noWrap/>
            <w:vAlign w:val="center"/>
            <w:hideMark/>
          </w:tcPr>
          <w:p w14:paraId="4C07848B"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0.7</w:t>
            </w:r>
          </w:p>
        </w:tc>
        <w:tc>
          <w:tcPr>
            <w:tcW w:w="1997" w:type="dxa"/>
            <w:noWrap/>
            <w:vAlign w:val="center"/>
            <w:hideMark/>
          </w:tcPr>
          <w:p w14:paraId="5774B750"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9.9</w:t>
            </w:r>
          </w:p>
        </w:tc>
      </w:tr>
      <w:tr w:rsidR="008755A5" w:rsidRPr="008755A5" w14:paraId="3B0E4DC9" w14:textId="77777777" w:rsidTr="008755A5">
        <w:trPr>
          <w:trHeight w:val="276"/>
        </w:trPr>
        <w:tc>
          <w:tcPr>
            <w:tcW w:w="1060" w:type="dxa"/>
            <w:noWrap/>
            <w:vAlign w:val="center"/>
            <w:hideMark/>
          </w:tcPr>
          <w:p w14:paraId="056F51C9"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2024</w:t>
            </w:r>
          </w:p>
        </w:tc>
        <w:tc>
          <w:tcPr>
            <w:tcW w:w="1067" w:type="dxa"/>
            <w:noWrap/>
            <w:vAlign w:val="center"/>
            <w:hideMark/>
          </w:tcPr>
          <w:p w14:paraId="1AA1500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526.4</w:t>
            </w:r>
          </w:p>
        </w:tc>
        <w:tc>
          <w:tcPr>
            <w:tcW w:w="1017" w:type="dxa"/>
            <w:noWrap/>
            <w:vAlign w:val="center"/>
            <w:hideMark/>
          </w:tcPr>
          <w:p w14:paraId="3989003A"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2.5</w:t>
            </w:r>
          </w:p>
        </w:tc>
        <w:tc>
          <w:tcPr>
            <w:tcW w:w="1270" w:type="dxa"/>
            <w:noWrap/>
            <w:vAlign w:val="center"/>
            <w:hideMark/>
          </w:tcPr>
          <w:p w14:paraId="57DA946D"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1.4</w:t>
            </w:r>
          </w:p>
        </w:tc>
        <w:tc>
          <w:tcPr>
            <w:tcW w:w="1043" w:type="dxa"/>
            <w:noWrap/>
            <w:vAlign w:val="center"/>
            <w:hideMark/>
          </w:tcPr>
          <w:p w14:paraId="777CEDE4"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7,345.1</w:t>
            </w:r>
          </w:p>
        </w:tc>
        <w:tc>
          <w:tcPr>
            <w:tcW w:w="1897" w:type="dxa"/>
            <w:noWrap/>
            <w:vAlign w:val="center"/>
            <w:hideMark/>
          </w:tcPr>
          <w:p w14:paraId="0EBF2AEF"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0.8</w:t>
            </w:r>
          </w:p>
        </w:tc>
        <w:tc>
          <w:tcPr>
            <w:tcW w:w="1997" w:type="dxa"/>
            <w:noWrap/>
            <w:vAlign w:val="center"/>
            <w:hideMark/>
          </w:tcPr>
          <w:p w14:paraId="56DEC3E7" w14:textId="77777777" w:rsidR="008755A5" w:rsidRPr="008755A5" w:rsidRDefault="008755A5" w:rsidP="008755A5">
            <w:pPr>
              <w:spacing w:before="120" w:after="120"/>
              <w:contextualSpacing/>
              <w:jc w:val="center"/>
              <w:rPr>
                <w:rFonts w:ascii="Arial" w:eastAsia="Times New Roman" w:hAnsi="Arial" w:cs="Arial"/>
                <w:color w:val="000000"/>
              </w:rPr>
            </w:pPr>
            <w:r w:rsidRPr="008755A5">
              <w:rPr>
                <w:rFonts w:ascii="Arial" w:eastAsia="Times New Roman" w:hAnsi="Arial" w:cs="Arial"/>
                <w:color w:val="000000"/>
              </w:rPr>
              <w:t>***</w:t>
            </w:r>
          </w:p>
        </w:tc>
      </w:tr>
    </w:tbl>
    <w:p w14:paraId="2ECADBD5" w14:textId="77777777" w:rsidR="008755A5" w:rsidRPr="008755A5" w:rsidRDefault="008755A5" w:rsidP="008755A5">
      <w:pPr>
        <w:spacing w:before="120" w:after="120"/>
        <w:contextualSpacing/>
        <w:rPr>
          <w:rFonts w:ascii="Arial" w:hAnsi="Arial" w:cs="Arial"/>
        </w:rPr>
      </w:pPr>
      <w:r w:rsidRPr="008755A5">
        <w:rPr>
          <w:rFonts w:ascii="Arial" w:hAnsi="Arial" w:cs="Arial"/>
        </w:rPr>
        <w:t xml:space="preserve">Source: </w:t>
      </w:r>
    </w:p>
    <w:p w14:paraId="37603C9E" w14:textId="77777777" w:rsidR="008755A5" w:rsidRPr="008755A5" w:rsidRDefault="008755A5" w:rsidP="008755A5">
      <w:pPr>
        <w:spacing w:before="120" w:after="120"/>
        <w:contextualSpacing/>
        <w:rPr>
          <w:rFonts w:ascii="Arial" w:hAnsi="Arial" w:cs="Arial"/>
        </w:rPr>
      </w:pPr>
      <w:r w:rsidRPr="008755A5">
        <w:rPr>
          <w:rFonts w:ascii="Arial" w:hAnsi="Arial" w:cs="Arial"/>
        </w:rPr>
        <w:t xml:space="preserve">The world bank group. Databank: world development indicators. Retrieved November 5, 2025 from </w:t>
      </w:r>
      <w:hyperlink r:id="rId8" w:history="1">
        <w:r w:rsidRPr="008755A5">
          <w:rPr>
            <w:rStyle w:val="Hyperlink"/>
            <w:rFonts w:ascii="Arial" w:hAnsi="Arial" w:cs="Arial"/>
          </w:rPr>
          <w:t>https://databank.worldbank.org/reports.aspx?source=2&amp;series=NY.GDP.PCAP.CD&amp;country=THA#</w:t>
        </w:r>
      </w:hyperlink>
    </w:p>
    <w:p w14:paraId="020242C2" w14:textId="3CB31A31" w:rsidR="008755A5" w:rsidRPr="008755A5" w:rsidRDefault="008755A5" w:rsidP="008755A5">
      <w:pPr>
        <w:pStyle w:val="ListParagraph"/>
        <w:spacing w:before="120" w:after="120" w:line="240" w:lineRule="auto"/>
        <w:ind w:left="360"/>
        <w:rPr>
          <w:rFonts w:ascii="Arial" w:hAnsi="Arial" w:cs="Arial"/>
          <w:sz w:val="24"/>
          <w:szCs w:val="24"/>
        </w:rPr>
      </w:pPr>
      <w:r w:rsidRPr="008755A5">
        <w:rPr>
          <w:rFonts w:ascii="Arial" w:hAnsi="Arial" w:cs="Arial"/>
          <w:sz w:val="24"/>
          <w:szCs w:val="24"/>
        </w:rPr>
        <w:t xml:space="preserve">*** = </w:t>
      </w:r>
      <w:r w:rsidR="007823CD">
        <w:rPr>
          <w:rFonts w:ascii="Browallia New" w:hAnsi="Browallia New" w:cs="Browallia New"/>
          <w:sz w:val="24"/>
          <w:szCs w:val="24"/>
        </w:rPr>
        <w:t>No data</w:t>
      </w:r>
    </w:p>
    <w:p w14:paraId="2BC7B949" w14:textId="77777777" w:rsidR="008755A5" w:rsidRDefault="008755A5">
      <w:pPr>
        <w:spacing w:before="120" w:after="120"/>
        <w:ind w:firstLine="1134"/>
        <w:jc w:val="thaiDistribute"/>
        <w:rPr>
          <w:rFonts w:ascii="Arial" w:hAnsi="Arial" w:cs="Arial"/>
        </w:rPr>
      </w:pPr>
      <w:r>
        <w:rPr>
          <w:rFonts w:ascii="Arial" w:hAnsi="Arial" w:cs="Arial"/>
        </w:rPr>
        <w:br w:type="page"/>
      </w:r>
    </w:p>
    <w:p w14:paraId="281BF0D4" w14:textId="77777777" w:rsidR="008755A5" w:rsidRPr="008755A5" w:rsidRDefault="008755A5" w:rsidP="008755A5">
      <w:pPr>
        <w:spacing w:before="120" w:after="120"/>
        <w:contextualSpacing/>
        <w:rPr>
          <w:rFonts w:ascii="Arial" w:hAnsi="Arial" w:cs="Arial"/>
        </w:rPr>
      </w:pPr>
      <w:r w:rsidRPr="008755A5">
        <w:rPr>
          <w:rFonts w:ascii="Arial" w:hAnsi="Arial" w:cs="Arial"/>
        </w:rPr>
        <w:lastRenderedPageBreak/>
        <w:t xml:space="preserve">The development of Thailand’s economy has varied across different periods, as detailed as follows: </w:t>
      </w:r>
    </w:p>
    <w:p w14:paraId="52F2AE2F" w14:textId="77777777" w:rsidR="008755A5" w:rsidRPr="008755A5" w:rsidRDefault="008755A5" w:rsidP="008755A5">
      <w:pPr>
        <w:spacing w:before="120" w:after="120"/>
        <w:contextualSpacing/>
        <w:rPr>
          <w:rFonts w:ascii="Arial" w:hAnsi="Arial" w:cs="Arial"/>
        </w:rPr>
      </w:pPr>
    </w:p>
    <w:p w14:paraId="4311319E" w14:textId="77777777" w:rsidR="008755A5" w:rsidRPr="008755A5" w:rsidRDefault="008755A5" w:rsidP="008755A5">
      <w:pPr>
        <w:spacing w:before="120" w:after="120"/>
        <w:contextualSpacing/>
        <w:rPr>
          <w:rFonts w:ascii="Arial" w:hAnsi="Arial" w:cs="Arial"/>
        </w:rPr>
      </w:pPr>
      <w:r w:rsidRPr="008755A5">
        <w:rPr>
          <w:rFonts w:ascii="Arial" w:hAnsi="Arial" w:cs="Arial"/>
        </w:rPr>
        <w:t>• 2000–2006:</w:t>
      </w:r>
      <w:r w:rsidRPr="008755A5">
        <w:rPr>
          <w:rFonts w:ascii="Arial" w:hAnsi="Arial" w:cs="Arial"/>
        </w:rPr>
        <w:br/>
        <w:t>During the early 2000s, the Thai economy was in a recovery phase following the Asian financial crisis of 1997–1998, which had severely affected the financial system and productive sectors. However, under expansionary economic policies and strong export performance, the economy began to stabilize and expand. GDP increased from USD 126.4 billion in 2000 to USD 221.8 billion in 2006, representing an average annual growth rate of approximately 5.2%. Notably, growth reached 7.2% in 2003, driven largely by industrial exports. Inflation remained moderate, ranging between 1.3% and 4.6%.</w:t>
      </w:r>
    </w:p>
    <w:p w14:paraId="05A94D7F" w14:textId="77777777" w:rsidR="008755A5" w:rsidRPr="008755A5" w:rsidRDefault="008755A5" w:rsidP="008755A5">
      <w:pPr>
        <w:spacing w:before="120" w:after="120"/>
        <w:contextualSpacing/>
        <w:rPr>
          <w:rFonts w:ascii="Arial" w:hAnsi="Arial" w:cs="Arial"/>
        </w:rPr>
      </w:pPr>
    </w:p>
    <w:p w14:paraId="4B0EC579" w14:textId="77777777" w:rsidR="008755A5" w:rsidRPr="008755A5" w:rsidRDefault="008755A5" w:rsidP="008755A5">
      <w:pPr>
        <w:spacing w:before="120" w:after="120"/>
        <w:contextualSpacing/>
        <w:rPr>
          <w:rFonts w:ascii="Arial" w:hAnsi="Arial" w:cs="Arial"/>
        </w:rPr>
      </w:pPr>
      <w:r w:rsidRPr="008755A5">
        <w:rPr>
          <w:rFonts w:ascii="Arial" w:hAnsi="Arial" w:cs="Arial"/>
        </w:rPr>
        <w:t>• 2007–2012:</w:t>
      </w:r>
      <w:r w:rsidRPr="008755A5">
        <w:rPr>
          <w:rFonts w:ascii="Arial" w:hAnsi="Arial" w:cs="Arial"/>
        </w:rPr>
        <w:br/>
        <w:t>Between 2007 and 2012, the Thai economy continued to grow, with GDP rising from USD 262.9 billion in 2007 to USD 397.6 billion in 2012. The average annual growth rate was around 3.7%, supported by export expansion, investment by small and medium-sized enterprises (SMEs), and sustained growth in tourism. The economy was affected by the 2008–2009 global financial crisis, resulting in growth of only 1.7% in 2008 and a contraction of –0.7% in 2009. Nonetheless, Thailand recovered quickly, achieving a strong rebound of 7.5% in 2010 due to government stimulus measures and a resurgence in exports. Inflation during this period fluctuated between –0.9% and 5.5%, influenced mainly by global oil price volatility.</w:t>
      </w:r>
    </w:p>
    <w:p w14:paraId="10BA7F9D" w14:textId="77777777" w:rsidR="008755A5" w:rsidRPr="008755A5" w:rsidRDefault="008755A5" w:rsidP="008755A5">
      <w:pPr>
        <w:spacing w:before="120" w:after="120"/>
        <w:contextualSpacing/>
        <w:rPr>
          <w:rFonts w:ascii="Arial" w:hAnsi="Arial" w:cs="Arial"/>
        </w:rPr>
      </w:pPr>
    </w:p>
    <w:p w14:paraId="5DBE568B" w14:textId="77777777" w:rsidR="008755A5" w:rsidRPr="008755A5" w:rsidRDefault="008755A5" w:rsidP="008755A5">
      <w:pPr>
        <w:spacing w:before="120" w:after="120"/>
        <w:contextualSpacing/>
        <w:rPr>
          <w:rFonts w:ascii="Arial" w:hAnsi="Arial" w:cs="Arial"/>
        </w:rPr>
      </w:pPr>
      <w:r w:rsidRPr="008755A5">
        <w:rPr>
          <w:rFonts w:ascii="Arial" w:hAnsi="Arial" w:cs="Arial"/>
        </w:rPr>
        <w:t>• 2013–2015:</w:t>
      </w:r>
      <w:r w:rsidRPr="008755A5">
        <w:rPr>
          <w:rFonts w:ascii="Arial" w:hAnsi="Arial" w:cs="Arial"/>
        </w:rPr>
        <w:br/>
        <w:t>In 2013, Thailand’s GDP reached approximately USD 420.3 billion, growing at 2.7% from the previous year, reflecting continued strength in the industrial and service sectors. However, economic momentum slowed thereafter, with GDP dropping to USD 401.3 billion in 2015, despite growth of 3.1%. This slowdown was linked to currency depreciation and heightened political uncertainty. Deflation emerged in 2015, with inflation dropping to –0.9%.</w:t>
      </w:r>
    </w:p>
    <w:p w14:paraId="6A0AE849" w14:textId="77777777" w:rsidR="008755A5" w:rsidRPr="008755A5" w:rsidRDefault="008755A5" w:rsidP="008755A5">
      <w:pPr>
        <w:spacing w:before="120" w:after="120"/>
        <w:contextualSpacing/>
        <w:rPr>
          <w:rFonts w:ascii="Arial" w:hAnsi="Arial" w:cs="Arial"/>
        </w:rPr>
      </w:pPr>
    </w:p>
    <w:p w14:paraId="3F7E37E6" w14:textId="77777777" w:rsidR="008755A5" w:rsidRPr="008755A5" w:rsidRDefault="008755A5" w:rsidP="008755A5">
      <w:pPr>
        <w:spacing w:before="120" w:after="120"/>
        <w:contextualSpacing/>
        <w:rPr>
          <w:rFonts w:ascii="Arial" w:hAnsi="Arial" w:cs="Arial"/>
        </w:rPr>
      </w:pPr>
      <w:r w:rsidRPr="008755A5">
        <w:rPr>
          <w:rFonts w:ascii="Arial" w:hAnsi="Arial" w:cs="Arial"/>
        </w:rPr>
        <w:t>• 2016–2019:</w:t>
      </w:r>
      <w:r w:rsidRPr="008755A5">
        <w:rPr>
          <w:rFonts w:ascii="Arial" w:hAnsi="Arial" w:cs="Arial"/>
        </w:rPr>
        <w:br/>
        <w:t>The economy experienced modest but consistent growth, averaging around 3.5% per year. GDP increased from USD 413.4 billion in 2016 to USD 544 billion in 2019, supported by exports, private investment, and continued expansion in tourism. Inflation remained low and stable, ranging from 0.2% to 1.1%.</w:t>
      </w:r>
    </w:p>
    <w:p w14:paraId="6833444D" w14:textId="77777777" w:rsidR="008755A5" w:rsidRPr="008755A5" w:rsidRDefault="008755A5" w:rsidP="008755A5">
      <w:pPr>
        <w:spacing w:before="120" w:after="120"/>
        <w:contextualSpacing/>
        <w:rPr>
          <w:rFonts w:ascii="Arial" w:hAnsi="Arial" w:cs="Arial"/>
        </w:rPr>
      </w:pPr>
    </w:p>
    <w:p w14:paraId="11D01E55" w14:textId="77777777" w:rsidR="008755A5" w:rsidRPr="008755A5" w:rsidRDefault="008755A5" w:rsidP="008755A5">
      <w:pPr>
        <w:spacing w:before="120" w:after="120"/>
        <w:contextualSpacing/>
        <w:rPr>
          <w:rFonts w:ascii="Arial" w:hAnsi="Arial" w:cs="Arial"/>
        </w:rPr>
      </w:pPr>
      <w:r w:rsidRPr="008755A5">
        <w:rPr>
          <w:rFonts w:ascii="Arial" w:hAnsi="Arial" w:cs="Arial"/>
        </w:rPr>
        <w:t>• 2020:</w:t>
      </w:r>
      <w:r w:rsidRPr="008755A5">
        <w:rPr>
          <w:rFonts w:ascii="Arial" w:hAnsi="Arial" w:cs="Arial"/>
        </w:rPr>
        <w:br/>
        <w:t>The COVID-19 pandemic led to a severe economic contraction of –6.1% in 2020, with GDP falling to around USD 500 billion. Economic recovery remained incomplete in the following year, as tourism and service sectors—key drivers of national growth—were heavily affected. Inflation stood at –0.8%.</w:t>
      </w:r>
    </w:p>
    <w:p w14:paraId="78286CFB" w14:textId="77777777" w:rsidR="008755A5" w:rsidRPr="008755A5" w:rsidRDefault="008755A5" w:rsidP="008755A5">
      <w:pPr>
        <w:spacing w:before="120" w:after="120"/>
        <w:contextualSpacing/>
        <w:rPr>
          <w:rFonts w:ascii="Arial" w:hAnsi="Arial" w:cs="Arial"/>
        </w:rPr>
      </w:pPr>
    </w:p>
    <w:p w14:paraId="41E9CBAD" w14:textId="77777777" w:rsidR="008755A5" w:rsidRPr="008755A5" w:rsidRDefault="008755A5" w:rsidP="008755A5">
      <w:pPr>
        <w:spacing w:before="120" w:after="120"/>
        <w:contextualSpacing/>
        <w:rPr>
          <w:rFonts w:ascii="Arial" w:hAnsi="Arial" w:cs="Arial"/>
        </w:rPr>
      </w:pPr>
      <w:r w:rsidRPr="008755A5">
        <w:rPr>
          <w:rFonts w:ascii="Arial" w:hAnsi="Arial" w:cs="Arial"/>
        </w:rPr>
        <w:t>• 2021–2024:</w:t>
      </w:r>
      <w:r w:rsidRPr="008755A5">
        <w:rPr>
          <w:rFonts w:ascii="Arial" w:hAnsi="Arial" w:cs="Arial"/>
        </w:rPr>
        <w:br/>
        <w:t>Although the economy began to recover from the impacts of COVID-19, the rebound was slow, and growth remained below pre-pandemic levels, ranging between 1.6% and 2.6%. Political uncertainty, rising energy prices, and slowing exports contributed to growth below potential. In 2024, GDP reached USD 526.4 billion. Inflation was moderately high at 8.5% in 2023 but declined to 1.4% in 2024.</w:t>
      </w:r>
    </w:p>
    <w:p w14:paraId="4137744E" w14:textId="77777777" w:rsidR="008755A5" w:rsidRPr="008755A5" w:rsidRDefault="008755A5" w:rsidP="008755A5">
      <w:pPr>
        <w:spacing w:before="120" w:after="120"/>
        <w:contextualSpacing/>
        <w:rPr>
          <w:rFonts w:ascii="Arial" w:hAnsi="Arial" w:cs="Arial"/>
        </w:rPr>
      </w:pPr>
    </w:p>
    <w:p w14:paraId="0775A09E" w14:textId="77777777" w:rsidR="008755A5" w:rsidRPr="008755A5" w:rsidRDefault="008755A5" w:rsidP="008755A5">
      <w:pPr>
        <w:spacing w:before="120" w:after="120"/>
        <w:contextualSpacing/>
        <w:rPr>
          <w:rFonts w:ascii="Arial" w:hAnsi="Arial" w:cs="Arial"/>
        </w:rPr>
      </w:pPr>
      <w:r w:rsidRPr="008755A5">
        <w:rPr>
          <w:rFonts w:ascii="Arial" w:hAnsi="Arial" w:cs="Arial"/>
        </w:rPr>
        <w:t>GDP per capita has shown a generally upward trend, increasing from USD 2,006 in 2000 to USD 7,605 in 2019. However, income per capita declined to around USD 7,000 during 2020–2022 due to pandemic-related impacts before recovering to USD 7,345 in 2024. This reflects a relatively slow recovery in household income associated with reduced employment in tourism, services, and the informal sector.</w:t>
      </w:r>
    </w:p>
    <w:p w14:paraId="469F7D6D" w14:textId="77777777" w:rsidR="008755A5" w:rsidRPr="008755A5" w:rsidRDefault="008755A5" w:rsidP="008755A5">
      <w:pPr>
        <w:spacing w:before="120" w:after="120"/>
        <w:contextualSpacing/>
        <w:rPr>
          <w:rFonts w:ascii="Arial" w:hAnsi="Arial" w:cs="Arial"/>
        </w:rPr>
      </w:pPr>
    </w:p>
    <w:p w14:paraId="6F9BA8FE" w14:textId="77777777" w:rsidR="008755A5" w:rsidRPr="008755A5" w:rsidRDefault="008755A5" w:rsidP="008755A5">
      <w:pPr>
        <w:spacing w:before="120" w:after="120"/>
        <w:contextualSpacing/>
        <w:rPr>
          <w:rFonts w:ascii="Arial" w:hAnsi="Arial" w:cs="Arial"/>
        </w:rPr>
      </w:pPr>
      <w:r w:rsidRPr="008755A5">
        <w:rPr>
          <w:rFonts w:ascii="Arial" w:hAnsi="Arial" w:cs="Arial"/>
        </w:rPr>
        <w:t xml:space="preserve">During 2000–2002, the unemployment rate ranged between 2.4% and 2.6%. After 2004, overall unemployment remained low, between 1–2%, indicating </w:t>
      </w:r>
      <w:proofErr w:type="spellStart"/>
      <w:r w:rsidRPr="008755A5">
        <w:rPr>
          <w:rFonts w:ascii="Arial" w:hAnsi="Arial" w:cs="Arial"/>
        </w:rPr>
        <w:t>labour</w:t>
      </w:r>
      <w:proofErr w:type="spellEnd"/>
      <w:r w:rsidRPr="008755A5">
        <w:rPr>
          <w:rFonts w:ascii="Arial" w:hAnsi="Arial" w:cs="Arial"/>
        </w:rPr>
        <w:t xml:space="preserve"> market stability, although these figures may not fully capture realities due to the high number of informal workers.</w:t>
      </w:r>
    </w:p>
    <w:p w14:paraId="41AF15C7" w14:textId="77777777" w:rsidR="008755A5" w:rsidRDefault="008755A5">
      <w:pPr>
        <w:spacing w:before="120" w:after="120"/>
        <w:ind w:firstLine="1134"/>
        <w:jc w:val="thaiDistribute"/>
        <w:rPr>
          <w:rFonts w:ascii="Arial" w:hAnsi="Arial" w:cs="Arial"/>
        </w:rPr>
      </w:pPr>
      <w:r>
        <w:rPr>
          <w:rFonts w:ascii="Arial" w:hAnsi="Arial" w:cs="Arial"/>
        </w:rPr>
        <w:br w:type="page"/>
      </w:r>
    </w:p>
    <w:p w14:paraId="74E356B8" w14:textId="77777777" w:rsidR="008755A5" w:rsidRDefault="008755A5" w:rsidP="008755A5">
      <w:pPr>
        <w:pStyle w:val="NormalWeb"/>
        <w:spacing w:before="0" w:beforeAutospacing="0" w:after="0" w:afterAutospacing="0"/>
        <w:rPr>
          <w:rFonts w:ascii="Arial" w:hAnsi="Arial" w:cs="Arial"/>
        </w:rPr>
      </w:pPr>
      <w:r w:rsidRPr="008755A5">
        <w:rPr>
          <w:rFonts w:ascii="Arial" w:hAnsi="Arial" w:cs="Arial"/>
          <w:color w:val="EE0000"/>
        </w:rPr>
        <w:lastRenderedPageBreak/>
        <w:t>Annex 2</w:t>
      </w:r>
      <w:r w:rsidRPr="008755A5">
        <w:rPr>
          <w:rFonts w:ascii="Arial" w:hAnsi="Arial" w:cs="Arial"/>
        </w:rPr>
        <w:t>: Main economic activities of coastal provinces of the Gulf of Thailand.</w:t>
      </w:r>
    </w:p>
    <w:p w14:paraId="5082D278" w14:textId="77777777" w:rsidR="008755A5" w:rsidRPr="008755A5" w:rsidRDefault="008755A5" w:rsidP="008755A5">
      <w:pPr>
        <w:pStyle w:val="NormalWeb"/>
        <w:spacing w:before="0" w:beforeAutospacing="0" w:after="0" w:afterAutospacing="0"/>
        <w:rPr>
          <w:rFonts w:ascii="Arial" w:hAnsi="Arial" w:cs="Arial"/>
        </w:rPr>
      </w:pPr>
    </w:p>
    <w:tbl>
      <w:tblPr>
        <w:tblW w:w="8789" w:type="dxa"/>
        <w:tblInd w:w="-5" w:type="dxa"/>
        <w:tblLook w:val="04A0" w:firstRow="1" w:lastRow="0" w:firstColumn="1" w:lastColumn="0" w:noHBand="0" w:noVBand="1"/>
      </w:tblPr>
      <w:tblGrid>
        <w:gridCol w:w="2410"/>
        <w:gridCol w:w="6379"/>
      </w:tblGrid>
      <w:tr w:rsidR="008755A5" w:rsidRPr="008755A5" w14:paraId="14277879" w14:textId="77777777" w:rsidTr="008755A5">
        <w:trPr>
          <w:trHeight w:val="211"/>
          <w:tblHeader/>
        </w:trPr>
        <w:tc>
          <w:tcPr>
            <w:tcW w:w="241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hideMark/>
          </w:tcPr>
          <w:p w14:paraId="45D128B9"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 Province</w:t>
            </w:r>
          </w:p>
        </w:tc>
        <w:tc>
          <w:tcPr>
            <w:tcW w:w="6379" w:type="dxa"/>
            <w:tcBorders>
              <w:top w:val="single" w:sz="4" w:space="0" w:color="auto"/>
              <w:left w:val="nil"/>
              <w:bottom w:val="single" w:sz="4" w:space="0" w:color="auto"/>
              <w:right w:val="single" w:sz="4" w:space="0" w:color="auto"/>
            </w:tcBorders>
            <w:shd w:val="clear" w:color="auto" w:fill="A6A6A6" w:themeFill="background1" w:themeFillShade="A6"/>
            <w:hideMark/>
          </w:tcPr>
          <w:p w14:paraId="041426F7"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Main economic activities</w:t>
            </w:r>
          </w:p>
        </w:tc>
      </w:tr>
      <w:tr w:rsidR="008755A5" w:rsidRPr="008755A5" w14:paraId="3105FB2B" w14:textId="77777777" w:rsidTr="008755A5">
        <w:trPr>
          <w:trHeight w:val="534"/>
        </w:trPr>
        <w:tc>
          <w:tcPr>
            <w:tcW w:w="2410" w:type="dxa"/>
            <w:tcBorders>
              <w:top w:val="nil"/>
              <w:left w:val="single" w:sz="4" w:space="0" w:color="auto"/>
              <w:bottom w:val="single" w:sz="4" w:space="0" w:color="auto"/>
              <w:right w:val="single" w:sz="4" w:space="0" w:color="auto"/>
            </w:tcBorders>
            <w:noWrap/>
            <w:hideMark/>
          </w:tcPr>
          <w:p w14:paraId="494569E9"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Trat</w:t>
            </w:r>
          </w:p>
        </w:tc>
        <w:tc>
          <w:tcPr>
            <w:tcW w:w="6379" w:type="dxa"/>
            <w:tcBorders>
              <w:top w:val="nil"/>
              <w:left w:val="nil"/>
              <w:bottom w:val="single" w:sz="4" w:space="0" w:color="auto"/>
              <w:right w:val="single" w:sz="4" w:space="0" w:color="auto"/>
            </w:tcBorders>
            <w:hideMark/>
          </w:tcPr>
          <w:p w14:paraId="06FCF314"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 xml:space="preserve">Marine tourism (Koh Chang, Koh </w:t>
            </w:r>
            <w:proofErr w:type="spellStart"/>
            <w:r w:rsidRPr="008755A5">
              <w:rPr>
                <w:rFonts w:ascii="Arial" w:eastAsia="Times New Roman" w:hAnsi="Arial" w:cs="Arial"/>
                <w:color w:val="000000"/>
              </w:rPr>
              <w:t>Kood</w:t>
            </w:r>
            <w:proofErr w:type="spellEnd"/>
            <w:r w:rsidRPr="008755A5">
              <w:rPr>
                <w:rFonts w:ascii="Arial" w:eastAsia="Times New Roman" w:hAnsi="Arial" w:cs="Arial"/>
                <w:color w:val="000000"/>
              </w:rPr>
              <w:t>), small-scale fisheries, and border trade</w:t>
            </w:r>
          </w:p>
        </w:tc>
      </w:tr>
      <w:tr w:rsidR="008755A5" w:rsidRPr="008755A5" w14:paraId="74AB8029" w14:textId="77777777" w:rsidTr="008755A5">
        <w:trPr>
          <w:trHeight w:val="286"/>
        </w:trPr>
        <w:tc>
          <w:tcPr>
            <w:tcW w:w="2410" w:type="dxa"/>
            <w:tcBorders>
              <w:top w:val="nil"/>
              <w:left w:val="single" w:sz="4" w:space="0" w:color="auto"/>
              <w:bottom w:val="single" w:sz="4" w:space="0" w:color="auto"/>
              <w:right w:val="single" w:sz="4" w:space="0" w:color="auto"/>
            </w:tcBorders>
            <w:noWrap/>
            <w:hideMark/>
          </w:tcPr>
          <w:p w14:paraId="4D815D3D"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Chantha Buri</w:t>
            </w:r>
          </w:p>
        </w:tc>
        <w:tc>
          <w:tcPr>
            <w:tcW w:w="6379" w:type="dxa"/>
            <w:tcBorders>
              <w:top w:val="nil"/>
              <w:left w:val="nil"/>
              <w:bottom w:val="single" w:sz="4" w:space="0" w:color="auto"/>
              <w:right w:val="single" w:sz="4" w:space="0" w:color="auto"/>
            </w:tcBorders>
            <w:hideMark/>
          </w:tcPr>
          <w:p w14:paraId="76E2C4F9"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Fruit agriculture (durian, mangosteen), food processing, fisheries</w:t>
            </w:r>
          </w:p>
        </w:tc>
      </w:tr>
      <w:tr w:rsidR="008755A5" w:rsidRPr="008755A5" w14:paraId="08DC5893" w14:textId="77777777" w:rsidTr="008755A5">
        <w:trPr>
          <w:trHeight w:val="495"/>
        </w:trPr>
        <w:tc>
          <w:tcPr>
            <w:tcW w:w="2410" w:type="dxa"/>
            <w:tcBorders>
              <w:top w:val="nil"/>
              <w:left w:val="single" w:sz="4" w:space="0" w:color="auto"/>
              <w:bottom w:val="single" w:sz="4" w:space="0" w:color="auto"/>
              <w:right w:val="single" w:sz="4" w:space="0" w:color="auto"/>
            </w:tcBorders>
            <w:noWrap/>
            <w:hideMark/>
          </w:tcPr>
          <w:p w14:paraId="7260A0E6"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Rayong</w:t>
            </w:r>
          </w:p>
        </w:tc>
        <w:tc>
          <w:tcPr>
            <w:tcW w:w="6379" w:type="dxa"/>
            <w:tcBorders>
              <w:top w:val="nil"/>
              <w:left w:val="nil"/>
              <w:bottom w:val="single" w:sz="4" w:space="0" w:color="auto"/>
              <w:right w:val="single" w:sz="4" w:space="0" w:color="auto"/>
            </w:tcBorders>
            <w:hideMark/>
          </w:tcPr>
          <w:p w14:paraId="00098913"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Petrochemical industry, Map Ta Phut industrial port, energy production</w:t>
            </w:r>
          </w:p>
        </w:tc>
      </w:tr>
      <w:tr w:rsidR="008755A5" w:rsidRPr="008755A5" w14:paraId="7FAB8E63" w14:textId="77777777" w:rsidTr="008755A5">
        <w:trPr>
          <w:trHeight w:val="192"/>
        </w:trPr>
        <w:tc>
          <w:tcPr>
            <w:tcW w:w="2410" w:type="dxa"/>
            <w:tcBorders>
              <w:top w:val="nil"/>
              <w:left w:val="single" w:sz="4" w:space="0" w:color="auto"/>
              <w:bottom w:val="single" w:sz="4" w:space="0" w:color="auto"/>
              <w:right w:val="single" w:sz="4" w:space="0" w:color="auto"/>
            </w:tcBorders>
            <w:noWrap/>
            <w:hideMark/>
          </w:tcPr>
          <w:p w14:paraId="083EBB80"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Chon Buri</w:t>
            </w:r>
          </w:p>
        </w:tc>
        <w:tc>
          <w:tcPr>
            <w:tcW w:w="6379" w:type="dxa"/>
            <w:tcBorders>
              <w:top w:val="nil"/>
              <w:left w:val="nil"/>
              <w:bottom w:val="single" w:sz="4" w:space="0" w:color="auto"/>
              <w:right w:val="single" w:sz="4" w:space="0" w:color="auto"/>
            </w:tcBorders>
            <w:hideMark/>
          </w:tcPr>
          <w:p w14:paraId="69ABD231"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Laem Chabang seaport, the automotive industry, and tourism (Pattaya)</w:t>
            </w:r>
          </w:p>
        </w:tc>
      </w:tr>
      <w:tr w:rsidR="008755A5" w:rsidRPr="008755A5" w14:paraId="23157205" w14:textId="77777777" w:rsidTr="008755A5">
        <w:trPr>
          <w:trHeight w:val="269"/>
        </w:trPr>
        <w:tc>
          <w:tcPr>
            <w:tcW w:w="2410" w:type="dxa"/>
            <w:tcBorders>
              <w:top w:val="nil"/>
              <w:left w:val="single" w:sz="4" w:space="0" w:color="auto"/>
              <w:bottom w:val="single" w:sz="4" w:space="0" w:color="auto"/>
              <w:right w:val="single" w:sz="4" w:space="0" w:color="auto"/>
            </w:tcBorders>
            <w:noWrap/>
            <w:hideMark/>
          </w:tcPr>
          <w:p w14:paraId="73826BDD"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Chachoengsao</w:t>
            </w:r>
          </w:p>
        </w:tc>
        <w:tc>
          <w:tcPr>
            <w:tcW w:w="6379" w:type="dxa"/>
            <w:tcBorders>
              <w:top w:val="nil"/>
              <w:left w:val="nil"/>
              <w:bottom w:val="single" w:sz="4" w:space="0" w:color="auto"/>
              <w:right w:val="single" w:sz="4" w:space="0" w:color="auto"/>
            </w:tcBorders>
            <w:hideMark/>
          </w:tcPr>
          <w:p w14:paraId="6D70FFE2" w14:textId="77777777" w:rsidR="008755A5" w:rsidRPr="008755A5" w:rsidRDefault="008755A5" w:rsidP="008755A5">
            <w:pPr>
              <w:rPr>
                <w:rFonts w:ascii="Arial" w:eastAsia="Times New Roman" w:hAnsi="Arial" w:cs="Arial"/>
                <w:color w:val="000000"/>
              </w:rPr>
            </w:pPr>
            <w:proofErr w:type="spellStart"/>
            <w:r w:rsidRPr="008755A5">
              <w:rPr>
                <w:rFonts w:ascii="Arial" w:eastAsia="Times New Roman" w:hAnsi="Arial" w:cs="Arial"/>
                <w:color w:val="000000"/>
              </w:rPr>
              <w:t>Agro</w:t>
            </w:r>
            <w:proofErr w:type="spellEnd"/>
            <w:r w:rsidRPr="008755A5">
              <w:rPr>
                <w:rFonts w:ascii="Arial" w:eastAsia="Times New Roman" w:hAnsi="Arial" w:cs="Arial"/>
                <w:color w:val="000000"/>
              </w:rPr>
              <w:t>-processing industry, logistics, food factories</w:t>
            </w:r>
          </w:p>
        </w:tc>
      </w:tr>
      <w:tr w:rsidR="008755A5" w:rsidRPr="008755A5" w14:paraId="5B5E32A6" w14:textId="77777777" w:rsidTr="008755A5">
        <w:trPr>
          <w:trHeight w:val="225"/>
        </w:trPr>
        <w:tc>
          <w:tcPr>
            <w:tcW w:w="2410" w:type="dxa"/>
            <w:tcBorders>
              <w:top w:val="nil"/>
              <w:left w:val="single" w:sz="4" w:space="0" w:color="auto"/>
              <w:bottom w:val="single" w:sz="4" w:space="0" w:color="auto"/>
              <w:right w:val="single" w:sz="4" w:space="0" w:color="auto"/>
            </w:tcBorders>
            <w:noWrap/>
            <w:hideMark/>
          </w:tcPr>
          <w:p w14:paraId="08C3F978"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Bangkok</w:t>
            </w:r>
          </w:p>
        </w:tc>
        <w:tc>
          <w:tcPr>
            <w:tcW w:w="6379" w:type="dxa"/>
            <w:tcBorders>
              <w:top w:val="nil"/>
              <w:left w:val="nil"/>
              <w:bottom w:val="single" w:sz="4" w:space="0" w:color="auto"/>
              <w:right w:val="single" w:sz="4" w:space="0" w:color="auto"/>
            </w:tcBorders>
            <w:hideMark/>
          </w:tcPr>
          <w:p w14:paraId="6146274A"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Services, finance, trade, transportation, Khlong Toei commercial port</w:t>
            </w:r>
          </w:p>
        </w:tc>
      </w:tr>
      <w:tr w:rsidR="008755A5" w:rsidRPr="008755A5" w14:paraId="1B5F2C43" w14:textId="77777777" w:rsidTr="008755A5">
        <w:trPr>
          <w:trHeight w:val="296"/>
        </w:trPr>
        <w:tc>
          <w:tcPr>
            <w:tcW w:w="2410" w:type="dxa"/>
            <w:tcBorders>
              <w:top w:val="nil"/>
              <w:left w:val="single" w:sz="4" w:space="0" w:color="auto"/>
              <w:bottom w:val="single" w:sz="4" w:space="0" w:color="auto"/>
              <w:right w:val="single" w:sz="4" w:space="0" w:color="auto"/>
            </w:tcBorders>
            <w:noWrap/>
            <w:hideMark/>
          </w:tcPr>
          <w:p w14:paraId="47C9F24E"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 xml:space="preserve">Samut </w:t>
            </w:r>
            <w:proofErr w:type="spellStart"/>
            <w:r w:rsidRPr="008755A5">
              <w:rPr>
                <w:rFonts w:ascii="Arial" w:eastAsia="Times New Roman" w:hAnsi="Arial" w:cs="Arial"/>
                <w:color w:val="000000"/>
              </w:rPr>
              <w:t>Prakarn</w:t>
            </w:r>
            <w:proofErr w:type="spellEnd"/>
          </w:p>
        </w:tc>
        <w:tc>
          <w:tcPr>
            <w:tcW w:w="6379" w:type="dxa"/>
            <w:tcBorders>
              <w:top w:val="nil"/>
              <w:left w:val="nil"/>
              <w:bottom w:val="single" w:sz="4" w:space="0" w:color="auto"/>
              <w:right w:val="single" w:sz="4" w:space="0" w:color="auto"/>
            </w:tcBorders>
            <w:hideMark/>
          </w:tcPr>
          <w:p w14:paraId="296178AC"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Shipbuilding, electronics manufacturing, logistics, and automotive components</w:t>
            </w:r>
          </w:p>
        </w:tc>
      </w:tr>
      <w:tr w:rsidR="008755A5" w:rsidRPr="008755A5" w14:paraId="0074BC94" w14:textId="77777777" w:rsidTr="008755A5">
        <w:trPr>
          <w:trHeight w:val="262"/>
        </w:trPr>
        <w:tc>
          <w:tcPr>
            <w:tcW w:w="2410" w:type="dxa"/>
            <w:tcBorders>
              <w:top w:val="nil"/>
              <w:left w:val="single" w:sz="4" w:space="0" w:color="auto"/>
              <w:bottom w:val="single" w:sz="4" w:space="0" w:color="auto"/>
              <w:right w:val="single" w:sz="4" w:space="0" w:color="auto"/>
            </w:tcBorders>
            <w:noWrap/>
            <w:hideMark/>
          </w:tcPr>
          <w:p w14:paraId="2D31CEA6"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Samut Sakhon</w:t>
            </w:r>
          </w:p>
        </w:tc>
        <w:tc>
          <w:tcPr>
            <w:tcW w:w="6379" w:type="dxa"/>
            <w:tcBorders>
              <w:top w:val="nil"/>
              <w:left w:val="nil"/>
              <w:bottom w:val="single" w:sz="4" w:space="0" w:color="auto"/>
              <w:right w:val="single" w:sz="4" w:space="0" w:color="auto"/>
            </w:tcBorders>
            <w:hideMark/>
          </w:tcPr>
          <w:p w14:paraId="6AD174A5"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Processed seafood industry, marine fisheries, seafood export</w:t>
            </w:r>
          </w:p>
        </w:tc>
      </w:tr>
      <w:tr w:rsidR="008755A5" w:rsidRPr="008755A5" w14:paraId="233B94E1" w14:textId="77777777" w:rsidTr="008755A5">
        <w:trPr>
          <w:trHeight w:val="58"/>
        </w:trPr>
        <w:tc>
          <w:tcPr>
            <w:tcW w:w="2410" w:type="dxa"/>
            <w:tcBorders>
              <w:top w:val="nil"/>
              <w:left w:val="single" w:sz="4" w:space="0" w:color="auto"/>
              <w:bottom w:val="single" w:sz="4" w:space="0" w:color="auto"/>
              <w:right w:val="single" w:sz="4" w:space="0" w:color="auto"/>
            </w:tcBorders>
            <w:noWrap/>
            <w:hideMark/>
          </w:tcPr>
          <w:p w14:paraId="19733D21"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 xml:space="preserve">Samut </w:t>
            </w:r>
            <w:proofErr w:type="spellStart"/>
            <w:r w:rsidRPr="008755A5">
              <w:rPr>
                <w:rFonts w:ascii="Arial" w:eastAsia="Times New Roman" w:hAnsi="Arial" w:cs="Arial"/>
                <w:color w:val="000000"/>
              </w:rPr>
              <w:t>Songkharm</w:t>
            </w:r>
            <w:proofErr w:type="spellEnd"/>
          </w:p>
        </w:tc>
        <w:tc>
          <w:tcPr>
            <w:tcW w:w="6379" w:type="dxa"/>
            <w:tcBorders>
              <w:top w:val="nil"/>
              <w:left w:val="nil"/>
              <w:bottom w:val="single" w:sz="4" w:space="0" w:color="auto"/>
              <w:right w:val="single" w:sz="4" w:space="0" w:color="auto"/>
            </w:tcBorders>
            <w:hideMark/>
          </w:tcPr>
          <w:p w14:paraId="74FCD9C7"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Coastal fisheries, agriculture, and seafood processing</w:t>
            </w:r>
          </w:p>
        </w:tc>
      </w:tr>
      <w:tr w:rsidR="008755A5" w:rsidRPr="008755A5" w14:paraId="54B57D87" w14:textId="77777777" w:rsidTr="008755A5">
        <w:trPr>
          <w:trHeight w:val="58"/>
        </w:trPr>
        <w:tc>
          <w:tcPr>
            <w:tcW w:w="2410" w:type="dxa"/>
            <w:tcBorders>
              <w:top w:val="nil"/>
              <w:left w:val="single" w:sz="4" w:space="0" w:color="auto"/>
              <w:bottom w:val="single" w:sz="4" w:space="0" w:color="auto"/>
              <w:right w:val="single" w:sz="4" w:space="0" w:color="auto"/>
            </w:tcBorders>
            <w:noWrap/>
            <w:hideMark/>
          </w:tcPr>
          <w:p w14:paraId="3FCB350F" w14:textId="77777777" w:rsidR="008755A5" w:rsidRPr="008755A5" w:rsidRDefault="008755A5" w:rsidP="008755A5">
            <w:pPr>
              <w:rPr>
                <w:rFonts w:ascii="Arial" w:eastAsia="Times New Roman" w:hAnsi="Arial" w:cs="Arial"/>
                <w:color w:val="000000"/>
              </w:rPr>
            </w:pPr>
            <w:proofErr w:type="spellStart"/>
            <w:r w:rsidRPr="008755A5">
              <w:rPr>
                <w:rFonts w:ascii="Arial" w:eastAsia="Times New Roman" w:hAnsi="Arial" w:cs="Arial"/>
                <w:color w:val="000000"/>
              </w:rPr>
              <w:t>Petchaburi</w:t>
            </w:r>
            <w:proofErr w:type="spellEnd"/>
          </w:p>
        </w:tc>
        <w:tc>
          <w:tcPr>
            <w:tcW w:w="6379" w:type="dxa"/>
            <w:tcBorders>
              <w:top w:val="nil"/>
              <w:left w:val="nil"/>
              <w:bottom w:val="single" w:sz="4" w:space="0" w:color="auto"/>
              <w:right w:val="single" w:sz="4" w:space="0" w:color="auto"/>
            </w:tcBorders>
            <w:hideMark/>
          </w:tcPr>
          <w:p w14:paraId="71BF5890"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 xml:space="preserve">Coastal tourism (Cha Am), </w:t>
            </w:r>
            <w:proofErr w:type="spellStart"/>
            <w:r w:rsidRPr="008755A5">
              <w:rPr>
                <w:rFonts w:ascii="Arial" w:eastAsia="Times New Roman" w:hAnsi="Arial" w:cs="Arial"/>
                <w:color w:val="000000"/>
              </w:rPr>
              <w:t>agro</w:t>
            </w:r>
            <w:proofErr w:type="spellEnd"/>
            <w:r w:rsidRPr="008755A5">
              <w:rPr>
                <w:rFonts w:ascii="Arial" w:eastAsia="Times New Roman" w:hAnsi="Arial" w:cs="Arial"/>
                <w:color w:val="000000"/>
              </w:rPr>
              <w:t>-processing, fisheries, and fruit products</w:t>
            </w:r>
          </w:p>
        </w:tc>
      </w:tr>
      <w:tr w:rsidR="008755A5" w:rsidRPr="008755A5" w14:paraId="2EF3DB84" w14:textId="77777777" w:rsidTr="008755A5">
        <w:trPr>
          <w:trHeight w:val="207"/>
        </w:trPr>
        <w:tc>
          <w:tcPr>
            <w:tcW w:w="2410" w:type="dxa"/>
            <w:tcBorders>
              <w:top w:val="nil"/>
              <w:left w:val="single" w:sz="4" w:space="0" w:color="auto"/>
              <w:bottom w:val="single" w:sz="4" w:space="0" w:color="auto"/>
              <w:right w:val="single" w:sz="4" w:space="0" w:color="auto"/>
            </w:tcBorders>
            <w:noWrap/>
            <w:hideMark/>
          </w:tcPr>
          <w:p w14:paraId="519D8F90"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Prachuap Khiri Khan</w:t>
            </w:r>
          </w:p>
        </w:tc>
        <w:tc>
          <w:tcPr>
            <w:tcW w:w="6379" w:type="dxa"/>
            <w:tcBorders>
              <w:top w:val="nil"/>
              <w:left w:val="nil"/>
              <w:bottom w:val="single" w:sz="4" w:space="0" w:color="auto"/>
              <w:right w:val="single" w:sz="4" w:space="0" w:color="auto"/>
            </w:tcBorders>
            <w:hideMark/>
          </w:tcPr>
          <w:p w14:paraId="24997A41"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Tourism (Hua Hin), agriculture, and coastal fisheries</w:t>
            </w:r>
          </w:p>
        </w:tc>
      </w:tr>
      <w:tr w:rsidR="008755A5" w:rsidRPr="008755A5" w14:paraId="447D2527" w14:textId="77777777" w:rsidTr="008755A5">
        <w:trPr>
          <w:trHeight w:val="512"/>
        </w:trPr>
        <w:tc>
          <w:tcPr>
            <w:tcW w:w="2410" w:type="dxa"/>
            <w:tcBorders>
              <w:top w:val="nil"/>
              <w:left w:val="single" w:sz="4" w:space="0" w:color="auto"/>
              <w:bottom w:val="single" w:sz="4" w:space="0" w:color="auto"/>
              <w:right w:val="single" w:sz="4" w:space="0" w:color="auto"/>
            </w:tcBorders>
            <w:noWrap/>
            <w:hideMark/>
          </w:tcPr>
          <w:p w14:paraId="5C3930DE" w14:textId="77777777" w:rsidR="008755A5" w:rsidRPr="008755A5" w:rsidRDefault="008755A5" w:rsidP="008755A5">
            <w:pPr>
              <w:rPr>
                <w:rFonts w:ascii="Arial" w:eastAsia="Times New Roman" w:hAnsi="Arial" w:cs="Arial"/>
                <w:color w:val="000000"/>
              </w:rPr>
            </w:pPr>
            <w:proofErr w:type="spellStart"/>
            <w:r w:rsidRPr="008755A5">
              <w:rPr>
                <w:rFonts w:ascii="Arial" w:eastAsia="Times New Roman" w:hAnsi="Arial" w:cs="Arial"/>
                <w:color w:val="000000"/>
              </w:rPr>
              <w:t>Chumpon</w:t>
            </w:r>
            <w:proofErr w:type="spellEnd"/>
          </w:p>
        </w:tc>
        <w:tc>
          <w:tcPr>
            <w:tcW w:w="6379" w:type="dxa"/>
            <w:tcBorders>
              <w:top w:val="nil"/>
              <w:left w:val="nil"/>
              <w:bottom w:val="single" w:sz="4" w:space="0" w:color="auto"/>
              <w:right w:val="single" w:sz="4" w:space="0" w:color="auto"/>
            </w:tcBorders>
            <w:hideMark/>
          </w:tcPr>
          <w:p w14:paraId="19148D4B"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Marine fisheries, agriculture (coffee, oil palm), tourism, seafood processing</w:t>
            </w:r>
          </w:p>
        </w:tc>
      </w:tr>
      <w:tr w:rsidR="008755A5" w:rsidRPr="008755A5" w14:paraId="3B8377D8" w14:textId="77777777" w:rsidTr="008755A5">
        <w:trPr>
          <w:trHeight w:val="209"/>
        </w:trPr>
        <w:tc>
          <w:tcPr>
            <w:tcW w:w="2410" w:type="dxa"/>
            <w:tcBorders>
              <w:top w:val="nil"/>
              <w:left w:val="single" w:sz="4" w:space="0" w:color="auto"/>
              <w:bottom w:val="single" w:sz="4" w:space="0" w:color="auto"/>
              <w:right w:val="single" w:sz="4" w:space="0" w:color="auto"/>
            </w:tcBorders>
            <w:noWrap/>
            <w:hideMark/>
          </w:tcPr>
          <w:p w14:paraId="100717C5"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Surat Thani</w:t>
            </w:r>
          </w:p>
        </w:tc>
        <w:tc>
          <w:tcPr>
            <w:tcW w:w="6379" w:type="dxa"/>
            <w:tcBorders>
              <w:top w:val="nil"/>
              <w:left w:val="nil"/>
              <w:bottom w:val="single" w:sz="4" w:space="0" w:color="auto"/>
              <w:right w:val="single" w:sz="4" w:space="0" w:color="auto"/>
            </w:tcBorders>
            <w:hideMark/>
          </w:tcPr>
          <w:p w14:paraId="7B27A8CB"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Tourism (Koh Samui), passenger marine transport, fisheries, rubber production</w:t>
            </w:r>
          </w:p>
        </w:tc>
      </w:tr>
      <w:tr w:rsidR="008755A5" w:rsidRPr="008755A5" w14:paraId="41640BC8" w14:textId="77777777" w:rsidTr="008755A5">
        <w:trPr>
          <w:trHeight w:val="158"/>
        </w:trPr>
        <w:tc>
          <w:tcPr>
            <w:tcW w:w="2410" w:type="dxa"/>
            <w:tcBorders>
              <w:top w:val="nil"/>
              <w:left w:val="single" w:sz="4" w:space="0" w:color="auto"/>
              <w:bottom w:val="single" w:sz="4" w:space="0" w:color="auto"/>
              <w:right w:val="single" w:sz="4" w:space="0" w:color="auto"/>
            </w:tcBorders>
            <w:noWrap/>
            <w:hideMark/>
          </w:tcPr>
          <w:p w14:paraId="3D997C4D"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Nakhon Si Thammarat</w:t>
            </w:r>
          </w:p>
        </w:tc>
        <w:tc>
          <w:tcPr>
            <w:tcW w:w="6379" w:type="dxa"/>
            <w:tcBorders>
              <w:top w:val="nil"/>
              <w:left w:val="nil"/>
              <w:bottom w:val="single" w:sz="4" w:space="0" w:color="auto"/>
              <w:right w:val="single" w:sz="4" w:space="0" w:color="auto"/>
            </w:tcBorders>
            <w:hideMark/>
          </w:tcPr>
          <w:p w14:paraId="44425FDA"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Agriculture (oil palm, fruits), fisheries, and border trade</w:t>
            </w:r>
          </w:p>
        </w:tc>
      </w:tr>
      <w:tr w:rsidR="008755A5" w:rsidRPr="008755A5" w14:paraId="73BB15E9" w14:textId="77777777" w:rsidTr="008755A5">
        <w:trPr>
          <w:trHeight w:val="137"/>
        </w:trPr>
        <w:tc>
          <w:tcPr>
            <w:tcW w:w="2410" w:type="dxa"/>
            <w:tcBorders>
              <w:top w:val="nil"/>
              <w:left w:val="single" w:sz="4" w:space="0" w:color="auto"/>
              <w:bottom w:val="single" w:sz="4" w:space="0" w:color="auto"/>
              <w:right w:val="single" w:sz="4" w:space="0" w:color="auto"/>
            </w:tcBorders>
            <w:noWrap/>
            <w:hideMark/>
          </w:tcPr>
          <w:p w14:paraId="3624CC7A"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Songkhla</w:t>
            </w:r>
          </w:p>
        </w:tc>
        <w:tc>
          <w:tcPr>
            <w:tcW w:w="6379" w:type="dxa"/>
            <w:tcBorders>
              <w:top w:val="nil"/>
              <w:left w:val="nil"/>
              <w:bottom w:val="single" w:sz="4" w:space="0" w:color="auto"/>
              <w:right w:val="single" w:sz="4" w:space="0" w:color="auto"/>
            </w:tcBorders>
            <w:hideMark/>
          </w:tcPr>
          <w:p w14:paraId="3CC52F79"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Deep-sea port, higher education, border trade, food industry</w:t>
            </w:r>
          </w:p>
        </w:tc>
      </w:tr>
      <w:tr w:rsidR="008755A5" w:rsidRPr="008755A5" w14:paraId="37DC88CB" w14:textId="77777777" w:rsidTr="008755A5">
        <w:trPr>
          <w:trHeight w:val="255"/>
        </w:trPr>
        <w:tc>
          <w:tcPr>
            <w:tcW w:w="2410" w:type="dxa"/>
            <w:tcBorders>
              <w:top w:val="nil"/>
              <w:left w:val="single" w:sz="4" w:space="0" w:color="auto"/>
              <w:bottom w:val="single" w:sz="4" w:space="0" w:color="auto"/>
              <w:right w:val="single" w:sz="4" w:space="0" w:color="auto"/>
            </w:tcBorders>
            <w:noWrap/>
            <w:hideMark/>
          </w:tcPr>
          <w:p w14:paraId="6B448D7E"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Pattani</w:t>
            </w:r>
          </w:p>
        </w:tc>
        <w:tc>
          <w:tcPr>
            <w:tcW w:w="6379" w:type="dxa"/>
            <w:tcBorders>
              <w:top w:val="nil"/>
              <w:left w:val="nil"/>
              <w:bottom w:val="single" w:sz="4" w:space="0" w:color="auto"/>
              <w:right w:val="single" w:sz="4" w:space="0" w:color="auto"/>
            </w:tcBorders>
            <w:hideMark/>
          </w:tcPr>
          <w:p w14:paraId="3FF512BC"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Small-scale fisheries, agriculture, and traditional food processing</w:t>
            </w:r>
          </w:p>
        </w:tc>
      </w:tr>
      <w:tr w:rsidR="008755A5" w:rsidRPr="008755A5" w14:paraId="6BB9B069" w14:textId="77777777" w:rsidTr="008755A5">
        <w:trPr>
          <w:trHeight w:val="58"/>
        </w:trPr>
        <w:tc>
          <w:tcPr>
            <w:tcW w:w="2410" w:type="dxa"/>
            <w:tcBorders>
              <w:top w:val="nil"/>
              <w:left w:val="single" w:sz="4" w:space="0" w:color="auto"/>
              <w:bottom w:val="single" w:sz="4" w:space="0" w:color="auto"/>
              <w:right w:val="single" w:sz="4" w:space="0" w:color="auto"/>
            </w:tcBorders>
            <w:noWrap/>
            <w:hideMark/>
          </w:tcPr>
          <w:p w14:paraId="2278AD10"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Narathiwat</w:t>
            </w:r>
          </w:p>
        </w:tc>
        <w:tc>
          <w:tcPr>
            <w:tcW w:w="6379" w:type="dxa"/>
            <w:tcBorders>
              <w:top w:val="nil"/>
              <w:left w:val="nil"/>
              <w:bottom w:val="single" w:sz="4" w:space="0" w:color="auto"/>
              <w:right w:val="single" w:sz="4" w:space="0" w:color="auto"/>
            </w:tcBorders>
            <w:hideMark/>
          </w:tcPr>
          <w:p w14:paraId="0A940613" w14:textId="77777777" w:rsidR="008755A5" w:rsidRPr="008755A5" w:rsidRDefault="008755A5" w:rsidP="008755A5">
            <w:pPr>
              <w:rPr>
                <w:rFonts w:ascii="Arial" w:eastAsia="Times New Roman" w:hAnsi="Arial" w:cs="Arial"/>
                <w:color w:val="000000"/>
              </w:rPr>
            </w:pPr>
            <w:r w:rsidRPr="008755A5">
              <w:rPr>
                <w:rFonts w:ascii="Arial" w:eastAsia="Times New Roman" w:hAnsi="Arial" w:cs="Arial"/>
                <w:color w:val="000000"/>
              </w:rPr>
              <w:t>Fisheries, agriculture (rice, palm oil), and border commerce</w:t>
            </w:r>
          </w:p>
        </w:tc>
      </w:tr>
    </w:tbl>
    <w:p w14:paraId="4DB19E1C" w14:textId="77777777" w:rsidR="008755A5" w:rsidRPr="008755A5" w:rsidRDefault="008755A5" w:rsidP="008755A5">
      <w:pPr>
        <w:rPr>
          <w:rFonts w:ascii="Arial" w:hAnsi="Arial" w:cs="Arial"/>
        </w:rPr>
      </w:pPr>
    </w:p>
    <w:p w14:paraId="320B7CA7" w14:textId="77777777" w:rsidR="008755A5" w:rsidRDefault="008755A5">
      <w:pPr>
        <w:spacing w:before="120" w:after="120"/>
        <w:ind w:firstLine="1134"/>
        <w:jc w:val="thaiDistribute"/>
        <w:rPr>
          <w:rFonts w:ascii="Arial" w:hAnsi="Arial" w:cs="Arial"/>
        </w:rPr>
      </w:pPr>
      <w:r>
        <w:rPr>
          <w:rFonts w:ascii="Arial" w:hAnsi="Arial" w:cs="Arial"/>
        </w:rPr>
        <w:br w:type="page"/>
      </w:r>
    </w:p>
    <w:p w14:paraId="7DB9DC65" w14:textId="77777777" w:rsidR="008755A5" w:rsidRPr="008755A5" w:rsidRDefault="008755A5" w:rsidP="008755A5">
      <w:pPr>
        <w:contextualSpacing/>
        <w:rPr>
          <w:rFonts w:ascii="Arial" w:hAnsi="Arial" w:cs="Arial"/>
        </w:rPr>
      </w:pPr>
      <w:r w:rsidRPr="008755A5">
        <w:rPr>
          <w:rFonts w:ascii="Arial" w:hAnsi="Arial" w:cs="Arial"/>
        </w:rPr>
        <w:lastRenderedPageBreak/>
        <w:t>Annex 3: GPP, GPP per capita and Poverty headcount of the 16 coastal provinces of the Gulf of Thailand in 2023 (Office of the National Economic Social and Development Council, 2025)</w:t>
      </w:r>
    </w:p>
    <w:tbl>
      <w:tblPr>
        <w:tblStyle w:val="TableGrid"/>
        <w:tblW w:w="9067" w:type="dxa"/>
        <w:tblLayout w:type="fixed"/>
        <w:tblLook w:val="04A0" w:firstRow="1" w:lastRow="0" w:firstColumn="1" w:lastColumn="0" w:noHBand="0" w:noVBand="1"/>
      </w:tblPr>
      <w:tblGrid>
        <w:gridCol w:w="2830"/>
        <w:gridCol w:w="1843"/>
        <w:gridCol w:w="1759"/>
        <w:gridCol w:w="2635"/>
      </w:tblGrid>
      <w:tr w:rsidR="008755A5" w:rsidRPr="008755A5" w14:paraId="43F180AD" w14:textId="77777777" w:rsidTr="008755A5">
        <w:trPr>
          <w:trHeight w:val="495"/>
        </w:trPr>
        <w:tc>
          <w:tcPr>
            <w:tcW w:w="2830" w:type="dxa"/>
            <w:noWrap/>
            <w:hideMark/>
          </w:tcPr>
          <w:p w14:paraId="5E4904B4" w14:textId="77777777" w:rsidR="008755A5" w:rsidRPr="008755A5" w:rsidRDefault="008755A5" w:rsidP="008755A5">
            <w:pPr>
              <w:contextualSpacing/>
              <w:rPr>
                <w:rFonts w:ascii="Arial" w:eastAsia="Times New Roman" w:hAnsi="Arial" w:cs="Arial"/>
                <w:color w:val="000000"/>
              </w:rPr>
            </w:pPr>
          </w:p>
        </w:tc>
        <w:tc>
          <w:tcPr>
            <w:tcW w:w="1843" w:type="dxa"/>
            <w:hideMark/>
          </w:tcPr>
          <w:p w14:paraId="32464A87"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GPP (Billion USD)</w:t>
            </w:r>
          </w:p>
        </w:tc>
        <w:tc>
          <w:tcPr>
            <w:tcW w:w="1759" w:type="dxa"/>
            <w:hideMark/>
          </w:tcPr>
          <w:p w14:paraId="4DA5EE6A"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GPP per capita (USD)</w:t>
            </w:r>
          </w:p>
        </w:tc>
        <w:tc>
          <w:tcPr>
            <w:tcW w:w="2635" w:type="dxa"/>
            <w:hideMark/>
          </w:tcPr>
          <w:p w14:paraId="71B83C62"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Poverty headcount (% of population)</w:t>
            </w:r>
          </w:p>
        </w:tc>
      </w:tr>
      <w:tr w:rsidR="008755A5" w:rsidRPr="008755A5" w14:paraId="70D1D7A2" w14:textId="77777777" w:rsidTr="008755A5">
        <w:trPr>
          <w:trHeight w:val="86"/>
        </w:trPr>
        <w:tc>
          <w:tcPr>
            <w:tcW w:w="2830" w:type="dxa"/>
            <w:noWrap/>
            <w:hideMark/>
          </w:tcPr>
          <w:p w14:paraId="22E2371B"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Whole Kingdom</w:t>
            </w:r>
          </w:p>
        </w:tc>
        <w:tc>
          <w:tcPr>
            <w:tcW w:w="1843" w:type="dxa"/>
            <w:noWrap/>
            <w:vAlign w:val="center"/>
            <w:hideMark/>
          </w:tcPr>
          <w:p w14:paraId="5B68BA82"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515.94</w:t>
            </w:r>
          </w:p>
        </w:tc>
        <w:tc>
          <w:tcPr>
            <w:tcW w:w="1759" w:type="dxa"/>
            <w:noWrap/>
            <w:hideMark/>
          </w:tcPr>
          <w:p w14:paraId="5BC7F3CD"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7,366.25</w:t>
            </w:r>
          </w:p>
        </w:tc>
        <w:tc>
          <w:tcPr>
            <w:tcW w:w="2635" w:type="dxa"/>
            <w:hideMark/>
          </w:tcPr>
          <w:p w14:paraId="20E0F2DD"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3.41</w:t>
            </w:r>
          </w:p>
        </w:tc>
      </w:tr>
      <w:tr w:rsidR="008755A5" w:rsidRPr="008755A5" w14:paraId="3225D622" w14:textId="77777777" w:rsidTr="008755A5">
        <w:trPr>
          <w:trHeight w:val="133"/>
        </w:trPr>
        <w:tc>
          <w:tcPr>
            <w:tcW w:w="2830" w:type="dxa"/>
            <w:noWrap/>
          </w:tcPr>
          <w:p w14:paraId="3D4A4967"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Rayong</w:t>
            </w:r>
          </w:p>
        </w:tc>
        <w:tc>
          <w:tcPr>
            <w:tcW w:w="1843" w:type="dxa"/>
            <w:noWrap/>
            <w:vAlign w:val="center"/>
          </w:tcPr>
          <w:p w14:paraId="65EECF74"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30.2</w:t>
            </w:r>
          </w:p>
        </w:tc>
        <w:tc>
          <w:tcPr>
            <w:tcW w:w="1759" w:type="dxa"/>
            <w:noWrap/>
          </w:tcPr>
          <w:p w14:paraId="15998995"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27,074.86</w:t>
            </w:r>
          </w:p>
        </w:tc>
        <w:tc>
          <w:tcPr>
            <w:tcW w:w="2635" w:type="dxa"/>
          </w:tcPr>
          <w:p w14:paraId="3E3FD6F2"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0.00%</w:t>
            </w:r>
          </w:p>
        </w:tc>
      </w:tr>
      <w:tr w:rsidR="008755A5" w:rsidRPr="008755A5" w14:paraId="1C8F5C7B" w14:textId="77777777" w:rsidTr="008755A5">
        <w:trPr>
          <w:trHeight w:val="133"/>
        </w:trPr>
        <w:tc>
          <w:tcPr>
            <w:tcW w:w="2830" w:type="dxa"/>
            <w:noWrap/>
          </w:tcPr>
          <w:p w14:paraId="7094B67B"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Chon Buri</w:t>
            </w:r>
          </w:p>
        </w:tc>
        <w:tc>
          <w:tcPr>
            <w:tcW w:w="1843" w:type="dxa"/>
            <w:noWrap/>
            <w:vAlign w:val="center"/>
          </w:tcPr>
          <w:p w14:paraId="14298E9D"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34.14</w:t>
            </w:r>
          </w:p>
        </w:tc>
        <w:tc>
          <w:tcPr>
            <w:tcW w:w="1759" w:type="dxa"/>
            <w:noWrap/>
          </w:tcPr>
          <w:p w14:paraId="1950CF51"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17,021.13</w:t>
            </w:r>
          </w:p>
        </w:tc>
        <w:tc>
          <w:tcPr>
            <w:tcW w:w="2635" w:type="dxa"/>
          </w:tcPr>
          <w:p w14:paraId="4C2E0555"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0.34%</w:t>
            </w:r>
          </w:p>
        </w:tc>
      </w:tr>
      <w:tr w:rsidR="008755A5" w:rsidRPr="008755A5" w14:paraId="6974A61F" w14:textId="77777777" w:rsidTr="008755A5">
        <w:trPr>
          <w:trHeight w:val="133"/>
        </w:trPr>
        <w:tc>
          <w:tcPr>
            <w:tcW w:w="2830" w:type="dxa"/>
            <w:noWrap/>
          </w:tcPr>
          <w:p w14:paraId="42DBA2EA"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Chachoengsao</w:t>
            </w:r>
          </w:p>
        </w:tc>
        <w:tc>
          <w:tcPr>
            <w:tcW w:w="1843" w:type="dxa"/>
            <w:noWrap/>
            <w:vAlign w:val="center"/>
          </w:tcPr>
          <w:p w14:paraId="7F05C8BD"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12.95</w:t>
            </w:r>
          </w:p>
        </w:tc>
        <w:tc>
          <w:tcPr>
            <w:tcW w:w="1759" w:type="dxa"/>
            <w:noWrap/>
          </w:tcPr>
          <w:p w14:paraId="1BF303C8"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14,080.60</w:t>
            </w:r>
          </w:p>
        </w:tc>
        <w:tc>
          <w:tcPr>
            <w:tcW w:w="2635" w:type="dxa"/>
          </w:tcPr>
          <w:p w14:paraId="54E4D2B7"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0.44%</w:t>
            </w:r>
          </w:p>
        </w:tc>
      </w:tr>
      <w:tr w:rsidR="008755A5" w:rsidRPr="008755A5" w14:paraId="4E3BD6B2" w14:textId="77777777" w:rsidTr="008755A5">
        <w:trPr>
          <w:trHeight w:val="125"/>
        </w:trPr>
        <w:tc>
          <w:tcPr>
            <w:tcW w:w="2830" w:type="dxa"/>
            <w:noWrap/>
          </w:tcPr>
          <w:p w14:paraId="3B15E5D4"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Samut Sakhon</w:t>
            </w:r>
          </w:p>
        </w:tc>
        <w:tc>
          <w:tcPr>
            <w:tcW w:w="1843" w:type="dxa"/>
            <w:noWrap/>
            <w:vAlign w:val="center"/>
          </w:tcPr>
          <w:p w14:paraId="521EC570"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11.8</w:t>
            </w:r>
          </w:p>
        </w:tc>
        <w:tc>
          <w:tcPr>
            <w:tcW w:w="1759" w:type="dxa"/>
            <w:noWrap/>
          </w:tcPr>
          <w:p w14:paraId="0189483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10,748.73</w:t>
            </w:r>
          </w:p>
        </w:tc>
        <w:tc>
          <w:tcPr>
            <w:tcW w:w="2635" w:type="dxa"/>
          </w:tcPr>
          <w:p w14:paraId="0AA3F006"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2.16%</w:t>
            </w:r>
          </w:p>
        </w:tc>
      </w:tr>
      <w:tr w:rsidR="008755A5" w:rsidRPr="008755A5" w14:paraId="58497A4B" w14:textId="77777777" w:rsidTr="008755A5">
        <w:trPr>
          <w:trHeight w:val="131"/>
        </w:trPr>
        <w:tc>
          <w:tcPr>
            <w:tcW w:w="2830" w:type="dxa"/>
            <w:noWrap/>
          </w:tcPr>
          <w:p w14:paraId="68A838B3"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 xml:space="preserve">Samut </w:t>
            </w:r>
            <w:proofErr w:type="spellStart"/>
            <w:r w:rsidRPr="008755A5">
              <w:rPr>
                <w:rFonts w:ascii="Arial" w:eastAsia="Times New Roman" w:hAnsi="Arial" w:cs="Arial"/>
                <w:color w:val="000000"/>
              </w:rPr>
              <w:t>Prakarn</w:t>
            </w:r>
            <w:proofErr w:type="spellEnd"/>
          </w:p>
        </w:tc>
        <w:tc>
          <w:tcPr>
            <w:tcW w:w="1843" w:type="dxa"/>
            <w:noWrap/>
            <w:vAlign w:val="center"/>
          </w:tcPr>
          <w:p w14:paraId="18941EDF"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21.77</w:t>
            </w:r>
          </w:p>
        </w:tc>
        <w:tc>
          <w:tcPr>
            <w:tcW w:w="1759" w:type="dxa"/>
            <w:noWrap/>
          </w:tcPr>
          <w:p w14:paraId="0570FD73"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9,203.85</w:t>
            </w:r>
          </w:p>
        </w:tc>
        <w:tc>
          <w:tcPr>
            <w:tcW w:w="2635" w:type="dxa"/>
          </w:tcPr>
          <w:p w14:paraId="5AB7CD3D"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0.42%</w:t>
            </w:r>
          </w:p>
        </w:tc>
      </w:tr>
      <w:tr w:rsidR="008755A5" w:rsidRPr="008755A5" w14:paraId="60569FE3" w14:textId="77777777" w:rsidTr="008755A5">
        <w:trPr>
          <w:trHeight w:val="278"/>
        </w:trPr>
        <w:tc>
          <w:tcPr>
            <w:tcW w:w="2830" w:type="dxa"/>
            <w:noWrap/>
          </w:tcPr>
          <w:p w14:paraId="15E586FC"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Chantha Buri</w:t>
            </w:r>
          </w:p>
        </w:tc>
        <w:tc>
          <w:tcPr>
            <w:tcW w:w="1843" w:type="dxa"/>
            <w:noWrap/>
            <w:vAlign w:val="center"/>
          </w:tcPr>
          <w:p w14:paraId="21782F11"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4.18</w:t>
            </w:r>
          </w:p>
        </w:tc>
        <w:tc>
          <w:tcPr>
            <w:tcW w:w="1759" w:type="dxa"/>
            <w:noWrap/>
          </w:tcPr>
          <w:p w14:paraId="1AB2578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7,285.11</w:t>
            </w:r>
          </w:p>
        </w:tc>
        <w:tc>
          <w:tcPr>
            <w:tcW w:w="2635" w:type="dxa"/>
          </w:tcPr>
          <w:p w14:paraId="46D479EF"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2.39%</w:t>
            </w:r>
          </w:p>
        </w:tc>
      </w:tr>
      <w:tr w:rsidR="008755A5" w:rsidRPr="008755A5" w14:paraId="338D6642" w14:textId="77777777" w:rsidTr="008755A5">
        <w:trPr>
          <w:trHeight w:val="105"/>
        </w:trPr>
        <w:tc>
          <w:tcPr>
            <w:tcW w:w="2830" w:type="dxa"/>
            <w:noWrap/>
          </w:tcPr>
          <w:p w14:paraId="7640AE0A" w14:textId="77777777" w:rsidR="008755A5" w:rsidRPr="008755A5" w:rsidRDefault="008755A5" w:rsidP="008755A5">
            <w:pPr>
              <w:contextualSpacing/>
              <w:rPr>
                <w:rFonts w:ascii="Arial" w:eastAsia="Times New Roman" w:hAnsi="Arial" w:cs="Arial"/>
                <w:color w:val="000000"/>
              </w:rPr>
            </w:pPr>
            <w:proofErr w:type="spellStart"/>
            <w:r w:rsidRPr="008755A5">
              <w:rPr>
                <w:rFonts w:ascii="Arial" w:eastAsia="Times New Roman" w:hAnsi="Arial" w:cs="Arial"/>
                <w:color w:val="000000"/>
              </w:rPr>
              <w:t>Chumpon</w:t>
            </w:r>
            <w:proofErr w:type="spellEnd"/>
          </w:p>
        </w:tc>
        <w:tc>
          <w:tcPr>
            <w:tcW w:w="1843" w:type="dxa"/>
            <w:noWrap/>
            <w:vAlign w:val="center"/>
          </w:tcPr>
          <w:p w14:paraId="2A61A90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3.32</w:t>
            </w:r>
          </w:p>
        </w:tc>
        <w:tc>
          <w:tcPr>
            <w:tcW w:w="1759" w:type="dxa"/>
            <w:noWrap/>
          </w:tcPr>
          <w:p w14:paraId="7F9E1A8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6,618.37</w:t>
            </w:r>
          </w:p>
        </w:tc>
        <w:tc>
          <w:tcPr>
            <w:tcW w:w="2635" w:type="dxa"/>
          </w:tcPr>
          <w:p w14:paraId="6F6C9497"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1.30%</w:t>
            </w:r>
          </w:p>
        </w:tc>
      </w:tr>
      <w:tr w:rsidR="008755A5" w:rsidRPr="008755A5" w14:paraId="79B08DC3" w14:textId="77777777" w:rsidTr="008755A5">
        <w:trPr>
          <w:trHeight w:val="280"/>
        </w:trPr>
        <w:tc>
          <w:tcPr>
            <w:tcW w:w="2830" w:type="dxa"/>
            <w:noWrap/>
          </w:tcPr>
          <w:p w14:paraId="5298C020"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Surat Thani</w:t>
            </w:r>
          </w:p>
        </w:tc>
        <w:tc>
          <w:tcPr>
            <w:tcW w:w="1843" w:type="dxa"/>
            <w:noWrap/>
            <w:vAlign w:val="center"/>
          </w:tcPr>
          <w:p w14:paraId="490F76C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6.33</w:t>
            </w:r>
          </w:p>
        </w:tc>
        <w:tc>
          <w:tcPr>
            <w:tcW w:w="1759" w:type="dxa"/>
            <w:noWrap/>
          </w:tcPr>
          <w:p w14:paraId="714C5A0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5,407.49</w:t>
            </w:r>
          </w:p>
        </w:tc>
        <w:tc>
          <w:tcPr>
            <w:tcW w:w="2635" w:type="dxa"/>
          </w:tcPr>
          <w:p w14:paraId="19269F0E"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3.67%</w:t>
            </w:r>
          </w:p>
        </w:tc>
      </w:tr>
      <w:tr w:rsidR="008755A5" w:rsidRPr="008755A5" w14:paraId="1020F80C" w14:textId="77777777" w:rsidTr="008755A5">
        <w:trPr>
          <w:trHeight w:val="58"/>
        </w:trPr>
        <w:tc>
          <w:tcPr>
            <w:tcW w:w="2830" w:type="dxa"/>
            <w:noWrap/>
          </w:tcPr>
          <w:p w14:paraId="053B5C18"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 xml:space="preserve">Samut </w:t>
            </w:r>
            <w:proofErr w:type="spellStart"/>
            <w:r w:rsidRPr="008755A5">
              <w:rPr>
                <w:rFonts w:ascii="Arial" w:eastAsia="Times New Roman" w:hAnsi="Arial" w:cs="Arial"/>
                <w:color w:val="000000"/>
              </w:rPr>
              <w:t>Songkharm</w:t>
            </w:r>
            <w:proofErr w:type="spellEnd"/>
          </w:p>
        </w:tc>
        <w:tc>
          <w:tcPr>
            <w:tcW w:w="1843" w:type="dxa"/>
            <w:noWrap/>
            <w:vAlign w:val="center"/>
          </w:tcPr>
          <w:p w14:paraId="5148A7B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0.84</w:t>
            </w:r>
          </w:p>
        </w:tc>
        <w:tc>
          <w:tcPr>
            <w:tcW w:w="1759" w:type="dxa"/>
            <w:noWrap/>
          </w:tcPr>
          <w:p w14:paraId="6B56C449"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4,803.57</w:t>
            </w:r>
          </w:p>
        </w:tc>
        <w:tc>
          <w:tcPr>
            <w:tcW w:w="2635" w:type="dxa"/>
          </w:tcPr>
          <w:p w14:paraId="7AB5162F"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3.67%</w:t>
            </w:r>
          </w:p>
        </w:tc>
      </w:tr>
      <w:tr w:rsidR="008755A5" w:rsidRPr="008755A5" w14:paraId="5EC46A9F" w14:textId="77777777" w:rsidTr="008755A5">
        <w:trPr>
          <w:trHeight w:val="58"/>
        </w:trPr>
        <w:tc>
          <w:tcPr>
            <w:tcW w:w="2830" w:type="dxa"/>
            <w:noWrap/>
          </w:tcPr>
          <w:p w14:paraId="5BD89849"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Trat</w:t>
            </w:r>
          </w:p>
        </w:tc>
        <w:tc>
          <w:tcPr>
            <w:tcW w:w="1843" w:type="dxa"/>
            <w:noWrap/>
            <w:vAlign w:val="center"/>
          </w:tcPr>
          <w:p w14:paraId="1F56FDA4" w14:textId="77777777" w:rsidR="008755A5" w:rsidRPr="008755A5" w:rsidRDefault="008755A5" w:rsidP="008755A5">
            <w:pPr>
              <w:contextualSpacing/>
              <w:jc w:val="center"/>
              <w:rPr>
                <w:rFonts w:ascii="Arial" w:eastAsia="Times New Roman" w:hAnsi="Arial" w:cs="Arial"/>
                <w:color w:val="000000"/>
                <w:cs/>
              </w:rPr>
            </w:pPr>
            <w:r w:rsidRPr="008755A5">
              <w:rPr>
                <w:rFonts w:ascii="Arial" w:eastAsia="Times New Roman" w:hAnsi="Arial" w:cs="Arial"/>
                <w:color w:val="000000"/>
              </w:rPr>
              <w:t>1.33</w:t>
            </w:r>
          </w:p>
        </w:tc>
        <w:tc>
          <w:tcPr>
            <w:tcW w:w="1759" w:type="dxa"/>
            <w:noWrap/>
          </w:tcPr>
          <w:p w14:paraId="674D3D3D"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4,736.65</w:t>
            </w:r>
          </w:p>
        </w:tc>
        <w:tc>
          <w:tcPr>
            <w:tcW w:w="2635" w:type="dxa"/>
          </w:tcPr>
          <w:p w14:paraId="19334400"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4.91</w:t>
            </w:r>
          </w:p>
        </w:tc>
      </w:tr>
      <w:tr w:rsidR="008755A5" w:rsidRPr="008755A5" w14:paraId="04E612C4" w14:textId="77777777" w:rsidTr="008755A5">
        <w:trPr>
          <w:trHeight w:val="157"/>
        </w:trPr>
        <w:tc>
          <w:tcPr>
            <w:tcW w:w="2830" w:type="dxa"/>
            <w:noWrap/>
          </w:tcPr>
          <w:p w14:paraId="303B3F90" w14:textId="77777777" w:rsidR="008755A5" w:rsidRPr="008755A5" w:rsidRDefault="008755A5" w:rsidP="008755A5">
            <w:pPr>
              <w:contextualSpacing/>
              <w:rPr>
                <w:rFonts w:ascii="Arial" w:eastAsia="Times New Roman" w:hAnsi="Arial" w:cs="Arial"/>
                <w:color w:val="000000"/>
              </w:rPr>
            </w:pPr>
            <w:proofErr w:type="spellStart"/>
            <w:r w:rsidRPr="008755A5">
              <w:rPr>
                <w:rFonts w:ascii="Arial" w:eastAsia="Times New Roman" w:hAnsi="Arial" w:cs="Arial"/>
                <w:color w:val="000000"/>
              </w:rPr>
              <w:t>Petchburi</w:t>
            </w:r>
            <w:proofErr w:type="spellEnd"/>
          </w:p>
        </w:tc>
        <w:tc>
          <w:tcPr>
            <w:tcW w:w="1843" w:type="dxa"/>
            <w:noWrap/>
            <w:vAlign w:val="center"/>
          </w:tcPr>
          <w:p w14:paraId="6C023D12"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2.27</w:t>
            </w:r>
          </w:p>
        </w:tc>
        <w:tc>
          <w:tcPr>
            <w:tcW w:w="1759" w:type="dxa"/>
            <w:noWrap/>
          </w:tcPr>
          <w:p w14:paraId="2CEDB980"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4,503.42</w:t>
            </w:r>
          </w:p>
        </w:tc>
        <w:tc>
          <w:tcPr>
            <w:tcW w:w="2635" w:type="dxa"/>
          </w:tcPr>
          <w:p w14:paraId="36F234F3"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4.76%</w:t>
            </w:r>
          </w:p>
        </w:tc>
      </w:tr>
      <w:tr w:rsidR="008755A5" w:rsidRPr="008755A5" w14:paraId="3470A472" w14:textId="77777777" w:rsidTr="008755A5">
        <w:trPr>
          <w:trHeight w:val="58"/>
        </w:trPr>
        <w:tc>
          <w:tcPr>
            <w:tcW w:w="2830" w:type="dxa"/>
            <w:noWrap/>
          </w:tcPr>
          <w:p w14:paraId="096A9D6F"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Songkhla</w:t>
            </w:r>
          </w:p>
        </w:tc>
        <w:tc>
          <w:tcPr>
            <w:tcW w:w="1843" w:type="dxa"/>
            <w:noWrap/>
            <w:vAlign w:val="center"/>
          </w:tcPr>
          <w:p w14:paraId="5A264F97"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7.23</w:t>
            </w:r>
          </w:p>
        </w:tc>
        <w:tc>
          <w:tcPr>
            <w:tcW w:w="1759" w:type="dxa"/>
            <w:noWrap/>
          </w:tcPr>
          <w:p w14:paraId="0AC82A67"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4,246.82</w:t>
            </w:r>
          </w:p>
        </w:tc>
        <w:tc>
          <w:tcPr>
            <w:tcW w:w="2635" w:type="dxa"/>
          </w:tcPr>
          <w:p w14:paraId="3C0F5D07"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1.94%</w:t>
            </w:r>
          </w:p>
        </w:tc>
      </w:tr>
      <w:tr w:rsidR="008755A5" w:rsidRPr="008755A5" w14:paraId="76C42263" w14:textId="77777777" w:rsidTr="008755A5">
        <w:trPr>
          <w:trHeight w:val="58"/>
        </w:trPr>
        <w:tc>
          <w:tcPr>
            <w:tcW w:w="2830" w:type="dxa"/>
            <w:noWrap/>
          </w:tcPr>
          <w:p w14:paraId="60616727"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Nakhon Si Thammarat</w:t>
            </w:r>
          </w:p>
        </w:tc>
        <w:tc>
          <w:tcPr>
            <w:tcW w:w="1843" w:type="dxa"/>
            <w:noWrap/>
            <w:vAlign w:val="center"/>
          </w:tcPr>
          <w:p w14:paraId="13BF36C9"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5.59</w:t>
            </w:r>
          </w:p>
        </w:tc>
        <w:tc>
          <w:tcPr>
            <w:tcW w:w="1759" w:type="dxa"/>
            <w:noWrap/>
          </w:tcPr>
          <w:p w14:paraId="29A57AE9"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3,661.05</w:t>
            </w:r>
          </w:p>
        </w:tc>
        <w:tc>
          <w:tcPr>
            <w:tcW w:w="2635" w:type="dxa"/>
          </w:tcPr>
          <w:p w14:paraId="4C6917D5"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8.18%</w:t>
            </w:r>
          </w:p>
        </w:tc>
      </w:tr>
      <w:tr w:rsidR="008755A5" w:rsidRPr="008755A5" w14:paraId="2D88D8F4" w14:textId="77777777" w:rsidTr="008755A5">
        <w:trPr>
          <w:trHeight w:val="58"/>
        </w:trPr>
        <w:tc>
          <w:tcPr>
            <w:tcW w:w="2830" w:type="dxa"/>
            <w:noWrap/>
          </w:tcPr>
          <w:p w14:paraId="5D683244"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Prachuap Khiri Khan</w:t>
            </w:r>
          </w:p>
        </w:tc>
        <w:tc>
          <w:tcPr>
            <w:tcW w:w="1843" w:type="dxa"/>
            <w:noWrap/>
            <w:vAlign w:val="center"/>
          </w:tcPr>
          <w:p w14:paraId="015D2FC0"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3.09</w:t>
            </w:r>
          </w:p>
        </w:tc>
        <w:tc>
          <w:tcPr>
            <w:tcW w:w="1759" w:type="dxa"/>
            <w:noWrap/>
          </w:tcPr>
          <w:p w14:paraId="6EFD9271"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3,090.84</w:t>
            </w:r>
          </w:p>
        </w:tc>
        <w:tc>
          <w:tcPr>
            <w:tcW w:w="2635" w:type="dxa"/>
          </w:tcPr>
          <w:p w14:paraId="10E7F403"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9.49%</w:t>
            </w:r>
          </w:p>
        </w:tc>
      </w:tr>
      <w:tr w:rsidR="008755A5" w:rsidRPr="008755A5" w14:paraId="3448912C" w14:textId="77777777" w:rsidTr="008755A5">
        <w:trPr>
          <w:trHeight w:val="58"/>
        </w:trPr>
        <w:tc>
          <w:tcPr>
            <w:tcW w:w="2830" w:type="dxa"/>
            <w:noWrap/>
          </w:tcPr>
          <w:p w14:paraId="75F7D584"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Pattani</w:t>
            </w:r>
          </w:p>
        </w:tc>
        <w:tc>
          <w:tcPr>
            <w:tcW w:w="1843" w:type="dxa"/>
            <w:noWrap/>
            <w:vAlign w:val="center"/>
          </w:tcPr>
          <w:p w14:paraId="3FC710BB"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1.56</w:t>
            </w:r>
          </w:p>
        </w:tc>
        <w:tc>
          <w:tcPr>
            <w:tcW w:w="1759" w:type="dxa"/>
            <w:noWrap/>
          </w:tcPr>
          <w:p w14:paraId="52D99F70"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2,395.66</w:t>
            </w:r>
          </w:p>
        </w:tc>
        <w:tc>
          <w:tcPr>
            <w:tcW w:w="2635" w:type="dxa"/>
          </w:tcPr>
          <w:p w14:paraId="01C66CCC"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23.36%</w:t>
            </w:r>
          </w:p>
        </w:tc>
      </w:tr>
      <w:tr w:rsidR="008755A5" w:rsidRPr="008755A5" w14:paraId="75349FA8" w14:textId="77777777" w:rsidTr="008755A5">
        <w:trPr>
          <w:trHeight w:val="99"/>
        </w:trPr>
        <w:tc>
          <w:tcPr>
            <w:tcW w:w="2830" w:type="dxa"/>
            <w:noWrap/>
          </w:tcPr>
          <w:p w14:paraId="5EF60E44" w14:textId="77777777" w:rsidR="008755A5" w:rsidRPr="008755A5" w:rsidRDefault="008755A5" w:rsidP="008755A5">
            <w:pPr>
              <w:contextualSpacing/>
              <w:rPr>
                <w:rFonts w:ascii="Arial" w:eastAsia="Times New Roman" w:hAnsi="Arial" w:cs="Arial"/>
                <w:color w:val="000000"/>
              </w:rPr>
            </w:pPr>
            <w:r w:rsidRPr="008755A5">
              <w:rPr>
                <w:rFonts w:ascii="Arial" w:eastAsia="Times New Roman" w:hAnsi="Arial" w:cs="Arial"/>
                <w:color w:val="000000"/>
              </w:rPr>
              <w:t>Narathiwat</w:t>
            </w:r>
          </w:p>
        </w:tc>
        <w:tc>
          <w:tcPr>
            <w:tcW w:w="1843" w:type="dxa"/>
            <w:noWrap/>
            <w:vAlign w:val="center"/>
          </w:tcPr>
          <w:p w14:paraId="208E29E9"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1.36</w:t>
            </w:r>
          </w:p>
        </w:tc>
        <w:tc>
          <w:tcPr>
            <w:tcW w:w="1759" w:type="dxa"/>
            <w:noWrap/>
          </w:tcPr>
          <w:p w14:paraId="08EA9602"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1,839.23</w:t>
            </w:r>
          </w:p>
        </w:tc>
        <w:tc>
          <w:tcPr>
            <w:tcW w:w="2635" w:type="dxa"/>
          </w:tcPr>
          <w:p w14:paraId="2A896D58"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19.12%</w:t>
            </w:r>
          </w:p>
        </w:tc>
      </w:tr>
    </w:tbl>
    <w:p w14:paraId="7EDDF64D" w14:textId="77777777" w:rsidR="008755A5" w:rsidRPr="008755A5" w:rsidRDefault="008755A5" w:rsidP="008755A5">
      <w:pPr>
        <w:rPr>
          <w:rFonts w:ascii="Arial" w:hAnsi="Arial" w:cs="Arial"/>
        </w:rPr>
      </w:pPr>
    </w:p>
    <w:p w14:paraId="243ED4FF" w14:textId="77777777" w:rsidR="008755A5" w:rsidRDefault="008755A5">
      <w:pPr>
        <w:spacing w:before="120" w:after="120"/>
        <w:ind w:firstLine="1134"/>
        <w:jc w:val="thaiDistribute"/>
        <w:rPr>
          <w:rFonts w:ascii="Arial" w:hAnsi="Arial" w:cs="Arial"/>
          <w:iCs/>
        </w:rPr>
      </w:pPr>
      <w:r>
        <w:rPr>
          <w:rFonts w:ascii="Arial" w:hAnsi="Arial" w:cs="Arial"/>
          <w:iCs/>
        </w:rPr>
        <w:br w:type="page"/>
      </w:r>
    </w:p>
    <w:p w14:paraId="197DF934" w14:textId="77777777" w:rsidR="008755A5" w:rsidRPr="008755A5" w:rsidRDefault="008755A5" w:rsidP="008755A5">
      <w:pPr>
        <w:rPr>
          <w:rFonts w:ascii="Arial" w:hAnsi="Arial" w:cs="Arial"/>
          <w:iCs/>
        </w:rPr>
      </w:pPr>
      <w:r w:rsidRPr="008755A5">
        <w:rPr>
          <w:rFonts w:ascii="Arial" w:hAnsi="Arial" w:cs="Arial"/>
          <w:iCs/>
        </w:rPr>
        <w:lastRenderedPageBreak/>
        <w:t>Annex 4: Approved Domestic and Foreign Direct Investment Values by the Board of Investment (BOI), 2015–2024</w:t>
      </w:r>
    </w:p>
    <w:p w14:paraId="10CE0D12" w14:textId="77777777" w:rsidR="008755A5" w:rsidRPr="008755A5" w:rsidRDefault="008755A5" w:rsidP="008755A5">
      <w:pPr>
        <w:contextualSpacing/>
        <w:rPr>
          <w:rFonts w:ascii="Arial" w:hAnsi="Arial" w:cs="Arial"/>
          <w:i/>
        </w:rPr>
      </w:pPr>
    </w:p>
    <w:tbl>
      <w:tblPr>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
        <w:gridCol w:w="1520"/>
        <w:gridCol w:w="817"/>
        <w:gridCol w:w="1520"/>
        <w:gridCol w:w="817"/>
        <w:gridCol w:w="1520"/>
        <w:gridCol w:w="886"/>
        <w:gridCol w:w="1520"/>
      </w:tblGrid>
      <w:tr w:rsidR="008755A5" w:rsidRPr="008755A5" w14:paraId="66556125" w14:textId="77777777" w:rsidTr="008755A5">
        <w:trPr>
          <w:trHeight w:val="612"/>
          <w:tblHeader/>
        </w:trPr>
        <w:tc>
          <w:tcPr>
            <w:tcW w:w="705" w:type="dxa"/>
            <w:vMerge w:val="restart"/>
            <w:shd w:val="clear" w:color="auto" w:fill="D9D9D9" w:themeFill="background1" w:themeFillShade="D9"/>
            <w:noWrap/>
            <w:hideMark/>
          </w:tcPr>
          <w:p w14:paraId="4BD82276" w14:textId="77777777" w:rsidR="008755A5" w:rsidRPr="008755A5" w:rsidRDefault="008755A5" w:rsidP="008755A5">
            <w:pPr>
              <w:contextualSpacing/>
              <w:jc w:val="center"/>
              <w:rPr>
                <w:rFonts w:ascii="Arial" w:eastAsia="Times New Roman" w:hAnsi="Arial" w:cs="Arial"/>
              </w:rPr>
            </w:pPr>
            <w:r w:rsidRPr="008755A5">
              <w:rPr>
                <w:rFonts w:ascii="Arial" w:eastAsia="Times New Roman" w:hAnsi="Arial" w:cs="Arial"/>
              </w:rPr>
              <w:t>Year</w:t>
            </w:r>
          </w:p>
        </w:tc>
        <w:tc>
          <w:tcPr>
            <w:tcW w:w="2331" w:type="dxa"/>
            <w:gridSpan w:val="2"/>
            <w:shd w:val="clear" w:color="auto" w:fill="D9D9D9" w:themeFill="background1" w:themeFillShade="D9"/>
            <w:hideMark/>
          </w:tcPr>
          <w:p w14:paraId="3DAEE82D"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Domestic Direct Investment (DDI)</w:t>
            </w:r>
          </w:p>
        </w:tc>
        <w:tc>
          <w:tcPr>
            <w:tcW w:w="2331" w:type="dxa"/>
            <w:gridSpan w:val="2"/>
            <w:shd w:val="clear" w:color="auto" w:fill="D9D9D9" w:themeFill="background1" w:themeFillShade="D9"/>
            <w:hideMark/>
          </w:tcPr>
          <w:p w14:paraId="7A0DE1FB"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Other Investment (Not specified)</w:t>
            </w:r>
          </w:p>
        </w:tc>
        <w:tc>
          <w:tcPr>
            <w:tcW w:w="2463" w:type="dxa"/>
            <w:gridSpan w:val="2"/>
            <w:shd w:val="clear" w:color="auto" w:fill="D9D9D9" w:themeFill="background1" w:themeFillShade="D9"/>
            <w:hideMark/>
          </w:tcPr>
          <w:p w14:paraId="01A36002"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Foreign Direct Investment (FDI)</w:t>
            </w:r>
          </w:p>
        </w:tc>
        <w:tc>
          <w:tcPr>
            <w:tcW w:w="1520" w:type="dxa"/>
            <w:shd w:val="clear" w:color="auto" w:fill="D9D9D9" w:themeFill="background1" w:themeFillShade="D9"/>
            <w:hideMark/>
          </w:tcPr>
          <w:p w14:paraId="73A6F01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Total Investment</w:t>
            </w:r>
          </w:p>
        </w:tc>
      </w:tr>
      <w:tr w:rsidR="008755A5" w:rsidRPr="008755A5" w14:paraId="5ABE519F" w14:textId="77777777" w:rsidTr="008755A5">
        <w:trPr>
          <w:trHeight w:val="267"/>
          <w:tblHeader/>
        </w:trPr>
        <w:tc>
          <w:tcPr>
            <w:tcW w:w="705" w:type="dxa"/>
            <w:vMerge/>
            <w:shd w:val="clear" w:color="auto" w:fill="D9D9D9" w:themeFill="background1" w:themeFillShade="D9"/>
            <w:noWrap/>
          </w:tcPr>
          <w:p w14:paraId="747CB60F" w14:textId="77777777" w:rsidR="008755A5" w:rsidRPr="008755A5" w:rsidRDefault="008755A5" w:rsidP="008755A5">
            <w:pPr>
              <w:contextualSpacing/>
              <w:jc w:val="center"/>
              <w:rPr>
                <w:rFonts w:ascii="Arial" w:eastAsia="Times New Roman" w:hAnsi="Arial" w:cs="Arial"/>
                <w:b/>
                <w:bCs/>
              </w:rPr>
            </w:pPr>
          </w:p>
        </w:tc>
        <w:tc>
          <w:tcPr>
            <w:tcW w:w="1520" w:type="dxa"/>
            <w:shd w:val="clear" w:color="auto" w:fill="D9D9D9" w:themeFill="background1" w:themeFillShade="D9"/>
          </w:tcPr>
          <w:p w14:paraId="6F6153AF"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Million USD</w:t>
            </w:r>
          </w:p>
        </w:tc>
        <w:tc>
          <w:tcPr>
            <w:tcW w:w="811" w:type="dxa"/>
            <w:shd w:val="clear" w:color="auto" w:fill="D9D9D9" w:themeFill="background1" w:themeFillShade="D9"/>
          </w:tcPr>
          <w:p w14:paraId="03D452B2"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w:t>
            </w:r>
          </w:p>
        </w:tc>
        <w:tc>
          <w:tcPr>
            <w:tcW w:w="1520" w:type="dxa"/>
            <w:shd w:val="clear" w:color="auto" w:fill="D9D9D9" w:themeFill="background1" w:themeFillShade="D9"/>
          </w:tcPr>
          <w:p w14:paraId="03751C5B"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Million USD</w:t>
            </w:r>
          </w:p>
        </w:tc>
        <w:tc>
          <w:tcPr>
            <w:tcW w:w="811" w:type="dxa"/>
            <w:shd w:val="clear" w:color="auto" w:fill="D9D9D9" w:themeFill="background1" w:themeFillShade="D9"/>
          </w:tcPr>
          <w:p w14:paraId="3ECD908C"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w:t>
            </w:r>
          </w:p>
        </w:tc>
        <w:tc>
          <w:tcPr>
            <w:tcW w:w="1520" w:type="dxa"/>
            <w:shd w:val="clear" w:color="auto" w:fill="D9D9D9" w:themeFill="background1" w:themeFillShade="D9"/>
          </w:tcPr>
          <w:p w14:paraId="6F2F1B41"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Million USD</w:t>
            </w:r>
          </w:p>
        </w:tc>
        <w:tc>
          <w:tcPr>
            <w:tcW w:w="943" w:type="dxa"/>
            <w:shd w:val="clear" w:color="auto" w:fill="D9D9D9" w:themeFill="background1" w:themeFillShade="D9"/>
          </w:tcPr>
          <w:p w14:paraId="7D3588FE"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w:t>
            </w:r>
          </w:p>
        </w:tc>
        <w:tc>
          <w:tcPr>
            <w:tcW w:w="1520" w:type="dxa"/>
            <w:shd w:val="clear" w:color="auto" w:fill="D9D9D9" w:themeFill="background1" w:themeFillShade="D9"/>
          </w:tcPr>
          <w:p w14:paraId="09D56632"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Million USD</w:t>
            </w:r>
          </w:p>
        </w:tc>
      </w:tr>
      <w:tr w:rsidR="008755A5" w:rsidRPr="008755A5" w14:paraId="12895139" w14:textId="77777777" w:rsidTr="008755A5">
        <w:trPr>
          <w:trHeight w:val="276"/>
        </w:trPr>
        <w:tc>
          <w:tcPr>
            <w:tcW w:w="705" w:type="dxa"/>
            <w:noWrap/>
            <w:hideMark/>
          </w:tcPr>
          <w:p w14:paraId="524E293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2015</w:t>
            </w:r>
          </w:p>
        </w:tc>
        <w:tc>
          <w:tcPr>
            <w:tcW w:w="1520" w:type="dxa"/>
            <w:noWrap/>
            <w:hideMark/>
          </w:tcPr>
          <w:p w14:paraId="1B8FDE67"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7,965.68</w:t>
            </w:r>
          </w:p>
        </w:tc>
        <w:tc>
          <w:tcPr>
            <w:tcW w:w="811" w:type="dxa"/>
          </w:tcPr>
          <w:p w14:paraId="7953CA77" w14:textId="77777777" w:rsidR="008755A5" w:rsidRPr="008755A5" w:rsidRDefault="008755A5" w:rsidP="008755A5">
            <w:pPr>
              <w:contextualSpacing/>
              <w:jc w:val="center"/>
              <w:rPr>
                <w:rFonts w:ascii="Arial" w:eastAsia="Times New Roman" w:hAnsi="Arial" w:cs="Arial"/>
                <w:color w:val="000000"/>
              </w:rPr>
            </w:pPr>
            <w:r w:rsidRPr="008755A5">
              <w:rPr>
                <w:rFonts w:ascii="Arial" w:hAnsi="Arial" w:cs="Arial"/>
                <w:color w:val="000000"/>
              </w:rPr>
              <w:t>33.75</w:t>
            </w:r>
          </w:p>
        </w:tc>
        <w:tc>
          <w:tcPr>
            <w:tcW w:w="1520" w:type="dxa"/>
            <w:noWrap/>
            <w:hideMark/>
          </w:tcPr>
          <w:p w14:paraId="1E8B282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1,240.91</w:t>
            </w:r>
          </w:p>
        </w:tc>
        <w:tc>
          <w:tcPr>
            <w:tcW w:w="811" w:type="dxa"/>
          </w:tcPr>
          <w:p w14:paraId="5B900974" w14:textId="77777777" w:rsidR="008755A5" w:rsidRPr="008755A5" w:rsidRDefault="008755A5" w:rsidP="008755A5">
            <w:pPr>
              <w:contextualSpacing/>
              <w:jc w:val="center"/>
              <w:rPr>
                <w:rFonts w:ascii="Arial" w:eastAsia="Times New Roman" w:hAnsi="Arial" w:cs="Arial"/>
                <w:color w:val="000000"/>
              </w:rPr>
            </w:pPr>
            <w:r w:rsidRPr="008755A5">
              <w:rPr>
                <w:rFonts w:ascii="Arial" w:hAnsi="Arial" w:cs="Arial"/>
                <w:color w:val="000000"/>
              </w:rPr>
              <w:t>5.26</w:t>
            </w:r>
          </w:p>
        </w:tc>
        <w:tc>
          <w:tcPr>
            <w:tcW w:w="1520" w:type="dxa"/>
            <w:noWrap/>
            <w:hideMark/>
          </w:tcPr>
          <w:p w14:paraId="3FC78434"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14,397.49</w:t>
            </w:r>
          </w:p>
        </w:tc>
        <w:tc>
          <w:tcPr>
            <w:tcW w:w="943" w:type="dxa"/>
          </w:tcPr>
          <w:p w14:paraId="6427894B" w14:textId="77777777" w:rsidR="008755A5" w:rsidRPr="008755A5" w:rsidRDefault="008755A5" w:rsidP="008755A5">
            <w:pPr>
              <w:contextualSpacing/>
              <w:jc w:val="center"/>
              <w:rPr>
                <w:rFonts w:ascii="Arial" w:eastAsia="Times New Roman" w:hAnsi="Arial" w:cs="Arial"/>
                <w:color w:val="000000"/>
              </w:rPr>
            </w:pPr>
            <w:r w:rsidRPr="008755A5">
              <w:rPr>
                <w:rFonts w:ascii="Arial" w:hAnsi="Arial" w:cs="Arial"/>
                <w:color w:val="000000"/>
              </w:rPr>
              <w:t>61.00</w:t>
            </w:r>
          </w:p>
        </w:tc>
        <w:tc>
          <w:tcPr>
            <w:tcW w:w="1520" w:type="dxa"/>
            <w:noWrap/>
            <w:hideMark/>
          </w:tcPr>
          <w:p w14:paraId="5BCAEA3F"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23,604.08</w:t>
            </w:r>
          </w:p>
        </w:tc>
      </w:tr>
      <w:tr w:rsidR="008755A5" w:rsidRPr="008755A5" w14:paraId="7057883D" w14:textId="77777777" w:rsidTr="008755A5">
        <w:trPr>
          <w:trHeight w:val="276"/>
        </w:trPr>
        <w:tc>
          <w:tcPr>
            <w:tcW w:w="705" w:type="dxa"/>
            <w:noWrap/>
            <w:hideMark/>
          </w:tcPr>
          <w:p w14:paraId="38FDC57C"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2016</w:t>
            </w:r>
          </w:p>
        </w:tc>
        <w:tc>
          <w:tcPr>
            <w:tcW w:w="1520" w:type="dxa"/>
            <w:noWrap/>
            <w:hideMark/>
          </w:tcPr>
          <w:p w14:paraId="7A8DEE59"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9,427.02</w:t>
            </w:r>
          </w:p>
        </w:tc>
        <w:tc>
          <w:tcPr>
            <w:tcW w:w="811" w:type="dxa"/>
          </w:tcPr>
          <w:p w14:paraId="31FDD766"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37.49</w:t>
            </w:r>
          </w:p>
        </w:tc>
        <w:tc>
          <w:tcPr>
            <w:tcW w:w="1520" w:type="dxa"/>
            <w:noWrap/>
            <w:hideMark/>
          </w:tcPr>
          <w:p w14:paraId="723D42B0"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5,265.86</w:t>
            </w:r>
          </w:p>
        </w:tc>
        <w:tc>
          <w:tcPr>
            <w:tcW w:w="811" w:type="dxa"/>
          </w:tcPr>
          <w:p w14:paraId="33344396"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20.94</w:t>
            </w:r>
          </w:p>
        </w:tc>
        <w:tc>
          <w:tcPr>
            <w:tcW w:w="1520" w:type="dxa"/>
            <w:noWrap/>
            <w:hideMark/>
          </w:tcPr>
          <w:p w14:paraId="7711AFD3"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10,455.74</w:t>
            </w:r>
          </w:p>
        </w:tc>
        <w:tc>
          <w:tcPr>
            <w:tcW w:w="943" w:type="dxa"/>
          </w:tcPr>
          <w:p w14:paraId="7C9325CA"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41.58</w:t>
            </w:r>
          </w:p>
        </w:tc>
        <w:tc>
          <w:tcPr>
            <w:tcW w:w="1520" w:type="dxa"/>
            <w:noWrap/>
            <w:hideMark/>
          </w:tcPr>
          <w:p w14:paraId="341DA534"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25,148.63</w:t>
            </w:r>
          </w:p>
        </w:tc>
      </w:tr>
      <w:tr w:rsidR="008755A5" w:rsidRPr="008755A5" w14:paraId="47A60D42" w14:textId="77777777" w:rsidTr="008755A5">
        <w:trPr>
          <w:trHeight w:val="276"/>
        </w:trPr>
        <w:tc>
          <w:tcPr>
            <w:tcW w:w="705" w:type="dxa"/>
            <w:noWrap/>
            <w:hideMark/>
          </w:tcPr>
          <w:p w14:paraId="69128FE2"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2017</w:t>
            </w:r>
          </w:p>
        </w:tc>
        <w:tc>
          <w:tcPr>
            <w:tcW w:w="1520" w:type="dxa"/>
            <w:noWrap/>
            <w:hideMark/>
          </w:tcPr>
          <w:p w14:paraId="0826B788"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7,492.47</w:t>
            </w:r>
          </w:p>
        </w:tc>
        <w:tc>
          <w:tcPr>
            <w:tcW w:w="811" w:type="dxa"/>
          </w:tcPr>
          <w:p w14:paraId="505B9B7F"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42.30</w:t>
            </w:r>
          </w:p>
        </w:tc>
        <w:tc>
          <w:tcPr>
            <w:tcW w:w="1520" w:type="dxa"/>
            <w:noWrap/>
            <w:hideMark/>
          </w:tcPr>
          <w:p w14:paraId="65692EBA"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3,786.19</w:t>
            </w:r>
          </w:p>
        </w:tc>
        <w:tc>
          <w:tcPr>
            <w:tcW w:w="811" w:type="dxa"/>
          </w:tcPr>
          <w:p w14:paraId="0F327C60"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21.38</w:t>
            </w:r>
          </w:p>
        </w:tc>
        <w:tc>
          <w:tcPr>
            <w:tcW w:w="1520" w:type="dxa"/>
            <w:noWrap/>
            <w:hideMark/>
          </w:tcPr>
          <w:p w14:paraId="1EDA2A72"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6,433.92</w:t>
            </w:r>
          </w:p>
        </w:tc>
        <w:tc>
          <w:tcPr>
            <w:tcW w:w="943" w:type="dxa"/>
          </w:tcPr>
          <w:p w14:paraId="329B1A67"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36.32</w:t>
            </w:r>
          </w:p>
        </w:tc>
        <w:tc>
          <w:tcPr>
            <w:tcW w:w="1520" w:type="dxa"/>
            <w:noWrap/>
            <w:hideMark/>
          </w:tcPr>
          <w:p w14:paraId="0350A3BC"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17,712.58</w:t>
            </w:r>
          </w:p>
        </w:tc>
      </w:tr>
      <w:tr w:rsidR="008755A5" w:rsidRPr="008755A5" w14:paraId="09AE9D86" w14:textId="77777777" w:rsidTr="008755A5">
        <w:trPr>
          <w:trHeight w:val="276"/>
        </w:trPr>
        <w:tc>
          <w:tcPr>
            <w:tcW w:w="705" w:type="dxa"/>
            <w:noWrap/>
            <w:hideMark/>
          </w:tcPr>
          <w:p w14:paraId="48576C07"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2018</w:t>
            </w:r>
          </w:p>
        </w:tc>
        <w:tc>
          <w:tcPr>
            <w:tcW w:w="1520" w:type="dxa"/>
            <w:noWrap/>
            <w:hideMark/>
          </w:tcPr>
          <w:p w14:paraId="5CD82B39"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3,593.57</w:t>
            </w:r>
          </w:p>
        </w:tc>
        <w:tc>
          <w:tcPr>
            <w:tcW w:w="811" w:type="dxa"/>
          </w:tcPr>
          <w:p w14:paraId="6BFF0C03"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21.12</w:t>
            </w:r>
          </w:p>
        </w:tc>
        <w:tc>
          <w:tcPr>
            <w:tcW w:w="1520" w:type="dxa"/>
            <w:noWrap/>
            <w:hideMark/>
          </w:tcPr>
          <w:p w14:paraId="327CB4EB"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5,504.76</w:t>
            </w:r>
          </w:p>
        </w:tc>
        <w:tc>
          <w:tcPr>
            <w:tcW w:w="811" w:type="dxa"/>
          </w:tcPr>
          <w:p w14:paraId="75356F83"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32.36</w:t>
            </w:r>
          </w:p>
        </w:tc>
        <w:tc>
          <w:tcPr>
            <w:tcW w:w="1520" w:type="dxa"/>
            <w:noWrap/>
            <w:hideMark/>
          </w:tcPr>
          <w:p w14:paraId="1E03F41F"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7,913.47</w:t>
            </w:r>
          </w:p>
        </w:tc>
        <w:tc>
          <w:tcPr>
            <w:tcW w:w="943" w:type="dxa"/>
          </w:tcPr>
          <w:p w14:paraId="18B902BC"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46.52</w:t>
            </w:r>
          </w:p>
        </w:tc>
        <w:tc>
          <w:tcPr>
            <w:tcW w:w="1520" w:type="dxa"/>
            <w:noWrap/>
            <w:hideMark/>
          </w:tcPr>
          <w:p w14:paraId="0CAAA5FD"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17,011.79</w:t>
            </w:r>
          </w:p>
        </w:tc>
      </w:tr>
      <w:tr w:rsidR="008755A5" w:rsidRPr="008755A5" w14:paraId="6342583B" w14:textId="77777777" w:rsidTr="008755A5">
        <w:trPr>
          <w:trHeight w:val="276"/>
        </w:trPr>
        <w:tc>
          <w:tcPr>
            <w:tcW w:w="705" w:type="dxa"/>
            <w:noWrap/>
            <w:hideMark/>
          </w:tcPr>
          <w:p w14:paraId="0ADDE384"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2019</w:t>
            </w:r>
          </w:p>
        </w:tc>
        <w:tc>
          <w:tcPr>
            <w:tcW w:w="1520" w:type="dxa"/>
            <w:noWrap/>
            <w:hideMark/>
          </w:tcPr>
          <w:p w14:paraId="7D6DFD84"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3,763.75</w:t>
            </w:r>
          </w:p>
        </w:tc>
        <w:tc>
          <w:tcPr>
            <w:tcW w:w="811" w:type="dxa"/>
          </w:tcPr>
          <w:p w14:paraId="7FA3A47D"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26.11</w:t>
            </w:r>
          </w:p>
        </w:tc>
        <w:tc>
          <w:tcPr>
            <w:tcW w:w="1520" w:type="dxa"/>
            <w:noWrap/>
            <w:hideMark/>
          </w:tcPr>
          <w:p w14:paraId="43EA533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1,567.58</w:t>
            </w:r>
          </w:p>
        </w:tc>
        <w:tc>
          <w:tcPr>
            <w:tcW w:w="811" w:type="dxa"/>
          </w:tcPr>
          <w:p w14:paraId="0F870594"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10.88</w:t>
            </w:r>
          </w:p>
        </w:tc>
        <w:tc>
          <w:tcPr>
            <w:tcW w:w="1520" w:type="dxa"/>
            <w:noWrap/>
            <w:hideMark/>
          </w:tcPr>
          <w:p w14:paraId="49EDB2C4"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9,080.95</w:t>
            </w:r>
          </w:p>
        </w:tc>
        <w:tc>
          <w:tcPr>
            <w:tcW w:w="943" w:type="dxa"/>
          </w:tcPr>
          <w:p w14:paraId="3EEFE54A"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63.01</w:t>
            </w:r>
          </w:p>
        </w:tc>
        <w:tc>
          <w:tcPr>
            <w:tcW w:w="1520" w:type="dxa"/>
            <w:noWrap/>
            <w:hideMark/>
          </w:tcPr>
          <w:p w14:paraId="143C2ACB"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14,412.28</w:t>
            </w:r>
          </w:p>
        </w:tc>
      </w:tr>
      <w:tr w:rsidR="008755A5" w:rsidRPr="008755A5" w14:paraId="5C0F08E2" w14:textId="77777777" w:rsidTr="008755A5">
        <w:trPr>
          <w:trHeight w:val="276"/>
        </w:trPr>
        <w:tc>
          <w:tcPr>
            <w:tcW w:w="705" w:type="dxa"/>
            <w:noWrap/>
            <w:hideMark/>
          </w:tcPr>
          <w:p w14:paraId="033FA8E7"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2020</w:t>
            </w:r>
          </w:p>
        </w:tc>
        <w:tc>
          <w:tcPr>
            <w:tcW w:w="1520" w:type="dxa"/>
            <w:noWrap/>
            <w:hideMark/>
          </w:tcPr>
          <w:p w14:paraId="3C3F54C0"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2,910.34</w:t>
            </w:r>
          </w:p>
        </w:tc>
        <w:tc>
          <w:tcPr>
            <w:tcW w:w="811" w:type="dxa"/>
          </w:tcPr>
          <w:p w14:paraId="64A31162"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25.20</w:t>
            </w:r>
          </w:p>
        </w:tc>
        <w:tc>
          <w:tcPr>
            <w:tcW w:w="1520" w:type="dxa"/>
            <w:noWrap/>
            <w:hideMark/>
          </w:tcPr>
          <w:p w14:paraId="5EDEBFF4"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578.01</w:t>
            </w:r>
          </w:p>
        </w:tc>
        <w:tc>
          <w:tcPr>
            <w:tcW w:w="811" w:type="dxa"/>
          </w:tcPr>
          <w:p w14:paraId="2276EE4D"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5.01</w:t>
            </w:r>
          </w:p>
        </w:tc>
        <w:tc>
          <w:tcPr>
            <w:tcW w:w="1520" w:type="dxa"/>
            <w:noWrap/>
            <w:hideMark/>
          </w:tcPr>
          <w:p w14:paraId="47A0C0B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8,058.37</w:t>
            </w:r>
          </w:p>
        </w:tc>
        <w:tc>
          <w:tcPr>
            <w:tcW w:w="943" w:type="dxa"/>
          </w:tcPr>
          <w:p w14:paraId="7D0DDD8E"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69.79</w:t>
            </w:r>
          </w:p>
        </w:tc>
        <w:tc>
          <w:tcPr>
            <w:tcW w:w="1520" w:type="dxa"/>
            <w:noWrap/>
            <w:hideMark/>
          </w:tcPr>
          <w:p w14:paraId="17F98FD1"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11,546.72</w:t>
            </w:r>
          </w:p>
        </w:tc>
      </w:tr>
      <w:tr w:rsidR="008755A5" w:rsidRPr="008755A5" w14:paraId="3E7B7F8F" w14:textId="77777777" w:rsidTr="008755A5">
        <w:trPr>
          <w:trHeight w:val="276"/>
        </w:trPr>
        <w:tc>
          <w:tcPr>
            <w:tcW w:w="705" w:type="dxa"/>
            <w:noWrap/>
            <w:hideMark/>
          </w:tcPr>
          <w:p w14:paraId="47D4BCA3"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2021</w:t>
            </w:r>
          </w:p>
        </w:tc>
        <w:tc>
          <w:tcPr>
            <w:tcW w:w="1520" w:type="dxa"/>
            <w:noWrap/>
            <w:hideMark/>
          </w:tcPr>
          <w:p w14:paraId="4755A0B1"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5,676.86</w:t>
            </w:r>
          </w:p>
        </w:tc>
        <w:tc>
          <w:tcPr>
            <w:tcW w:w="811" w:type="dxa"/>
          </w:tcPr>
          <w:p w14:paraId="3B027A39"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35.49</w:t>
            </w:r>
          </w:p>
        </w:tc>
        <w:tc>
          <w:tcPr>
            <w:tcW w:w="1520" w:type="dxa"/>
            <w:noWrap/>
            <w:hideMark/>
          </w:tcPr>
          <w:p w14:paraId="6917A0F7"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1,549.11</w:t>
            </w:r>
          </w:p>
        </w:tc>
        <w:tc>
          <w:tcPr>
            <w:tcW w:w="811" w:type="dxa"/>
          </w:tcPr>
          <w:p w14:paraId="4A870FC7"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9.68</w:t>
            </w:r>
          </w:p>
        </w:tc>
        <w:tc>
          <w:tcPr>
            <w:tcW w:w="1520" w:type="dxa"/>
            <w:noWrap/>
            <w:hideMark/>
          </w:tcPr>
          <w:p w14:paraId="3A751C49"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8,770.92</w:t>
            </w:r>
          </w:p>
        </w:tc>
        <w:tc>
          <w:tcPr>
            <w:tcW w:w="943" w:type="dxa"/>
          </w:tcPr>
          <w:p w14:paraId="39CAF1F0"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54.83</w:t>
            </w:r>
          </w:p>
        </w:tc>
        <w:tc>
          <w:tcPr>
            <w:tcW w:w="1520" w:type="dxa"/>
            <w:noWrap/>
            <w:hideMark/>
          </w:tcPr>
          <w:p w14:paraId="39B060BA"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15,996.89</w:t>
            </w:r>
          </w:p>
        </w:tc>
      </w:tr>
      <w:tr w:rsidR="008755A5" w:rsidRPr="008755A5" w14:paraId="479B0514" w14:textId="77777777" w:rsidTr="008755A5">
        <w:trPr>
          <w:trHeight w:val="276"/>
        </w:trPr>
        <w:tc>
          <w:tcPr>
            <w:tcW w:w="705" w:type="dxa"/>
            <w:noWrap/>
            <w:hideMark/>
          </w:tcPr>
          <w:p w14:paraId="22D96F70"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2022</w:t>
            </w:r>
          </w:p>
        </w:tc>
        <w:tc>
          <w:tcPr>
            <w:tcW w:w="1520" w:type="dxa"/>
            <w:noWrap/>
            <w:hideMark/>
          </w:tcPr>
          <w:p w14:paraId="0A94D10A"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2,960.63</w:t>
            </w:r>
          </w:p>
        </w:tc>
        <w:tc>
          <w:tcPr>
            <w:tcW w:w="811" w:type="dxa"/>
          </w:tcPr>
          <w:p w14:paraId="0A242CB3"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16.80</w:t>
            </w:r>
          </w:p>
        </w:tc>
        <w:tc>
          <w:tcPr>
            <w:tcW w:w="1520" w:type="dxa"/>
            <w:noWrap/>
            <w:hideMark/>
          </w:tcPr>
          <w:p w14:paraId="28D38E1E"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5,534.25</w:t>
            </w:r>
          </w:p>
        </w:tc>
        <w:tc>
          <w:tcPr>
            <w:tcW w:w="811" w:type="dxa"/>
          </w:tcPr>
          <w:p w14:paraId="56FFEC7D"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31.40</w:t>
            </w:r>
          </w:p>
        </w:tc>
        <w:tc>
          <w:tcPr>
            <w:tcW w:w="1520" w:type="dxa"/>
            <w:noWrap/>
            <w:hideMark/>
          </w:tcPr>
          <w:p w14:paraId="33205E3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9,129.49</w:t>
            </w:r>
          </w:p>
        </w:tc>
        <w:tc>
          <w:tcPr>
            <w:tcW w:w="943" w:type="dxa"/>
          </w:tcPr>
          <w:p w14:paraId="7BCB1F8C"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51.80</w:t>
            </w:r>
          </w:p>
        </w:tc>
        <w:tc>
          <w:tcPr>
            <w:tcW w:w="1520" w:type="dxa"/>
            <w:noWrap/>
            <w:hideMark/>
          </w:tcPr>
          <w:p w14:paraId="3A86273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17,624.36</w:t>
            </w:r>
          </w:p>
        </w:tc>
      </w:tr>
      <w:tr w:rsidR="008755A5" w:rsidRPr="008755A5" w14:paraId="27A67D7A" w14:textId="77777777" w:rsidTr="008755A5">
        <w:trPr>
          <w:trHeight w:val="276"/>
        </w:trPr>
        <w:tc>
          <w:tcPr>
            <w:tcW w:w="705" w:type="dxa"/>
            <w:noWrap/>
            <w:hideMark/>
          </w:tcPr>
          <w:p w14:paraId="211EAE87"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2023</w:t>
            </w:r>
          </w:p>
        </w:tc>
        <w:tc>
          <w:tcPr>
            <w:tcW w:w="1520" w:type="dxa"/>
            <w:noWrap/>
            <w:hideMark/>
          </w:tcPr>
          <w:p w14:paraId="311A37DA"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4,382.10</w:t>
            </w:r>
          </w:p>
        </w:tc>
        <w:tc>
          <w:tcPr>
            <w:tcW w:w="811" w:type="dxa"/>
          </w:tcPr>
          <w:p w14:paraId="55DD729F"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20.33</w:t>
            </w:r>
          </w:p>
        </w:tc>
        <w:tc>
          <w:tcPr>
            <w:tcW w:w="1520" w:type="dxa"/>
            <w:noWrap/>
            <w:hideMark/>
          </w:tcPr>
          <w:p w14:paraId="2B832218"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1,109.89</w:t>
            </w:r>
          </w:p>
        </w:tc>
        <w:tc>
          <w:tcPr>
            <w:tcW w:w="811" w:type="dxa"/>
          </w:tcPr>
          <w:p w14:paraId="60BFAE83"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5.15</w:t>
            </w:r>
          </w:p>
        </w:tc>
        <w:tc>
          <w:tcPr>
            <w:tcW w:w="1520" w:type="dxa"/>
            <w:noWrap/>
            <w:hideMark/>
          </w:tcPr>
          <w:p w14:paraId="3496AF7B"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16,063.48</w:t>
            </w:r>
          </w:p>
        </w:tc>
        <w:tc>
          <w:tcPr>
            <w:tcW w:w="943" w:type="dxa"/>
          </w:tcPr>
          <w:p w14:paraId="13D6DE00"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74.52</w:t>
            </w:r>
          </w:p>
        </w:tc>
        <w:tc>
          <w:tcPr>
            <w:tcW w:w="1520" w:type="dxa"/>
            <w:noWrap/>
            <w:hideMark/>
          </w:tcPr>
          <w:p w14:paraId="350F511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21,555.46</w:t>
            </w:r>
          </w:p>
        </w:tc>
      </w:tr>
      <w:tr w:rsidR="008755A5" w:rsidRPr="008755A5" w14:paraId="61D6DB56" w14:textId="77777777" w:rsidTr="008755A5">
        <w:trPr>
          <w:trHeight w:val="193"/>
        </w:trPr>
        <w:tc>
          <w:tcPr>
            <w:tcW w:w="705" w:type="dxa"/>
            <w:noWrap/>
            <w:hideMark/>
          </w:tcPr>
          <w:p w14:paraId="39288BE9"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2024</w:t>
            </w:r>
          </w:p>
        </w:tc>
        <w:tc>
          <w:tcPr>
            <w:tcW w:w="1520" w:type="dxa"/>
            <w:noWrap/>
            <w:hideMark/>
          </w:tcPr>
          <w:p w14:paraId="638C3445"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6,124.70</w:t>
            </w:r>
          </w:p>
        </w:tc>
        <w:tc>
          <w:tcPr>
            <w:tcW w:w="811" w:type="dxa"/>
          </w:tcPr>
          <w:p w14:paraId="14BE37FA"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21.84</w:t>
            </w:r>
          </w:p>
        </w:tc>
        <w:tc>
          <w:tcPr>
            <w:tcW w:w="1520" w:type="dxa"/>
            <w:noWrap/>
            <w:hideMark/>
          </w:tcPr>
          <w:p w14:paraId="60761D6D"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965.88</w:t>
            </w:r>
          </w:p>
        </w:tc>
        <w:tc>
          <w:tcPr>
            <w:tcW w:w="811" w:type="dxa"/>
          </w:tcPr>
          <w:p w14:paraId="2E53D3DD"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3.44</w:t>
            </w:r>
          </w:p>
        </w:tc>
        <w:tc>
          <w:tcPr>
            <w:tcW w:w="1520" w:type="dxa"/>
            <w:noWrap/>
            <w:hideMark/>
          </w:tcPr>
          <w:p w14:paraId="60F38306"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20,954.03</w:t>
            </w:r>
          </w:p>
        </w:tc>
        <w:tc>
          <w:tcPr>
            <w:tcW w:w="943" w:type="dxa"/>
          </w:tcPr>
          <w:p w14:paraId="78F670CA" w14:textId="77777777" w:rsidR="008755A5" w:rsidRPr="008755A5" w:rsidRDefault="008755A5" w:rsidP="008755A5">
            <w:pPr>
              <w:contextualSpacing/>
              <w:jc w:val="center"/>
              <w:rPr>
                <w:rFonts w:ascii="Arial" w:hAnsi="Arial" w:cs="Arial"/>
                <w:color w:val="000000"/>
              </w:rPr>
            </w:pPr>
            <w:r w:rsidRPr="008755A5">
              <w:rPr>
                <w:rFonts w:ascii="Arial" w:hAnsi="Arial" w:cs="Arial"/>
                <w:color w:val="000000"/>
              </w:rPr>
              <w:t>74.72</w:t>
            </w:r>
          </w:p>
        </w:tc>
        <w:tc>
          <w:tcPr>
            <w:tcW w:w="1520" w:type="dxa"/>
            <w:noWrap/>
            <w:hideMark/>
          </w:tcPr>
          <w:p w14:paraId="21520001" w14:textId="77777777" w:rsidR="008755A5" w:rsidRPr="008755A5" w:rsidRDefault="008755A5" w:rsidP="008755A5">
            <w:pPr>
              <w:contextualSpacing/>
              <w:jc w:val="center"/>
              <w:rPr>
                <w:rFonts w:ascii="Arial" w:eastAsia="Times New Roman" w:hAnsi="Arial" w:cs="Arial"/>
                <w:color w:val="000000"/>
              </w:rPr>
            </w:pPr>
            <w:r w:rsidRPr="008755A5">
              <w:rPr>
                <w:rFonts w:ascii="Arial" w:eastAsia="Times New Roman" w:hAnsi="Arial" w:cs="Arial"/>
                <w:color w:val="000000"/>
              </w:rPr>
              <w:t>28,044.61</w:t>
            </w:r>
          </w:p>
        </w:tc>
      </w:tr>
    </w:tbl>
    <w:p w14:paraId="0AA95C32" w14:textId="108EF74B" w:rsidR="008755A5" w:rsidRPr="008755A5" w:rsidRDefault="008755A5" w:rsidP="004F496B">
      <w:pPr>
        <w:rPr>
          <w:rFonts w:ascii="Arial" w:hAnsi="Arial" w:cs="Arial"/>
        </w:rPr>
      </w:pPr>
      <w:r w:rsidRPr="008755A5">
        <w:rPr>
          <w:rFonts w:ascii="Arial" w:hAnsi="Arial" w:cs="Arial"/>
        </w:rPr>
        <w:t xml:space="preserve">Sources: </w:t>
      </w:r>
      <w:r w:rsidR="007823CD">
        <w:rPr>
          <w:rFonts w:ascii="Arial" w:hAnsi="Arial" w:cs="Arial"/>
        </w:rPr>
        <w:t xml:space="preserve">Thailand </w:t>
      </w:r>
      <w:r w:rsidRPr="008755A5">
        <w:rPr>
          <w:rFonts w:ascii="Arial" w:hAnsi="Arial" w:cs="Arial"/>
        </w:rPr>
        <w:t>Board of investment (BOI). (2025). BOI Data: Investment Promotion Statistical Reports (from 2015 onwards)</w:t>
      </w:r>
      <w:r w:rsidRPr="008755A5">
        <w:rPr>
          <w:rFonts w:ascii="Arial" w:hAnsi="Arial" w:cs="Arial"/>
          <w:cs/>
        </w:rPr>
        <w:t xml:space="preserve">. </w:t>
      </w:r>
      <w:r w:rsidRPr="008755A5">
        <w:rPr>
          <w:rFonts w:ascii="Arial" w:hAnsi="Arial" w:cs="Arial"/>
          <w:color w:val="000000"/>
        </w:rPr>
        <w:t>Retrieved September 3, 2025</w:t>
      </w:r>
      <w:r w:rsidRPr="008755A5">
        <w:rPr>
          <w:rFonts w:ascii="Arial" w:hAnsi="Arial" w:cs="Arial"/>
        </w:rPr>
        <w:t xml:space="preserve"> from </w:t>
      </w:r>
      <w:hyperlink r:id="rId9" w:history="1">
        <w:r w:rsidRPr="008755A5">
          <w:rPr>
            <w:rStyle w:val="Hyperlink"/>
            <w:rFonts w:ascii="Arial" w:hAnsi="Arial" w:cs="Arial"/>
          </w:rPr>
          <w:t>https://ipstat.boi.go.th/pubrpt/index.php</w:t>
        </w:r>
      </w:hyperlink>
    </w:p>
    <w:p w14:paraId="1E429780" w14:textId="77777777" w:rsidR="008755A5" w:rsidRPr="008755A5" w:rsidRDefault="008755A5" w:rsidP="008755A5">
      <w:pPr>
        <w:rPr>
          <w:rFonts w:ascii="Arial" w:hAnsi="Arial" w:cs="Arial"/>
        </w:rPr>
      </w:pPr>
    </w:p>
    <w:p w14:paraId="7BBAB8DA" w14:textId="77777777" w:rsidR="008755A5" w:rsidRDefault="008755A5">
      <w:pPr>
        <w:spacing w:before="120" w:after="120"/>
        <w:ind w:firstLine="1134"/>
        <w:jc w:val="thaiDistribute"/>
        <w:rPr>
          <w:rFonts w:ascii="Arial" w:hAnsi="Arial" w:cs="Arial"/>
        </w:rPr>
      </w:pPr>
      <w:r>
        <w:rPr>
          <w:rFonts w:ascii="Arial" w:hAnsi="Arial" w:cs="Arial"/>
        </w:rPr>
        <w:br w:type="page"/>
      </w:r>
    </w:p>
    <w:p w14:paraId="45527B9B" w14:textId="77777777" w:rsidR="008755A5" w:rsidRDefault="008755A5" w:rsidP="008755A5">
      <w:pPr>
        <w:spacing w:before="120" w:after="120"/>
        <w:contextualSpacing/>
        <w:rPr>
          <w:rFonts w:ascii="Arial" w:hAnsi="Arial" w:cs="Arial"/>
        </w:rPr>
        <w:sectPr w:rsidR="008755A5" w:rsidSect="008755A5">
          <w:footerReference w:type="default" r:id="rId10"/>
          <w:pgSz w:w="11906" w:h="16838" w:code="9"/>
          <w:pgMar w:top="1440" w:right="1440" w:bottom="1440" w:left="1440" w:header="708" w:footer="708" w:gutter="0"/>
          <w:cols w:space="708"/>
          <w:docGrid w:linePitch="435"/>
        </w:sectPr>
      </w:pPr>
    </w:p>
    <w:p w14:paraId="085CBF41" w14:textId="77777777" w:rsidR="008755A5" w:rsidRPr="008755A5" w:rsidRDefault="008755A5" w:rsidP="008755A5">
      <w:pPr>
        <w:pStyle w:val="NormalWeb"/>
        <w:spacing w:before="0" w:beforeAutospacing="0" w:after="0" w:afterAutospacing="0"/>
        <w:contextualSpacing/>
        <w:rPr>
          <w:rFonts w:ascii="Arial" w:hAnsi="Arial" w:cs="Arial"/>
        </w:rPr>
      </w:pPr>
      <w:r w:rsidRPr="008755A5">
        <w:rPr>
          <w:rFonts w:ascii="Arial" w:hAnsi="Arial" w:cs="Arial"/>
        </w:rPr>
        <w:lastRenderedPageBreak/>
        <w:t>Annex 5: Provincial investment of the Gulf of Thailand in 2024 (1 USD = 35 Baht)</w:t>
      </w:r>
    </w:p>
    <w:p w14:paraId="6921E133" w14:textId="77777777" w:rsidR="008755A5" w:rsidRPr="008755A5" w:rsidRDefault="008755A5" w:rsidP="008755A5">
      <w:pPr>
        <w:pStyle w:val="NormalWeb"/>
        <w:spacing w:before="0" w:beforeAutospacing="0" w:after="0" w:afterAutospacing="0"/>
        <w:contextualSpacing/>
        <w:rPr>
          <w:rFonts w:ascii="Arial" w:hAnsi="Arial" w:cs="Arial"/>
          <w:sz w:val="28"/>
          <w:szCs w:val="28"/>
        </w:rPr>
      </w:pPr>
    </w:p>
    <w:tbl>
      <w:tblPr>
        <w:tblW w:w="14176" w:type="dxa"/>
        <w:tblInd w:w="-289" w:type="dxa"/>
        <w:tblLayout w:type="fixed"/>
        <w:tblLook w:val="04A0" w:firstRow="1" w:lastRow="0" w:firstColumn="1" w:lastColumn="0" w:noHBand="0" w:noVBand="1"/>
      </w:tblPr>
      <w:tblGrid>
        <w:gridCol w:w="2127"/>
        <w:gridCol w:w="850"/>
        <w:gridCol w:w="1102"/>
        <w:gridCol w:w="851"/>
        <w:gridCol w:w="1074"/>
        <w:gridCol w:w="910"/>
        <w:gridCol w:w="1052"/>
        <w:gridCol w:w="770"/>
        <w:gridCol w:w="1045"/>
        <w:gridCol w:w="709"/>
        <w:gridCol w:w="7"/>
        <w:gridCol w:w="1144"/>
        <w:gridCol w:w="667"/>
        <w:gridCol w:w="1074"/>
        <w:gridCol w:w="794"/>
      </w:tblGrid>
      <w:tr w:rsidR="008755A5" w:rsidRPr="008755A5" w14:paraId="4F9AF020" w14:textId="77777777" w:rsidTr="008755A5">
        <w:trPr>
          <w:trHeight w:val="600"/>
        </w:trPr>
        <w:tc>
          <w:tcPr>
            <w:tcW w:w="2127" w:type="dxa"/>
            <w:vMerge w:val="restart"/>
            <w:tcBorders>
              <w:top w:val="single" w:sz="4" w:space="0" w:color="auto"/>
              <w:left w:val="single" w:sz="4" w:space="0" w:color="auto"/>
              <w:bottom w:val="single" w:sz="4" w:space="0" w:color="000000"/>
              <w:right w:val="single" w:sz="4" w:space="0" w:color="auto"/>
            </w:tcBorders>
            <w:hideMark/>
          </w:tcPr>
          <w:p w14:paraId="53C95165" w14:textId="77777777" w:rsidR="008755A5" w:rsidRPr="008755A5" w:rsidRDefault="008755A5" w:rsidP="008755A5">
            <w:pPr>
              <w:jc w:val="center"/>
              <w:rPr>
                <w:rFonts w:ascii="Arial" w:eastAsia="Times New Roman" w:hAnsi="Arial" w:cs="Arial"/>
                <w:b/>
                <w:bCs/>
                <w:color w:val="000000"/>
                <w:sz w:val="18"/>
                <w:szCs w:val="18"/>
              </w:rPr>
            </w:pPr>
            <w:r w:rsidRPr="008755A5">
              <w:rPr>
                <w:rFonts w:ascii="Arial" w:eastAsia="Times New Roman" w:hAnsi="Arial" w:cs="Arial"/>
                <w:b/>
                <w:bCs/>
                <w:color w:val="000000"/>
                <w:sz w:val="18"/>
                <w:szCs w:val="18"/>
              </w:rPr>
              <w:t>Province</w:t>
            </w:r>
          </w:p>
        </w:tc>
        <w:tc>
          <w:tcPr>
            <w:tcW w:w="8370" w:type="dxa"/>
            <w:gridSpan w:val="10"/>
            <w:tcBorders>
              <w:top w:val="single" w:sz="4" w:space="0" w:color="auto"/>
              <w:left w:val="nil"/>
              <w:bottom w:val="single" w:sz="4" w:space="0" w:color="auto"/>
              <w:right w:val="single" w:sz="4" w:space="0" w:color="auto"/>
            </w:tcBorders>
            <w:vAlign w:val="center"/>
            <w:hideMark/>
          </w:tcPr>
          <w:p w14:paraId="6D4470CC" w14:textId="77777777" w:rsidR="008755A5" w:rsidRPr="008755A5" w:rsidRDefault="008755A5" w:rsidP="008755A5">
            <w:pPr>
              <w:jc w:val="center"/>
              <w:rPr>
                <w:rFonts w:ascii="Arial" w:eastAsia="Times New Roman" w:hAnsi="Arial" w:cs="Arial"/>
                <w:b/>
                <w:bCs/>
                <w:color w:val="000000"/>
                <w:sz w:val="18"/>
                <w:szCs w:val="18"/>
              </w:rPr>
            </w:pPr>
            <w:r w:rsidRPr="008755A5">
              <w:rPr>
                <w:rFonts w:ascii="Arial" w:eastAsia="Times New Roman" w:hAnsi="Arial" w:cs="Arial"/>
                <w:b/>
                <w:bCs/>
                <w:color w:val="000000"/>
                <w:sz w:val="18"/>
                <w:szCs w:val="18"/>
              </w:rPr>
              <w:t>BOI (Board of Investment)</w:t>
            </w:r>
          </w:p>
        </w:tc>
        <w:tc>
          <w:tcPr>
            <w:tcW w:w="3679" w:type="dxa"/>
            <w:gridSpan w:val="4"/>
            <w:tcBorders>
              <w:top w:val="single" w:sz="4" w:space="0" w:color="auto"/>
              <w:left w:val="nil"/>
              <w:bottom w:val="single" w:sz="4" w:space="0" w:color="auto"/>
              <w:right w:val="single" w:sz="4" w:space="0" w:color="auto"/>
            </w:tcBorders>
            <w:vAlign w:val="center"/>
            <w:hideMark/>
          </w:tcPr>
          <w:p w14:paraId="75A82B88" w14:textId="77777777" w:rsidR="008755A5" w:rsidRPr="008755A5" w:rsidRDefault="008755A5" w:rsidP="008755A5">
            <w:pPr>
              <w:jc w:val="center"/>
              <w:rPr>
                <w:rFonts w:ascii="Arial" w:eastAsia="Times New Roman" w:hAnsi="Arial" w:cs="Arial"/>
                <w:b/>
                <w:bCs/>
                <w:color w:val="000000"/>
                <w:sz w:val="18"/>
                <w:szCs w:val="18"/>
              </w:rPr>
            </w:pPr>
            <w:r w:rsidRPr="008755A5">
              <w:rPr>
                <w:rFonts w:ascii="Arial" w:eastAsia="Times New Roman" w:hAnsi="Arial" w:cs="Arial"/>
                <w:b/>
                <w:bCs/>
                <w:color w:val="000000"/>
                <w:sz w:val="18"/>
                <w:szCs w:val="18"/>
              </w:rPr>
              <w:t>DBD (Department of Business Development)</w:t>
            </w:r>
          </w:p>
        </w:tc>
      </w:tr>
      <w:tr w:rsidR="008755A5" w:rsidRPr="008755A5" w14:paraId="0739B457" w14:textId="77777777" w:rsidTr="008755A5">
        <w:trPr>
          <w:trHeight w:val="264"/>
        </w:trPr>
        <w:tc>
          <w:tcPr>
            <w:tcW w:w="2127" w:type="dxa"/>
            <w:vMerge/>
            <w:tcBorders>
              <w:top w:val="single" w:sz="4" w:space="0" w:color="auto"/>
              <w:left w:val="single" w:sz="4" w:space="0" w:color="auto"/>
              <w:bottom w:val="single" w:sz="4" w:space="0" w:color="000000"/>
              <w:right w:val="single" w:sz="4" w:space="0" w:color="auto"/>
            </w:tcBorders>
            <w:hideMark/>
          </w:tcPr>
          <w:p w14:paraId="05FACEE0" w14:textId="77777777" w:rsidR="008755A5" w:rsidRPr="008755A5" w:rsidRDefault="008755A5" w:rsidP="008755A5">
            <w:pPr>
              <w:rPr>
                <w:rFonts w:ascii="Arial" w:eastAsia="Times New Roman" w:hAnsi="Arial" w:cs="Arial"/>
                <w:b/>
                <w:bCs/>
                <w:color w:val="000000"/>
                <w:sz w:val="18"/>
                <w:szCs w:val="18"/>
              </w:rPr>
            </w:pPr>
          </w:p>
        </w:tc>
        <w:tc>
          <w:tcPr>
            <w:tcW w:w="850" w:type="dxa"/>
            <w:vMerge w:val="restart"/>
            <w:tcBorders>
              <w:top w:val="nil"/>
              <w:left w:val="single" w:sz="4" w:space="0" w:color="auto"/>
              <w:bottom w:val="single" w:sz="4" w:space="0" w:color="auto"/>
              <w:right w:val="single" w:sz="4" w:space="0" w:color="auto"/>
            </w:tcBorders>
            <w:hideMark/>
          </w:tcPr>
          <w:p w14:paraId="01DF1349"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No. of Project</w:t>
            </w:r>
          </w:p>
        </w:tc>
        <w:tc>
          <w:tcPr>
            <w:tcW w:w="1953" w:type="dxa"/>
            <w:gridSpan w:val="2"/>
            <w:tcBorders>
              <w:top w:val="single" w:sz="4" w:space="0" w:color="auto"/>
              <w:left w:val="nil"/>
              <w:bottom w:val="single" w:sz="4" w:space="0" w:color="auto"/>
              <w:right w:val="single" w:sz="4" w:space="0" w:color="auto"/>
            </w:tcBorders>
            <w:hideMark/>
          </w:tcPr>
          <w:p w14:paraId="65F39BE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Total Investment</w:t>
            </w:r>
          </w:p>
        </w:tc>
        <w:tc>
          <w:tcPr>
            <w:tcW w:w="1984" w:type="dxa"/>
            <w:gridSpan w:val="2"/>
            <w:tcBorders>
              <w:top w:val="single" w:sz="4" w:space="0" w:color="auto"/>
              <w:left w:val="nil"/>
              <w:bottom w:val="single" w:sz="4" w:space="0" w:color="auto"/>
              <w:right w:val="single" w:sz="4" w:space="0" w:color="auto"/>
            </w:tcBorders>
            <w:hideMark/>
          </w:tcPr>
          <w:p w14:paraId="4DB1CD15"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Total DDI and FDI registered capital</w:t>
            </w:r>
          </w:p>
        </w:tc>
        <w:tc>
          <w:tcPr>
            <w:tcW w:w="1822" w:type="dxa"/>
            <w:gridSpan w:val="2"/>
            <w:tcBorders>
              <w:top w:val="single" w:sz="4" w:space="0" w:color="auto"/>
              <w:left w:val="nil"/>
              <w:bottom w:val="single" w:sz="4" w:space="0" w:color="auto"/>
              <w:right w:val="single" w:sz="4" w:space="0" w:color="auto"/>
            </w:tcBorders>
            <w:hideMark/>
          </w:tcPr>
          <w:p w14:paraId="3915846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 xml:space="preserve">DDI registered capital </w:t>
            </w:r>
          </w:p>
        </w:tc>
        <w:tc>
          <w:tcPr>
            <w:tcW w:w="1754" w:type="dxa"/>
            <w:gridSpan w:val="2"/>
            <w:tcBorders>
              <w:top w:val="single" w:sz="4" w:space="0" w:color="auto"/>
              <w:left w:val="nil"/>
              <w:bottom w:val="single" w:sz="4" w:space="0" w:color="auto"/>
              <w:right w:val="single" w:sz="4" w:space="0" w:color="auto"/>
            </w:tcBorders>
            <w:hideMark/>
          </w:tcPr>
          <w:p w14:paraId="098470B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 xml:space="preserve">FDI registered capital </w:t>
            </w:r>
          </w:p>
        </w:tc>
        <w:tc>
          <w:tcPr>
            <w:tcW w:w="1818" w:type="dxa"/>
            <w:gridSpan w:val="3"/>
            <w:tcBorders>
              <w:top w:val="single" w:sz="4" w:space="0" w:color="auto"/>
              <w:left w:val="nil"/>
              <w:bottom w:val="single" w:sz="4" w:space="0" w:color="auto"/>
              <w:right w:val="single" w:sz="4" w:space="0" w:color="auto"/>
            </w:tcBorders>
            <w:hideMark/>
          </w:tcPr>
          <w:p w14:paraId="38E47FB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New registered companies</w:t>
            </w:r>
          </w:p>
        </w:tc>
        <w:tc>
          <w:tcPr>
            <w:tcW w:w="1868" w:type="dxa"/>
            <w:gridSpan w:val="2"/>
            <w:tcBorders>
              <w:top w:val="single" w:sz="4" w:space="0" w:color="auto"/>
              <w:left w:val="nil"/>
              <w:bottom w:val="single" w:sz="4" w:space="0" w:color="auto"/>
              <w:right w:val="single" w:sz="4" w:space="0" w:color="auto"/>
            </w:tcBorders>
            <w:hideMark/>
          </w:tcPr>
          <w:p w14:paraId="3104262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Registered capital</w:t>
            </w:r>
          </w:p>
        </w:tc>
      </w:tr>
      <w:tr w:rsidR="008755A5" w:rsidRPr="008755A5" w14:paraId="2E543847" w14:textId="77777777" w:rsidTr="008755A5">
        <w:trPr>
          <w:trHeight w:val="319"/>
        </w:trPr>
        <w:tc>
          <w:tcPr>
            <w:tcW w:w="2127" w:type="dxa"/>
            <w:vMerge/>
            <w:tcBorders>
              <w:top w:val="single" w:sz="4" w:space="0" w:color="auto"/>
              <w:left w:val="single" w:sz="4" w:space="0" w:color="auto"/>
              <w:bottom w:val="single" w:sz="4" w:space="0" w:color="000000"/>
              <w:right w:val="single" w:sz="4" w:space="0" w:color="auto"/>
            </w:tcBorders>
            <w:hideMark/>
          </w:tcPr>
          <w:p w14:paraId="4BC82A39" w14:textId="77777777" w:rsidR="008755A5" w:rsidRPr="008755A5" w:rsidRDefault="008755A5" w:rsidP="008755A5">
            <w:pPr>
              <w:rPr>
                <w:rFonts w:ascii="Arial" w:eastAsia="Times New Roman" w:hAnsi="Arial" w:cs="Arial"/>
                <w:b/>
                <w:bCs/>
                <w:color w:val="000000"/>
                <w:sz w:val="18"/>
                <w:szCs w:val="18"/>
              </w:rPr>
            </w:pPr>
          </w:p>
        </w:tc>
        <w:tc>
          <w:tcPr>
            <w:tcW w:w="850" w:type="dxa"/>
            <w:vMerge/>
            <w:tcBorders>
              <w:top w:val="nil"/>
              <w:left w:val="single" w:sz="4" w:space="0" w:color="auto"/>
              <w:bottom w:val="single" w:sz="4" w:space="0" w:color="auto"/>
              <w:right w:val="single" w:sz="4" w:space="0" w:color="auto"/>
            </w:tcBorders>
            <w:hideMark/>
          </w:tcPr>
          <w:p w14:paraId="5908A486" w14:textId="77777777" w:rsidR="008755A5" w:rsidRPr="008755A5" w:rsidRDefault="008755A5" w:rsidP="008755A5">
            <w:pPr>
              <w:rPr>
                <w:rFonts w:ascii="Arial" w:eastAsia="Times New Roman" w:hAnsi="Arial" w:cs="Arial"/>
                <w:color w:val="000000"/>
                <w:sz w:val="18"/>
                <w:szCs w:val="18"/>
              </w:rPr>
            </w:pPr>
          </w:p>
        </w:tc>
        <w:tc>
          <w:tcPr>
            <w:tcW w:w="1102" w:type="dxa"/>
            <w:tcBorders>
              <w:top w:val="nil"/>
              <w:left w:val="nil"/>
              <w:bottom w:val="single" w:sz="4" w:space="0" w:color="auto"/>
              <w:right w:val="single" w:sz="4" w:space="0" w:color="auto"/>
            </w:tcBorders>
            <w:hideMark/>
          </w:tcPr>
          <w:p w14:paraId="3B9C7E0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USD mil.</w:t>
            </w:r>
          </w:p>
        </w:tc>
        <w:tc>
          <w:tcPr>
            <w:tcW w:w="851" w:type="dxa"/>
            <w:tcBorders>
              <w:top w:val="nil"/>
              <w:left w:val="nil"/>
              <w:bottom w:val="single" w:sz="4" w:space="0" w:color="auto"/>
              <w:right w:val="single" w:sz="4" w:space="0" w:color="auto"/>
            </w:tcBorders>
            <w:hideMark/>
          </w:tcPr>
          <w:p w14:paraId="7D9B81B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074" w:type="dxa"/>
            <w:tcBorders>
              <w:top w:val="nil"/>
              <w:left w:val="nil"/>
              <w:bottom w:val="single" w:sz="4" w:space="0" w:color="auto"/>
              <w:right w:val="single" w:sz="4" w:space="0" w:color="auto"/>
            </w:tcBorders>
            <w:hideMark/>
          </w:tcPr>
          <w:p w14:paraId="51CD66D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USD mil.</w:t>
            </w:r>
          </w:p>
        </w:tc>
        <w:tc>
          <w:tcPr>
            <w:tcW w:w="910" w:type="dxa"/>
            <w:tcBorders>
              <w:top w:val="nil"/>
              <w:left w:val="nil"/>
              <w:bottom w:val="single" w:sz="4" w:space="0" w:color="auto"/>
              <w:right w:val="single" w:sz="4" w:space="0" w:color="auto"/>
            </w:tcBorders>
            <w:hideMark/>
          </w:tcPr>
          <w:p w14:paraId="4FEFE41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052" w:type="dxa"/>
            <w:tcBorders>
              <w:top w:val="nil"/>
              <w:left w:val="nil"/>
              <w:bottom w:val="single" w:sz="4" w:space="0" w:color="auto"/>
              <w:right w:val="single" w:sz="4" w:space="0" w:color="auto"/>
            </w:tcBorders>
            <w:hideMark/>
          </w:tcPr>
          <w:p w14:paraId="410EC60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USD mil.</w:t>
            </w:r>
          </w:p>
        </w:tc>
        <w:tc>
          <w:tcPr>
            <w:tcW w:w="770" w:type="dxa"/>
            <w:tcBorders>
              <w:top w:val="nil"/>
              <w:left w:val="nil"/>
              <w:bottom w:val="single" w:sz="4" w:space="0" w:color="auto"/>
              <w:right w:val="single" w:sz="4" w:space="0" w:color="auto"/>
            </w:tcBorders>
            <w:hideMark/>
          </w:tcPr>
          <w:p w14:paraId="6ECF31A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045" w:type="dxa"/>
            <w:tcBorders>
              <w:top w:val="nil"/>
              <w:left w:val="nil"/>
              <w:bottom w:val="single" w:sz="4" w:space="0" w:color="auto"/>
              <w:right w:val="single" w:sz="4" w:space="0" w:color="auto"/>
            </w:tcBorders>
            <w:hideMark/>
          </w:tcPr>
          <w:p w14:paraId="1DB01E2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USD mil.</w:t>
            </w:r>
          </w:p>
        </w:tc>
        <w:tc>
          <w:tcPr>
            <w:tcW w:w="709" w:type="dxa"/>
            <w:tcBorders>
              <w:top w:val="nil"/>
              <w:left w:val="nil"/>
              <w:bottom w:val="single" w:sz="4" w:space="0" w:color="auto"/>
              <w:right w:val="single" w:sz="4" w:space="0" w:color="auto"/>
            </w:tcBorders>
            <w:hideMark/>
          </w:tcPr>
          <w:p w14:paraId="08823D7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151" w:type="dxa"/>
            <w:gridSpan w:val="2"/>
            <w:tcBorders>
              <w:top w:val="nil"/>
              <w:left w:val="nil"/>
              <w:bottom w:val="single" w:sz="4" w:space="0" w:color="auto"/>
              <w:right w:val="single" w:sz="4" w:space="0" w:color="auto"/>
            </w:tcBorders>
            <w:hideMark/>
          </w:tcPr>
          <w:p w14:paraId="077C38D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Companies</w:t>
            </w:r>
          </w:p>
        </w:tc>
        <w:tc>
          <w:tcPr>
            <w:tcW w:w="667" w:type="dxa"/>
            <w:tcBorders>
              <w:top w:val="nil"/>
              <w:left w:val="nil"/>
              <w:bottom w:val="single" w:sz="4" w:space="0" w:color="auto"/>
              <w:right w:val="single" w:sz="4" w:space="0" w:color="auto"/>
            </w:tcBorders>
            <w:hideMark/>
          </w:tcPr>
          <w:p w14:paraId="439DAF0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074" w:type="dxa"/>
            <w:tcBorders>
              <w:top w:val="nil"/>
              <w:left w:val="nil"/>
              <w:bottom w:val="single" w:sz="4" w:space="0" w:color="auto"/>
              <w:right w:val="single" w:sz="4" w:space="0" w:color="auto"/>
            </w:tcBorders>
            <w:hideMark/>
          </w:tcPr>
          <w:p w14:paraId="1350835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USD mil.</w:t>
            </w:r>
          </w:p>
        </w:tc>
        <w:tc>
          <w:tcPr>
            <w:tcW w:w="794" w:type="dxa"/>
            <w:tcBorders>
              <w:top w:val="nil"/>
              <w:left w:val="nil"/>
              <w:bottom w:val="single" w:sz="4" w:space="0" w:color="auto"/>
              <w:right w:val="single" w:sz="4" w:space="0" w:color="auto"/>
            </w:tcBorders>
            <w:hideMark/>
          </w:tcPr>
          <w:p w14:paraId="12CBC51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r>
      <w:tr w:rsidR="008755A5" w:rsidRPr="008755A5" w14:paraId="3B1A78FC"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6FFFD57B"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Rayong</w:t>
            </w:r>
          </w:p>
        </w:tc>
        <w:tc>
          <w:tcPr>
            <w:tcW w:w="850" w:type="dxa"/>
            <w:tcBorders>
              <w:top w:val="nil"/>
              <w:left w:val="nil"/>
              <w:bottom w:val="single" w:sz="4" w:space="0" w:color="auto"/>
              <w:right w:val="single" w:sz="4" w:space="0" w:color="auto"/>
            </w:tcBorders>
            <w:noWrap/>
            <w:hideMark/>
          </w:tcPr>
          <w:p w14:paraId="44ADB9C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364</w:t>
            </w:r>
          </w:p>
        </w:tc>
        <w:tc>
          <w:tcPr>
            <w:tcW w:w="1102" w:type="dxa"/>
            <w:tcBorders>
              <w:top w:val="nil"/>
              <w:left w:val="nil"/>
              <w:bottom w:val="single" w:sz="4" w:space="0" w:color="auto"/>
              <w:right w:val="single" w:sz="4" w:space="0" w:color="auto"/>
            </w:tcBorders>
            <w:noWrap/>
            <w:hideMark/>
          </w:tcPr>
          <w:p w14:paraId="57BD0F4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5,340.25</w:t>
            </w:r>
          </w:p>
        </w:tc>
        <w:tc>
          <w:tcPr>
            <w:tcW w:w="851" w:type="dxa"/>
            <w:tcBorders>
              <w:top w:val="nil"/>
              <w:left w:val="nil"/>
              <w:bottom w:val="single" w:sz="4" w:space="0" w:color="auto"/>
              <w:right w:val="single" w:sz="4" w:space="0" w:color="auto"/>
            </w:tcBorders>
            <w:noWrap/>
            <w:hideMark/>
          </w:tcPr>
          <w:p w14:paraId="0B00575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35.90</w:t>
            </w:r>
          </w:p>
        </w:tc>
        <w:tc>
          <w:tcPr>
            <w:tcW w:w="1074" w:type="dxa"/>
            <w:tcBorders>
              <w:top w:val="nil"/>
              <w:left w:val="nil"/>
              <w:bottom w:val="single" w:sz="4" w:space="0" w:color="auto"/>
              <w:right w:val="single" w:sz="4" w:space="0" w:color="auto"/>
            </w:tcBorders>
            <w:noWrap/>
            <w:hideMark/>
          </w:tcPr>
          <w:p w14:paraId="2724373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704.46</w:t>
            </w:r>
          </w:p>
        </w:tc>
        <w:tc>
          <w:tcPr>
            <w:tcW w:w="910" w:type="dxa"/>
            <w:tcBorders>
              <w:top w:val="nil"/>
              <w:left w:val="nil"/>
              <w:bottom w:val="single" w:sz="4" w:space="0" w:color="auto"/>
              <w:right w:val="single" w:sz="4" w:space="0" w:color="auto"/>
            </w:tcBorders>
            <w:noWrap/>
            <w:hideMark/>
          </w:tcPr>
          <w:p w14:paraId="33672E2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25.30</w:t>
            </w:r>
          </w:p>
        </w:tc>
        <w:tc>
          <w:tcPr>
            <w:tcW w:w="1052" w:type="dxa"/>
            <w:tcBorders>
              <w:top w:val="nil"/>
              <w:left w:val="nil"/>
              <w:bottom w:val="single" w:sz="4" w:space="0" w:color="auto"/>
              <w:right w:val="single" w:sz="4" w:space="0" w:color="auto"/>
            </w:tcBorders>
            <w:noWrap/>
            <w:hideMark/>
          </w:tcPr>
          <w:p w14:paraId="186304C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28.14</w:t>
            </w:r>
          </w:p>
        </w:tc>
        <w:tc>
          <w:tcPr>
            <w:tcW w:w="770" w:type="dxa"/>
            <w:tcBorders>
              <w:top w:val="nil"/>
              <w:left w:val="nil"/>
              <w:bottom w:val="single" w:sz="4" w:space="0" w:color="auto"/>
              <w:right w:val="single" w:sz="4" w:space="0" w:color="auto"/>
            </w:tcBorders>
            <w:noWrap/>
            <w:hideMark/>
          </w:tcPr>
          <w:p w14:paraId="29BA57D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3.99</w:t>
            </w:r>
          </w:p>
        </w:tc>
        <w:tc>
          <w:tcPr>
            <w:tcW w:w="1045" w:type="dxa"/>
            <w:tcBorders>
              <w:top w:val="nil"/>
              <w:left w:val="nil"/>
              <w:bottom w:val="single" w:sz="4" w:space="0" w:color="auto"/>
              <w:right w:val="single" w:sz="4" w:space="0" w:color="auto"/>
            </w:tcBorders>
            <w:noWrap/>
            <w:hideMark/>
          </w:tcPr>
          <w:p w14:paraId="6CC903B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676.31</w:t>
            </w:r>
          </w:p>
        </w:tc>
        <w:tc>
          <w:tcPr>
            <w:tcW w:w="709" w:type="dxa"/>
            <w:tcBorders>
              <w:top w:val="nil"/>
              <w:left w:val="nil"/>
              <w:bottom w:val="single" w:sz="4" w:space="0" w:color="auto"/>
              <w:right w:val="single" w:sz="4" w:space="0" w:color="auto"/>
            </w:tcBorders>
            <w:noWrap/>
            <w:hideMark/>
          </w:tcPr>
          <w:p w14:paraId="76A03BD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96.01</w:t>
            </w:r>
          </w:p>
        </w:tc>
        <w:tc>
          <w:tcPr>
            <w:tcW w:w="1151" w:type="dxa"/>
            <w:gridSpan w:val="2"/>
            <w:tcBorders>
              <w:top w:val="nil"/>
              <w:left w:val="nil"/>
              <w:bottom w:val="single" w:sz="4" w:space="0" w:color="auto"/>
              <w:right w:val="single" w:sz="4" w:space="0" w:color="auto"/>
            </w:tcBorders>
            <w:noWrap/>
            <w:hideMark/>
          </w:tcPr>
          <w:p w14:paraId="7C23FE4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1,736</w:t>
            </w:r>
          </w:p>
        </w:tc>
        <w:tc>
          <w:tcPr>
            <w:tcW w:w="667" w:type="dxa"/>
            <w:tcBorders>
              <w:top w:val="nil"/>
              <w:left w:val="nil"/>
              <w:bottom w:val="single" w:sz="4" w:space="0" w:color="auto"/>
              <w:right w:val="single" w:sz="4" w:space="0" w:color="auto"/>
            </w:tcBorders>
            <w:noWrap/>
            <w:hideMark/>
          </w:tcPr>
          <w:p w14:paraId="0BDE773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10.35</w:t>
            </w:r>
          </w:p>
        </w:tc>
        <w:tc>
          <w:tcPr>
            <w:tcW w:w="1074" w:type="dxa"/>
            <w:tcBorders>
              <w:top w:val="nil"/>
              <w:left w:val="nil"/>
              <w:bottom w:val="single" w:sz="4" w:space="0" w:color="auto"/>
              <w:right w:val="single" w:sz="4" w:space="0" w:color="auto"/>
            </w:tcBorders>
            <w:noWrap/>
            <w:hideMark/>
          </w:tcPr>
          <w:p w14:paraId="708FF38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227.60</w:t>
            </w:r>
          </w:p>
        </w:tc>
        <w:tc>
          <w:tcPr>
            <w:tcW w:w="794" w:type="dxa"/>
            <w:tcBorders>
              <w:top w:val="nil"/>
              <w:left w:val="nil"/>
              <w:bottom w:val="single" w:sz="4" w:space="0" w:color="auto"/>
              <w:right w:val="single" w:sz="4" w:space="0" w:color="auto"/>
            </w:tcBorders>
            <w:noWrap/>
            <w:hideMark/>
          </w:tcPr>
          <w:p w14:paraId="5D7DB87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9.58</w:t>
            </w:r>
          </w:p>
        </w:tc>
      </w:tr>
      <w:tr w:rsidR="008755A5" w:rsidRPr="008755A5" w14:paraId="66AE2B8A"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01A02787"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Chonburi</w:t>
            </w:r>
          </w:p>
        </w:tc>
        <w:tc>
          <w:tcPr>
            <w:tcW w:w="850" w:type="dxa"/>
            <w:tcBorders>
              <w:top w:val="nil"/>
              <w:left w:val="nil"/>
              <w:bottom w:val="single" w:sz="4" w:space="0" w:color="auto"/>
              <w:right w:val="single" w:sz="4" w:space="0" w:color="auto"/>
            </w:tcBorders>
            <w:noWrap/>
            <w:hideMark/>
          </w:tcPr>
          <w:p w14:paraId="7819208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565</w:t>
            </w:r>
          </w:p>
        </w:tc>
        <w:tc>
          <w:tcPr>
            <w:tcW w:w="1102" w:type="dxa"/>
            <w:tcBorders>
              <w:top w:val="nil"/>
              <w:left w:val="nil"/>
              <w:bottom w:val="single" w:sz="4" w:space="0" w:color="auto"/>
              <w:right w:val="single" w:sz="4" w:space="0" w:color="auto"/>
            </w:tcBorders>
            <w:noWrap/>
            <w:hideMark/>
          </w:tcPr>
          <w:p w14:paraId="770308D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4,321.09</w:t>
            </w:r>
          </w:p>
        </w:tc>
        <w:tc>
          <w:tcPr>
            <w:tcW w:w="851" w:type="dxa"/>
            <w:tcBorders>
              <w:top w:val="nil"/>
              <w:left w:val="nil"/>
              <w:bottom w:val="single" w:sz="4" w:space="0" w:color="auto"/>
              <w:right w:val="single" w:sz="4" w:space="0" w:color="auto"/>
            </w:tcBorders>
            <w:noWrap/>
            <w:hideMark/>
          </w:tcPr>
          <w:p w14:paraId="4A76B49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29.05</w:t>
            </w:r>
          </w:p>
        </w:tc>
        <w:tc>
          <w:tcPr>
            <w:tcW w:w="1074" w:type="dxa"/>
            <w:tcBorders>
              <w:top w:val="nil"/>
              <w:left w:val="nil"/>
              <w:bottom w:val="single" w:sz="4" w:space="0" w:color="auto"/>
              <w:right w:val="single" w:sz="4" w:space="0" w:color="auto"/>
            </w:tcBorders>
            <w:noWrap/>
            <w:hideMark/>
          </w:tcPr>
          <w:p w14:paraId="46F9C26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1247.37</w:t>
            </w:r>
          </w:p>
        </w:tc>
        <w:tc>
          <w:tcPr>
            <w:tcW w:w="910" w:type="dxa"/>
            <w:tcBorders>
              <w:top w:val="nil"/>
              <w:left w:val="nil"/>
              <w:bottom w:val="single" w:sz="4" w:space="0" w:color="auto"/>
              <w:right w:val="single" w:sz="4" w:space="0" w:color="auto"/>
            </w:tcBorders>
            <w:noWrap/>
            <w:hideMark/>
          </w:tcPr>
          <w:p w14:paraId="76A44EF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44.80</w:t>
            </w:r>
          </w:p>
        </w:tc>
        <w:tc>
          <w:tcPr>
            <w:tcW w:w="1052" w:type="dxa"/>
            <w:tcBorders>
              <w:top w:val="nil"/>
              <w:left w:val="nil"/>
              <w:bottom w:val="single" w:sz="4" w:space="0" w:color="auto"/>
              <w:right w:val="single" w:sz="4" w:space="0" w:color="auto"/>
            </w:tcBorders>
            <w:noWrap/>
            <w:hideMark/>
          </w:tcPr>
          <w:p w14:paraId="18777B7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129.80</w:t>
            </w:r>
          </w:p>
        </w:tc>
        <w:tc>
          <w:tcPr>
            <w:tcW w:w="770" w:type="dxa"/>
            <w:tcBorders>
              <w:top w:val="nil"/>
              <w:left w:val="nil"/>
              <w:bottom w:val="single" w:sz="4" w:space="0" w:color="auto"/>
              <w:right w:val="single" w:sz="4" w:space="0" w:color="auto"/>
            </w:tcBorders>
            <w:noWrap/>
            <w:hideMark/>
          </w:tcPr>
          <w:p w14:paraId="3AC803D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10.41</w:t>
            </w:r>
          </w:p>
        </w:tc>
        <w:tc>
          <w:tcPr>
            <w:tcW w:w="1045" w:type="dxa"/>
            <w:tcBorders>
              <w:top w:val="nil"/>
              <w:left w:val="nil"/>
              <w:bottom w:val="single" w:sz="4" w:space="0" w:color="auto"/>
              <w:right w:val="single" w:sz="4" w:space="0" w:color="auto"/>
            </w:tcBorders>
            <w:noWrap/>
            <w:hideMark/>
          </w:tcPr>
          <w:p w14:paraId="2648C5E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1,117.57</w:t>
            </w:r>
          </w:p>
        </w:tc>
        <w:tc>
          <w:tcPr>
            <w:tcW w:w="709" w:type="dxa"/>
            <w:tcBorders>
              <w:top w:val="nil"/>
              <w:left w:val="nil"/>
              <w:bottom w:val="single" w:sz="4" w:space="0" w:color="auto"/>
              <w:right w:val="single" w:sz="4" w:space="0" w:color="auto"/>
            </w:tcBorders>
            <w:noWrap/>
            <w:hideMark/>
          </w:tcPr>
          <w:p w14:paraId="50DDAEA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89.59</w:t>
            </w:r>
          </w:p>
        </w:tc>
        <w:tc>
          <w:tcPr>
            <w:tcW w:w="1151" w:type="dxa"/>
            <w:gridSpan w:val="2"/>
            <w:tcBorders>
              <w:top w:val="nil"/>
              <w:left w:val="nil"/>
              <w:bottom w:val="single" w:sz="4" w:space="0" w:color="auto"/>
              <w:right w:val="single" w:sz="4" w:space="0" w:color="auto"/>
            </w:tcBorders>
            <w:noWrap/>
            <w:hideMark/>
          </w:tcPr>
          <w:p w14:paraId="6381EDD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842</w:t>
            </w:r>
          </w:p>
        </w:tc>
        <w:tc>
          <w:tcPr>
            <w:tcW w:w="667" w:type="dxa"/>
            <w:tcBorders>
              <w:top w:val="nil"/>
              <w:left w:val="nil"/>
              <w:bottom w:val="single" w:sz="4" w:space="0" w:color="auto"/>
              <w:right w:val="single" w:sz="4" w:space="0" w:color="auto"/>
            </w:tcBorders>
            <w:noWrap/>
            <w:hideMark/>
          </w:tcPr>
          <w:p w14:paraId="0A8D712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5.02</w:t>
            </w:r>
          </w:p>
        </w:tc>
        <w:tc>
          <w:tcPr>
            <w:tcW w:w="1074" w:type="dxa"/>
            <w:tcBorders>
              <w:top w:val="nil"/>
              <w:left w:val="nil"/>
              <w:bottom w:val="single" w:sz="4" w:space="0" w:color="auto"/>
              <w:right w:val="single" w:sz="4" w:space="0" w:color="auto"/>
            </w:tcBorders>
            <w:noWrap/>
            <w:hideMark/>
          </w:tcPr>
          <w:p w14:paraId="6F39985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997.66</w:t>
            </w:r>
          </w:p>
        </w:tc>
        <w:tc>
          <w:tcPr>
            <w:tcW w:w="794" w:type="dxa"/>
            <w:tcBorders>
              <w:top w:val="nil"/>
              <w:left w:val="nil"/>
              <w:bottom w:val="single" w:sz="4" w:space="0" w:color="auto"/>
              <w:right w:val="single" w:sz="4" w:space="0" w:color="auto"/>
            </w:tcBorders>
            <w:noWrap/>
            <w:hideMark/>
          </w:tcPr>
          <w:p w14:paraId="0F951E0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42.01</w:t>
            </w:r>
          </w:p>
        </w:tc>
      </w:tr>
      <w:tr w:rsidR="008755A5" w:rsidRPr="008755A5" w14:paraId="1F5082C4"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42C93908"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Samut Prakan</w:t>
            </w:r>
          </w:p>
        </w:tc>
        <w:tc>
          <w:tcPr>
            <w:tcW w:w="850" w:type="dxa"/>
            <w:tcBorders>
              <w:top w:val="nil"/>
              <w:left w:val="nil"/>
              <w:bottom w:val="single" w:sz="4" w:space="0" w:color="auto"/>
              <w:right w:val="single" w:sz="4" w:space="0" w:color="auto"/>
            </w:tcBorders>
            <w:noWrap/>
            <w:hideMark/>
          </w:tcPr>
          <w:p w14:paraId="3C9DB0F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227</w:t>
            </w:r>
          </w:p>
        </w:tc>
        <w:tc>
          <w:tcPr>
            <w:tcW w:w="1102" w:type="dxa"/>
            <w:tcBorders>
              <w:top w:val="nil"/>
              <w:left w:val="nil"/>
              <w:bottom w:val="single" w:sz="4" w:space="0" w:color="auto"/>
              <w:right w:val="single" w:sz="4" w:space="0" w:color="auto"/>
            </w:tcBorders>
            <w:noWrap/>
            <w:hideMark/>
          </w:tcPr>
          <w:p w14:paraId="089AAB0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3,380.86</w:t>
            </w:r>
          </w:p>
        </w:tc>
        <w:tc>
          <w:tcPr>
            <w:tcW w:w="851" w:type="dxa"/>
            <w:tcBorders>
              <w:top w:val="nil"/>
              <w:left w:val="nil"/>
              <w:bottom w:val="single" w:sz="4" w:space="0" w:color="auto"/>
              <w:right w:val="single" w:sz="4" w:space="0" w:color="auto"/>
            </w:tcBorders>
            <w:noWrap/>
            <w:hideMark/>
          </w:tcPr>
          <w:p w14:paraId="30A0075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22.73</w:t>
            </w:r>
          </w:p>
        </w:tc>
        <w:tc>
          <w:tcPr>
            <w:tcW w:w="1074" w:type="dxa"/>
            <w:tcBorders>
              <w:top w:val="nil"/>
              <w:left w:val="nil"/>
              <w:bottom w:val="single" w:sz="4" w:space="0" w:color="auto"/>
              <w:right w:val="single" w:sz="4" w:space="0" w:color="auto"/>
            </w:tcBorders>
            <w:noWrap/>
            <w:hideMark/>
          </w:tcPr>
          <w:p w14:paraId="06460EE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292.97</w:t>
            </w:r>
          </w:p>
        </w:tc>
        <w:tc>
          <w:tcPr>
            <w:tcW w:w="910" w:type="dxa"/>
            <w:tcBorders>
              <w:top w:val="nil"/>
              <w:left w:val="nil"/>
              <w:bottom w:val="single" w:sz="4" w:space="0" w:color="auto"/>
              <w:right w:val="single" w:sz="4" w:space="0" w:color="auto"/>
            </w:tcBorders>
            <w:noWrap/>
            <w:hideMark/>
          </w:tcPr>
          <w:p w14:paraId="48B6E1F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10.52</w:t>
            </w:r>
          </w:p>
        </w:tc>
        <w:tc>
          <w:tcPr>
            <w:tcW w:w="1052" w:type="dxa"/>
            <w:tcBorders>
              <w:top w:val="nil"/>
              <w:left w:val="nil"/>
              <w:bottom w:val="single" w:sz="4" w:space="0" w:color="auto"/>
              <w:right w:val="single" w:sz="4" w:space="0" w:color="auto"/>
            </w:tcBorders>
            <w:noWrap/>
            <w:hideMark/>
          </w:tcPr>
          <w:p w14:paraId="2B080BC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58.60</w:t>
            </w:r>
          </w:p>
        </w:tc>
        <w:tc>
          <w:tcPr>
            <w:tcW w:w="770" w:type="dxa"/>
            <w:tcBorders>
              <w:top w:val="nil"/>
              <w:left w:val="nil"/>
              <w:bottom w:val="single" w:sz="4" w:space="0" w:color="auto"/>
              <w:right w:val="single" w:sz="4" w:space="0" w:color="auto"/>
            </w:tcBorders>
            <w:noWrap/>
            <w:hideMark/>
          </w:tcPr>
          <w:p w14:paraId="6EB9014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20.00</w:t>
            </w:r>
          </w:p>
        </w:tc>
        <w:tc>
          <w:tcPr>
            <w:tcW w:w="1045" w:type="dxa"/>
            <w:tcBorders>
              <w:top w:val="nil"/>
              <w:left w:val="nil"/>
              <w:bottom w:val="single" w:sz="4" w:space="0" w:color="auto"/>
              <w:right w:val="single" w:sz="4" w:space="0" w:color="auto"/>
            </w:tcBorders>
            <w:noWrap/>
            <w:hideMark/>
          </w:tcPr>
          <w:p w14:paraId="4A73B44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234.37</w:t>
            </w:r>
          </w:p>
        </w:tc>
        <w:tc>
          <w:tcPr>
            <w:tcW w:w="709" w:type="dxa"/>
            <w:tcBorders>
              <w:top w:val="nil"/>
              <w:left w:val="nil"/>
              <w:bottom w:val="single" w:sz="4" w:space="0" w:color="auto"/>
              <w:right w:val="single" w:sz="4" w:space="0" w:color="auto"/>
            </w:tcBorders>
            <w:noWrap/>
            <w:hideMark/>
          </w:tcPr>
          <w:p w14:paraId="53D8B2D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80.00</w:t>
            </w:r>
          </w:p>
        </w:tc>
        <w:tc>
          <w:tcPr>
            <w:tcW w:w="1151" w:type="dxa"/>
            <w:gridSpan w:val="2"/>
            <w:tcBorders>
              <w:top w:val="nil"/>
              <w:left w:val="nil"/>
              <w:bottom w:val="single" w:sz="4" w:space="0" w:color="auto"/>
              <w:right w:val="single" w:sz="4" w:space="0" w:color="auto"/>
            </w:tcBorders>
            <w:noWrap/>
            <w:hideMark/>
          </w:tcPr>
          <w:p w14:paraId="3B516C7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4,595</w:t>
            </w:r>
          </w:p>
        </w:tc>
        <w:tc>
          <w:tcPr>
            <w:tcW w:w="667" w:type="dxa"/>
            <w:tcBorders>
              <w:top w:val="nil"/>
              <w:left w:val="nil"/>
              <w:bottom w:val="single" w:sz="4" w:space="0" w:color="auto"/>
              <w:right w:val="single" w:sz="4" w:space="0" w:color="auto"/>
            </w:tcBorders>
            <w:noWrap/>
            <w:hideMark/>
          </w:tcPr>
          <w:p w14:paraId="3DBA2DC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27.40</w:t>
            </w:r>
          </w:p>
        </w:tc>
        <w:tc>
          <w:tcPr>
            <w:tcW w:w="1074" w:type="dxa"/>
            <w:tcBorders>
              <w:top w:val="nil"/>
              <w:left w:val="nil"/>
              <w:bottom w:val="single" w:sz="4" w:space="0" w:color="auto"/>
              <w:right w:val="single" w:sz="4" w:space="0" w:color="auto"/>
            </w:tcBorders>
            <w:noWrap/>
            <w:hideMark/>
          </w:tcPr>
          <w:p w14:paraId="2A7BE9E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448.60</w:t>
            </w:r>
          </w:p>
        </w:tc>
        <w:tc>
          <w:tcPr>
            <w:tcW w:w="794" w:type="dxa"/>
            <w:tcBorders>
              <w:top w:val="nil"/>
              <w:left w:val="nil"/>
              <w:bottom w:val="single" w:sz="4" w:space="0" w:color="auto"/>
              <w:right w:val="single" w:sz="4" w:space="0" w:color="auto"/>
            </w:tcBorders>
            <w:noWrap/>
            <w:hideMark/>
          </w:tcPr>
          <w:p w14:paraId="6EC8903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18.89</w:t>
            </w:r>
          </w:p>
        </w:tc>
      </w:tr>
      <w:tr w:rsidR="008755A5" w:rsidRPr="008755A5" w14:paraId="1EB09FA8"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6EB56075"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Chachoengsao</w:t>
            </w:r>
          </w:p>
        </w:tc>
        <w:tc>
          <w:tcPr>
            <w:tcW w:w="850" w:type="dxa"/>
            <w:tcBorders>
              <w:top w:val="nil"/>
              <w:left w:val="nil"/>
              <w:bottom w:val="single" w:sz="4" w:space="0" w:color="auto"/>
              <w:right w:val="single" w:sz="4" w:space="0" w:color="auto"/>
            </w:tcBorders>
            <w:noWrap/>
            <w:hideMark/>
          </w:tcPr>
          <w:p w14:paraId="3F425EB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109</w:t>
            </w:r>
          </w:p>
        </w:tc>
        <w:tc>
          <w:tcPr>
            <w:tcW w:w="1102" w:type="dxa"/>
            <w:tcBorders>
              <w:top w:val="nil"/>
              <w:left w:val="nil"/>
              <w:bottom w:val="single" w:sz="4" w:space="0" w:color="auto"/>
              <w:right w:val="single" w:sz="4" w:space="0" w:color="auto"/>
            </w:tcBorders>
            <w:noWrap/>
            <w:hideMark/>
          </w:tcPr>
          <w:p w14:paraId="70396AC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1,035.27</w:t>
            </w:r>
          </w:p>
        </w:tc>
        <w:tc>
          <w:tcPr>
            <w:tcW w:w="851" w:type="dxa"/>
            <w:tcBorders>
              <w:top w:val="nil"/>
              <w:left w:val="nil"/>
              <w:bottom w:val="single" w:sz="4" w:space="0" w:color="auto"/>
              <w:right w:val="single" w:sz="4" w:space="0" w:color="auto"/>
            </w:tcBorders>
            <w:noWrap/>
            <w:hideMark/>
          </w:tcPr>
          <w:p w14:paraId="65C2204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6.96</w:t>
            </w:r>
          </w:p>
        </w:tc>
        <w:tc>
          <w:tcPr>
            <w:tcW w:w="1074" w:type="dxa"/>
            <w:tcBorders>
              <w:top w:val="nil"/>
              <w:left w:val="nil"/>
              <w:bottom w:val="single" w:sz="4" w:space="0" w:color="auto"/>
              <w:right w:val="single" w:sz="4" w:space="0" w:color="auto"/>
            </w:tcBorders>
            <w:noWrap/>
            <w:hideMark/>
          </w:tcPr>
          <w:p w14:paraId="635CD81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349.06</w:t>
            </w:r>
          </w:p>
        </w:tc>
        <w:tc>
          <w:tcPr>
            <w:tcW w:w="910" w:type="dxa"/>
            <w:tcBorders>
              <w:top w:val="nil"/>
              <w:left w:val="nil"/>
              <w:bottom w:val="single" w:sz="4" w:space="0" w:color="auto"/>
              <w:right w:val="single" w:sz="4" w:space="0" w:color="auto"/>
            </w:tcBorders>
            <w:noWrap/>
            <w:hideMark/>
          </w:tcPr>
          <w:p w14:paraId="7BDB198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12.54</w:t>
            </w:r>
          </w:p>
        </w:tc>
        <w:tc>
          <w:tcPr>
            <w:tcW w:w="1052" w:type="dxa"/>
            <w:tcBorders>
              <w:top w:val="nil"/>
              <w:left w:val="nil"/>
              <w:bottom w:val="single" w:sz="4" w:space="0" w:color="auto"/>
              <w:right w:val="single" w:sz="4" w:space="0" w:color="auto"/>
            </w:tcBorders>
            <w:noWrap/>
            <w:hideMark/>
          </w:tcPr>
          <w:p w14:paraId="1F6F908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22.51</w:t>
            </w:r>
          </w:p>
        </w:tc>
        <w:tc>
          <w:tcPr>
            <w:tcW w:w="770" w:type="dxa"/>
            <w:tcBorders>
              <w:top w:val="nil"/>
              <w:left w:val="nil"/>
              <w:bottom w:val="single" w:sz="4" w:space="0" w:color="auto"/>
              <w:right w:val="single" w:sz="4" w:space="0" w:color="auto"/>
            </w:tcBorders>
            <w:noWrap/>
            <w:hideMark/>
          </w:tcPr>
          <w:p w14:paraId="1608A3A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6.45</w:t>
            </w:r>
          </w:p>
        </w:tc>
        <w:tc>
          <w:tcPr>
            <w:tcW w:w="1045" w:type="dxa"/>
            <w:tcBorders>
              <w:top w:val="nil"/>
              <w:left w:val="nil"/>
              <w:bottom w:val="single" w:sz="4" w:space="0" w:color="auto"/>
              <w:right w:val="single" w:sz="4" w:space="0" w:color="auto"/>
            </w:tcBorders>
            <w:noWrap/>
            <w:hideMark/>
          </w:tcPr>
          <w:p w14:paraId="647BD76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326.54</w:t>
            </w:r>
          </w:p>
        </w:tc>
        <w:tc>
          <w:tcPr>
            <w:tcW w:w="709" w:type="dxa"/>
            <w:tcBorders>
              <w:top w:val="nil"/>
              <w:left w:val="nil"/>
              <w:bottom w:val="single" w:sz="4" w:space="0" w:color="auto"/>
              <w:right w:val="single" w:sz="4" w:space="0" w:color="auto"/>
            </w:tcBorders>
            <w:noWrap/>
            <w:hideMark/>
          </w:tcPr>
          <w:p w14:paraId="7E033CB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93.55</w:t>
            </w:r>
          </w:p>
        </w:tc>
        <w:tc>
          <w:tcPr>
            <w:tcW w:w="1151" w:type="dxa"/>
            <w:gridSpan w:val="2"/>
            <w:tcBorders>
              <w:top w:val="nil"/>
              <w:left w:val="nil"/>
              <w:bottom w:val="single" w:sz="4" w:space="0" w:color="auto"/>
              <w:right w:val="single" w:sz="4" w:space="0" w:color="auto"/>
            </w:tcBorders>
            <w:noWrap/>
            <w:hideMark/>
          </w:tcPr>
          <w:p w14:paraId="5D3C4DE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711</w:t>
            </w:r>
          </w:p>
        </w:tc>
        <w:tc>
          <w:tcPr>
            <w:tcW w:w="667" w:type="dxa"/>
            <w:tcBorders>
              <w:top w:val="nil"/>
              <w:left w:val="nil"/>
              <w:bottom w:val="single" w:sz="4" w:space="0" w:color="auto"/>
              <w:right w:val="single" w:sz="4" w:space="0" w:color="auto"/>
            </w:tcBorders>
            <w:noWrap/>
            <w:hideMark/>
          </w:tcPr>
          <w:p w14:paraId="6D86989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4.24</w:t>
            </w:r>
          </w:p>
        </w:tc>
        <w:tc>
          <w:tcPr>
            <w:tcW w:w="1074" w:type="dxa"/>
            <w:tcBorders>
              <w:top w:val="nil"/>
              <w:left w:val="nil"/>
              <w:bottom w:val="single" w:sz="4" w:space="0" w:color="auto"/>
              <w:right w:val="single" w:sz="4" w:space="0" w:color="auto"/>
            </w:tcBorders>
            <w:noWrap/>
            <w:hideMark/>
          </w:tcPr>
          <w:p w14:paraId="5F98159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61.43</w:t>
            </w:r>
          </w:p>
        </w:tc>
        <w:tc>
          <w:tcPr>
            <w:tcW w:w="794" w:type="dxa"/>
            <w:tcBorders>
              <w:top w:val="nil"/>
              <w:left w:val="nil"/>
              <w:bottom w:val="single" w:sz="4" w:space="0" w:color="auto"/>
              <w:right w:val="single" w:sz="4" w:space="0" w:color="auto"/>
            </w:tcBorders>
            <w:noWrap/>
            <w:hideMark/>
          </w:tcPr>
          <w:p w14:paraId="688057A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2.59</w:t>
            </w:r>
          </w:p>
        </w:tc>
      </w:tr>
      <w:tr w:rsidR="008755A5" w:rsidRPr="008755A5" w14:paraId="3B4EF665"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78E9A3A7"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Samut Sakhon</w:t>
            </w:r>
          </w:p>
        </w:tc>
        <w:tc>
          <w:tcPr>
            <w:tcW w:w="850" w:type="dxa"/>
            <w:tcBorders>
              <w:top w:val="nil"/>
              <w:left w:val="nil"/>
              <w:bottom w:val="single" w:sz="4" w:space="0" w:color="auto"/>
              <w:right w:val="single" w:sz="4" w:space="0" w:color="auto"/>
            </w:tcBorders>
            <w:noWrap/>
            <w:hideMark/>
          </w:tcPr>
          <w:p w14:paraId="363843A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125</w:t>
            </w:r>
          </w:p>
        </w:tc>
        <w:tc>
          <w:tcPr>
            <w:tcW w:w="1102" w:type="dxa"/>
            <w:tcBorders>
              <w:top w:val="nil"/>
              <w:left w:val="nil"/>
              <w:bottom w:val="single" w:sz="4" w:space="0" w:color="auto"/>
              <w:right w:val="single" w:sz="4" w:space="0" w:color="auto"/>
            </w:tcBorders>
            <w:noWrap/>
            <w:hideMark/>
          </w:tcPr>
          <w:p w14:paraId="2787BBB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393.48</w:t>
            </w:r>
          </w:p>
        </w:tc>
        <w:tc>
          <w:tcPr>
            <w:tcW w:w="851" w:type="dxa"/>
            <w:tcBorders>
              <w:top w:val="nil"/>
              <w:left w:val="nil"/>
              <w:bottom w:val="single" w:sz="4" w:space="0" w:color="auto"/>
              <w:right w:val="single" w:sz="4" w:space="0" w:color="auto"/>
            </w:tcBorders>
            <w:noWrap/>
            <w:hideMark/>
          </w:tcPr>
          <w:p w14:paraId="1D399D8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2.65</w:t>
            </w:r>
          </w:p>
        </w:tc>
        <w:tc>
          <w:tcPr>
            <w:tcW w:w="1074" w:type="dxa"/>
            <w:tcBorders>
              <w:top w:val="nil"/>
              <w:left w:val="nil"/>
              <w:bottom w:val="single" w:sz="4" w:space="0" w:color="auto"/>
              <w:right w:val="single" w:sz="4" w:space="0" w:color="auto"/>
            </w:tcBorders>
            <w:noWrap/>
            <w:hideMark/>
          </w:tcPr>
          <w:p w14:paraId="465DC89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71.06</w:t>
            </w:r>
          </w:p>
        </w:tc>
        <w:tc>
          <w:tcPr>
            <w:tcW w:w="910" w:type="dxa"/>
            <w:tcBorders>
              <w:top w:val="nil"/>
              <w:left w:val="nil"/>
              <w:bottom w:val="single" w:sz="4" w:space="0" w:color="auto"/>
              <w:right w:val="single" w:sz="4" w:space="0" w:color="auto"/>
            </w:tcBorders>
            <w:noWrap/>
            <w:hideMark/>
          </w:tcPr>
          <w:p w14:paraId="16E4522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2.55</w:t>
            </w:r>
          </w:p>
        </w:tc>
        <w:tc>
          <w:tcPr>
            <w:tcW w:w="1052" w:type="dxa"/>
            <w:tcBorders>
              <w:top w:val="nil"/>
              <w:left w:val="nil"/>
              <w:bottom w:val="single" w:sz="4" w:space="0" w:color="auto"/>
              <w:right w:val="single" w:sz="4" w:space="0" w:color="auto"/>
            </w:tcBorders>
            <w:noWrap/>
            <w:hideMark/>
          </w:tcPr>
          <w:p w14:paraId="5031204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41.34</w:t>
            </w:r>
          </w:p>
        </w:tc>
        <w:tc>
          <w:tcPr>
            <w:tcW w:w="770" w:type="dxa"/>
            <w:tcBorders>
              <w:top w:val="nil"/>
              <w:left w:val="nil"/>
              <w:bottom w:val="single" w:sz="4" w:space="0" w:color="auto"/>
              <w:right w:val="single" w:sz="4" w:space="0" w:color="auto"/>
            </w:tcBorders>
            <w:noWrap/>
            <w:hideMark/>
          </w:tcPr>
          <w:p w14:paraId="07AF0EE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58.18</w:t>
            </w:r>
          </w:p>
        </w:tc>
        <w:tc>
          <w:tcPr>
            <w:tcW w:w="1045" w:type="dxa"/>
            <w:tcBorders>
              <w:top w:val="nil"/>
              <w:left w:val="nil"/>
              <w:bottom w:val="single" w:sz="4" w:space="0" w:color="auto"/>
              <w:right w:val="single" w:sz="4" w:space="0" w:color="auto"/>
            </w:tcBorders>
            <w:noWrap/>
            <w:hideMark/>
          </w:tcPr>
          <w:p w14:paraId="61DC14C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29.71</w:t>
            </w:r>
          </w:p>
        </w:tc>
        <w:tc>
          <w:tcPr>
            <w:tcW w:w="709" w:type="dxa"/>
            <w:tcBorders>
              <w:top w:val="nil"/>
              <w:left w:val="nil"/>
              <w:bottom w:val="single" w:sz="4" w:space="0" w:color="auto"/>
              <w:right w:val="single" w:sz="4" w:space="0" w:color="auto"/>
            </w:tcBorders>
            <w:noWrap/>
            <w:hideMark/>
          </w:tcPr>
          <w:p w14:paraId="5315F41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41.82</w:t>
            </w:r>
          </w:p>
        </w:tc>
        <w:tc>
          <w:tcPr>
            <w:tcW w:w="1151" w:type="dxa"/>
            <w:gridSpan w:val="2"/>
            <w:tcBorders>
              <w:top w:val="nil"/>
              <w:left w:val="nil"/>
              <w:bottom w:val="single" w:sz="4" w:space="0" w:color="auto"/>
              <w:right w:val="single" w:sz="4" w:space="0" w:color="auto"/>
            </w:tcBorders>
            <w:noWrap/>
            <w:hideMark/>
          </w:tcPr>
          <w:p w14:paraId="0C42732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1,652</w:t>
            </w:r>
          </w:p>
        </w:tc>
        <w:tc>
          <w:tcPr>
            <w:tcW w:w="667" w:type="dxa"/>
            <w:tcBorders>
              <w:top w:val="nil"/>
              <w:left w:val="nil"/>
              <w:bottom w:val="single" w:sz="4" w:space="0" w:color="auto"/>
              <w:right w:val="single" w:sz="4" w:space="0" w:color="auto"/>
            </w:tcBorders>
            <w:noWrap/>
            <w:hideMark/>
          </w:tcPr>
          <w:p w14:paraId="6C491DC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9.85</w:t>
            </w:r>
          </w:p>
        </w:tc>
        <w:tc>
          <w:tcPr>
            <w:tcW w:w="1074" w:type="dxa"/>
            <w:tcBorders>
              <w:top w:val="nil"/>
              <w:left w:val="nil"/>
              <w:bottom w:val="single" w:sz="4" w:space="0" w:color="auto"/>
              <w:right w:val="single" w:sz="4" w:space="0" w:color="auto"/>
            </w:tcBorders>
            <w:noWrap/>
            <w:hideMark/>
          </w:tcPr>
          <w:p w14:paraId="4C08170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192.06</w:t>
            </w:r>
          </w:p>
        </w:tc>
        <w:tc>
          <w:tcPr>
            <w:tcW w:w="794" w:type="dxa"/>
            <w:tcBorders>
              <w:top w:val="nil"/>
              <w:left w:val="nil"/>
              <w:bottom w:val="single" w:sz="4" w:space="0" w:color="auto"/>
              <w:right w:val="single" w:sz="4" w:space="0" w:color="auto"/>
            </w:tcBorders>
            <w:noWrap/>
            <w:hideMark/>
          </w:tcPr>
          <w:p w14:paraId="6D679F1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8.09</w:t>
            </w:r>
          </w:p>
        </w:tc>
      </w:tr>
      <w:tr w:rsidR="008755A5" w:rsidRPr="008755A5" w14:paraId="1876CE3D"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5F4F4DA4"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Phetchaburi</w:t>
            </w:r>
          </w:p>
        </w:tc>
        <w:tc>
          <w:tcPr>
            <w:tcW w:w="850" w:type="dxa"/>
            <w:tcBorders>
              <w:top w:val="nil"/>
              <w:left w:val="nil"/>
              <w:bottom w:val="single" w:sz="4" w:space="0" w:color="auto"/>
              <w:right w:val="single" w:sz="4" w:space="0" w:color="auto"/>
            </w:tcBorders>
            <w:noWrap/>
            <w:hideMark/>
          </w:tcPr>
          <w:p w14:paraId="00627B5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21</w:t>
            </w:r>
          </w:p>
        </w:tc>
        <w:tc>
          <w:tcPr>
            <w:tcW w:w="1102" w:type="dxa"/>
            <w:tcBorders>
              <w:top w:val="nil"/>
              <w:left w:val="nil"/>
              <w:bottom w:val="single" w:sz="4" w:space="0" w:color="auto"/>
              <w:right w:val="single" w:sz="4" w:space="0" w:color="auto"/>
            </w:tcBorders>
            <w:noWrap/>
            <w:hideMark/>
          </w:tcPr>
          <w:p w14:paraId="5D21E47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107.10</w:t>
            </w:r>
          </w:p>
        </w:tc>
        <w:tc>
          <w:tcPr>
            <w:tcW w:w="851" w:type="dxa"/>
            <w:tcBorders>
              <w:top w:val="nil"/>
              <w:left w:val="nil"/>
              <w:bottom w:val="single" w:sz="4" w:space="0" w:color="auto"/>
              <w:right w:val="single" w:sz="4" w:space="0" w:color="auto"/>
            </w:tcBorders>
            <w:noWrap/>
            <w:hideMark/>
          </w:tcPr>
          <w:p w14:paraId="78465D6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0.72</w:t>
            </w:r>
          </w:p>
        </w:tc>
        <w:tc>
          <w:tcPr>
            <w:tcW w:w="1074" w:type="dxa"/>
            <w:tcBorders>
              <w:top w:val="nil"/>
              <w:left w:val="nil"/>
              <w:bottom w:val="single" w:sz="4" w:space="0" w:color="auto"/>
              <w:right w:val="single" w:sz="4" w:space="0" w:color="auto"/>
            </w:tcBorders>
            <w:noWrap/>
            <w:hideMark/>
          </w:tcPr>
          <w:p w14:paraId="3E794AA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33.40</w:t>
            </w:r>
          </w:p>
        </w:tc>
        <w:tc>
          <w:tcPr>
            <w:tcW w:w="910" w:type="dxa"/>
            <w:tcBorders>
              <w:top w:val="nil"/>
              <w:left w:val="nil"/>
              <w:bottom w:val="single" w:sz="4" w:space="0" w:color="auto"/>
              <w:right w:val="single" w:sz="4" w:space="0" w:color="auto"/>
            </w:tcBorders>
            <w:noWrap/>
            <w:hideMark/>
          </w:tcPr>
          <w:p w14:paraId="4E31983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1.20</w:t>
            </w:r>
          </w:p>
        </w:tc>
        <w:tc>
          <w:tcPr>
            <w:tcW w:w="1052" w:type="dxa"/>
            <w:tcBorders>
              <w:top w:val="nil"/>
              <w:left w:val="nil"/>
              <w:bottom w:val="single" w:sz="4" w:space="0" w:color="auto"/>
              <w:right w:val="single" w:sz="4" w:space="0" w:color="auto"/>
            </w:tcBorders>
            <w:noWrap/>
            <w:hideMark/>
          </w:tcPr>
          <w:p w14:paraId="5FAA8FD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8.31</w:t>
            </w:r>
          </w:p>
        </w:tc>
        <w:tc>
          <w:tcPr>
            <w:tcW w:w="770" w:type="dxa"/>
            <w:tcBorders>
              <w:top w:val="nil"/>
              <w:left w:val="nil"/>
              <w:bottom w:val="single" w:sz="4" w:space="0" w:color="auto"/>
              <w:right w:val="single" w:sz="4" w:space="0" w:color="auto"/>
            </w:tcBorders>
            <w:noWrap/>
            <w:hideMark/>
          </w:tcPr>
          <w:p w14:paraId="2D5CF49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24.89</w:t>
            </w:r>
          </w:p>
        </w:tc>
        <w:tc>
          <w:tcPr>
            <w:tcW w:w="1045" w:type="dxa"/>
            <w:tcBorders>
              <w:top w:val="nil"/>
              <w:left w:val="nil"/>
              <w:bottom w:val="single" w:sz="4" w:space="0" w:color="auto"/>
              <w:right w:val="single" w:sz="4" w:space="0" w:color="auto"/>
            </w:tcBorders>
            <w:noWrap/>
            <w:hideMark/>
          </w:tcPr>
          <w:p w14:paraId="6220E5C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25.09</w:t>
            </w:r>
          </w:p>
        </w:tc>
        <w:tc>
          <w:tcPr>
            <w:tcW w:w="709" w:type="dxa"/>
            <w:tcBorders>
              <w:top w:val="nil"/>
              <w:left w:val="nil"/>
              <w:bottom w:val="single" w:sz="4" w:space="0" w:color="auto"/>
              <w:right w:val="single" w:sz="4" w:space="0" w:color="auto"/>
            </w:tcBorders>
            <w:noWrap/>
            <w:hideMark/>
          </w:tcPr>
          <w:p w14:paraId="231BECB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75.11</w:t>
            </w:r>
          </w:p>
        </w:tc>
        <w:tc>
          <w:tcPr>
            <w:tcW w:w="1151" w:type="dxa"/>
            <w:gridSpan w:val="2"/>
            <w:tcBorders>
              <w:top w:val="nil"/>
              <w:left w:val="nil"/>
              <w:bottom w:val="single" w:sz="4" w:space="0" w:color="auto"/>
              <w:right w:val="single" w:sz="4" w:space="0" w:color="auto"/>
            </w:tcBorders>
            <w:noWrap/>
            <w:hideMark/>
          </w:tcPr>
          <w:p w14:paraId="0155182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324</w:t>
            </w:r>
          </w:p>
        </w:tc>
        <w:tc>
          <w:tcPr>
            <w:tcW w:w="667" w:type="dxa"/>
            <w:tcBorders>
              <w:top w:val="nil"/>
              <w:left w:val="nil"/>
              <w:bottom w:val="single" w:sz="4" w:space="0" w:color="auto"/>
              <w:right w:val="single" w:sz="4" w:space="0" w:color="auto"/>
            </w:tcBorders>
            <w:noWrap/>
            <w:hideMark/>
          </w:tcPr>
          <w:p w14:paraId="388B4FD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1.93</w:t>
            </w:r>
          </w:p>
        </w:tc>
        <w:tc>
          <w:tcPr>
            <w:tcW w:w="1074" w:type="dxa"/>
            <w:tcBorders>
              <w:top w:val="nil"/>
              <w:left w:val="nil"/>
              <w:bottom w:val="single" w:sz="4" w:space="0" w:color="auto"/>
              <w:right w:val="single" w:sz="4" w:space="0" w:color="auto"/>
            </w:tcBorders>
            <w:noWrap/>
            <w:hideMark/>
          </w:tcPr>
          <w:p w14:paraId="5382477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16.46</w:t>
            </w:r>
          </w:p>
        </w:tc>
        <w:tc>
          <w:tcPr>
            <w:tcW w:w="794" w:type="dxa"/>
            <w:tcBorders>
              <w:top w:val="nil"/>
              <w:left w:val="nil"/>
              <w:bottom w:val="single" w:sz="4" w:space="0" w:color="auto"/>
              <w:right w:val="single" w:sz="4" w:space="0" w:color="auto"/>
            </w:tcBorders>
            <w:noWrap/>
            <w:hideMark/>
          </w:tcPr>
          <w:p w14:paraId="47FB8DA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0.69</w:t>
            </w:r>
          </w:p>
        </w:tc>
      </w:tr>
      <w:tr w:rsidR="008755A5" w:rsidRPr="008755A5" w14:paraId="552BC9D6"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20D2A9F7"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Songkhla</w:t>
            </w:r>
          </w:p>
        </w:tc>
        <w:tc>
          <w:tcPr>
            <w:tcW w:w="850" w:type="dxa"/>
            <w:tcBorders>
              <w:top w:val="nil"/>
              <w:left w:val="nil"/>
              <w:bottom w:val="single" w:sz="4" w:space="0" w:color="auto"/>
              <w:right w:val="single" w:sz="4" w:space="0" w:color="auto"/>
            </w:tcBorders>
            <w:noWrap/>
            <w:hideMark/>
          </w:tcPr>
          <w:p w14:paraId="4CCF3E3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35</w:t>
            </w:r>
          </w:p>
        </w:tc>
        <w:tc>
          <w:tcPr>
            <w:tcW w:w="1102" w:type="dxa"/>
            <w:tcBorders>
              <w:top w:val="nil"/>
              <w:left w:val="nil"/>
              <w:bottom w:val="single" w:sz="4" w:space="0" w:color="auto"/>
              <w:right w:val="single" w:sz="4" w:space="0" w:color="auto"/>
            </w:tcBorders>
            <w:noWrap/>
            <w:hideMark/>
          </w:tcPr>
          <w:p w14:paraId="4592F43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107.07</w:t>
            </w:r>
          </w:p>
        </w:tc>
        <w:tc>
          <w:tcPr>
            <w:tcW w:w="851" w:type="dxa"/>
            <w:tcBorders>
              <w:top w:val="nil"/>
              <w:left w:val="nil"/>
              <w:bottom w:val="single" w:sz="4" w:space="0" w:color="auto"/>
              <w:right w:val="single" w:sz="4" w:space="0" w:color="auto"/>
            </w:tcBorders>
            <w:noWrap/>
            <w:hideMark/>
          </w:tcPr>
          <w:p w14:paraId="31AF9DD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0.72</w:t>
            </w:r>
          </w:p>
        </w:tc>
        <w:tc>
          <w:tcPr>
            <w:tcW w:w="1074" w:type="dxa"/>
            <w:tcBorders>
              <w:top w:val="nil"/>
              <w:left w:val="nil"/>
              <w:bottom w:val="single" w:sz="4" w:space="0" w:color="auto"/>
              <w:right w:val="single" w:sz="4" w:space="0" w:color="auto"/>
            </w:tcBorders>
            <w:noWrap/>
            <w:hideMark/>
          </w:tcPr>
          <w:p w14:paraId="39476CB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56.29</w:t>
            </w:r>
          </w:p>
        </w:tc>
        <w:tc>
          <w:tcPr>
            <w:tcW w:w="910" w:type="dxa"/>
            <w:tcBorders>
              <w:top w:val="nil"/>
              <w:left w:val="nil"/>
              <w:bottom w:val="single" w:sz="4" w:space="0" w:color="auto"/>
              <w:right w:val="single" w:sz="4" w:space="0" w:color="auto"/>
            </w:tcBorders>
            <w:noWrap/>
            <w:hideMark/>
          </w:tcPr>
          <w:p w14:paraId="04219A7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2.02</w:t>
            </w:r>
          </w:p>
        </w:tc>
        <w:tc>
          <w:tcPr>
            <w:tcW w:w="1052" w:type="dxa"/>
            <w:tcBorders>
              <w:top w:val="nil"/>
              <w:left w:val="nil"/>
              <w:bottom w:val="single" w:sz="4" w:space="0" w:color="auto"/>
              <w:right w:val="single" w:sz="4" w:space="0" w:color="auto"/>
            </w:tcBorders>
            <w:noWrap/>
            <w:hideMark/>
          </w:tcPr>
          <w:p w14:paraId="1830A59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39.49</w:t>
            </w:r>
          </w:p>
        </w:tc>
        <w:tc>
          <w:tcPr>
            <w:tcW w:w="770" w:type="dxa"/>
            <w:tcBorders>
              <w:top w:val="nil"/>
              <w:left w:val="nil"/>
              <w:bottom w:val="single" w:sz="4" w:space="0" w:color="auto"/>
              <w:right w:val="single" w:sz="4" w:space="0" w:color="auto"/>
            </w:tcBorders>
            <w:noWrap/>
            <w:hideMark/>
          </w:tcPr>
          <w:p w14:paraId="1D4D9F8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70.15</w:t>
            </w:r>
          </w:p>
        </w:tc>
        <w:tc>
          <w:tcPr>
            <w:tcW w:w="1045" w:type="dxa"/>
            <w:tcBorders>
              <w:top w:val="nil"/>
              <w:left w:val="nil"/>
              <w:bottom w:val="single" w:sz="4" w:space="0" w:color="auto"/>
              <w:right w:val="single" w:sz="4" w:space="0" w:color="auto"/>
            </w:tcBorders>
            <w:noWrap/>
            <w:hideMark/>
          </w:tcPr>
          <w:p w14:paraId="45EE83D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16.80</w:t>
            </w:r>
          </w:p>
        </w:tc>
        <w:tc>
          <w:tcPr>
            <w:tcW w:w="709" w:type="dxa"/>
            <w:tcBorders>
              <w:top w:val="nil"/>
              <w:left w:val="nil"/>
              <w:bottom w:val="single" w:sz="4" w:space="0" w:color="auto"/>
              <w:right w:val="single" w:sz="4" w:space="0" w:color="auto"/>
            </w:tcBorders>
            <w:noWrap/>
            <w:hideMark/>
          </w:tcPr>
          <w:p w14:paraId="6A44C1F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29.85</w:t>
            </w:r>
          </w:p>
        </w:tc>
        <w:tc>
          <w:tcPr>
            <w:tcW w:w="1151" w:type="dxa"/>
            <w:gridSpan w:val="2"/>
            <w:tcBorders>
              <w:top w:val="nil"/>
              <w:left w:val="nil"/>
              <w:bottom w:val="single" w:sz="4" w:space="0" w:color="auto"/>
              <w:right w:val="single" w:sz="4" w:space="0" w:color="auto"/>
            </w:tcBorders>
            <w:noWrap/>
            <w:hideMark/>
          </w:tcPr>
          <w:p w14:paraId="6AD2326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1,150</w:t>
            </w:r>
          </w:p>
        </w:tc>
        <w:tc>
          <w:tcPr>
            <w:tcW w:w="667" w:type="dxa"/>
            <w:tcBorders>
              <w:top w:val="nil"/>
              <w:left w:val="nil"/>
              <w:bottom w:val="single" w:sz="4" w:space="0" w:color="auto"/>
              <w:right w:val="single" w:sz="4" w:space="0" w:color="auto"/>
            </w:tcBorders>
            <w:noWrap/>
            <w:hideMark/>
          </w:tcPr>
          <w:p w14:paraId="1CE4045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6.86</w:t>
            </w:r>
          </w:p>
        </w:tc>
        <w:tc>
          <w:tcPr>
            <w:tcW w:w="1074" w:type="dxa"/>
            <w:tcBorders>
              <w:top w:val="nil"/>
              <w:left w:val="nil"/>
              <w:bottom w:val="single" w:sz="4" w:space="0" w:color="auto"/>
              <w:right w:val="single" w:sz="4" w:space="0" w:color="auto"/>
            </w:tcBorders>
            <w:noWrap/>
            <w:hideMark/>
          </w:tcPr>
          <w:p w14:paraId="72883C1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63.31</w:t>
            </w:r>
          </w:p>
        </w:tc>
        <w:tc>
          <w:tcPr>
            <w:tcW w:w="794" w:type="dxa"/>
            <w:tcBorders>
              <w:top w:val="nil"/>
              <w:left w:val="nil"/>
              <w:bottom w:val="single" w:sz="4" w:space="0" w:color="auto"/>
              <w:right w:val="single" w:sz="4" w:space="0" w:color="auto"/>
            </w:tcBorders>
            <w:noWrap/>
            <w:hideMark/>
          </w:tcPr>
          <w:p w14:paraId="6F77776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2.67</w:t>
            </w:r>
          </w:p>
        </w:tc>
      </w:tr>
      <w:tr w:rsidR="008755A5" w:rsidRPr="008755A5" w14:paraId="41CF022A"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0BEAEB7D"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Nakhon Si Thammarat</w:t>
            </w:r>
          </w:p>
        </w:tc>
        <w:tc>
          <w:tcPr>
            <w:tcW w:w="850" w:type="dxa"/>
            <w:tcBorders>
              <w:top w:val="nil"/>
              <w:left w:val="nil"/>
              <w:bottom w:val="single" w:sz="4" w:space="0" w:color="auto"/>
              <w:right w:val="single" w:sz="4" w:space="0" w:color="auto"/>
            </w:tcBorders>
            <w:noWrap/>
            <w:hideMark/>
          </w:tcPr>
          <w:p w14:paraId="4E58DE9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9</w:t>
            </w:r>
          </w:p>
        </w:tc>
        <w:tc>
          <w:tcPr>
            <w:tcW w:w="1102" w:type="dxa"/>
            <w:tcBorders>
              <w:top w:val="nil"/>
              <w:left w:val="nil"/>
              <w:bottom w:val="single" w:sz="4" w:space="0" w:color="auto"/>
              <w:right w:val="single" w:sz="4" w:space="0" w:color="auto"/>
            </w:tcBorders>
            <w:noWrap/>
            <w:hideMark/>
          </w:tcPr>
          <w:p w14:paraId="4260524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59.28</w:t>
            </w:r>
          </w:p>
        </w:tc>
        <w:tc>
          <w:tcPr>
            <w:tcW w:w="851" w:type="dxa"/>
            <w:tcBorders>
              <w:top w:val="nil"/>
              <w:left w:val="nil"/>
              <w:bottom w:val="single" w:sz="4" w:space="0" w:color="auto"/>
              <w:right w:val="single" w:sz="4" w:space="0" w:color="auto"/>
            </w:tcBorders>
            <w:noWrap/>
            <w:hideMark/>
          </w:tcPr>
          <w:p w14:paraId="044208B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0.40</w:t>
            </w:r>
          </w:p>
        </w:tc>
        <w:tc>
          <w:tcPr>
            <w:tcW w:w="1074" w:type="dxa"/>
            <w:tcBorders>
              <w:top w:val="nil"/>
              <w:left w:val="nil"/>
              <w:bottom w:val="single" w:sz="4" w:space="0" w:color="auto"/>
              <w:right w:val="single" w:sz="4" w:space="0" w:color="auto"/>
            </w:tcBorders>
            <w:noWrap/>
            <w:hideMark/>
          </w:tcPr>
          <w:p w14:paraId="7455763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0.17</w:t>
            </w:r>
          </w:p>
        </w:tc>
        <w:tc>
          <w:tcPr>
            <w:tcW w:w="910" w:type="dxa"/>
            <w:tcBorders>
              <w:top w:val="nil"/>
              <w:left w:val="nil"/>
              <w:bottom w:val="single" w:sz="4" w:space="0" w:color="auto"/>
              <w:right w:val="single" w:sz="4" w:space="0" w:color="auto"/>
            </w:tcBorders>
            <w:noWrap/>
            <w:hideMark/>
          </w:tcPr>
          <w:p w14:paraId="0DA6555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0.01</w:t>
            </w:r>
          </w:p>
        </w:tc>
        <w:tc>
          <w:tcPr>
            <w:tcW w:w="1052" w:type="dxa"/>
            <w:tcBorders>
              <w:top w:val="nil"/>
              <w:left w:val="nil"/>
              <w:bottom w:val="single" w:sz="4" w:space="0" w:color="auto"/>
              <w:right w:val="single" w:sz="4" w:space="0" w:color="auto"/>
            </w:tcBorders>
            <w:noWrap/>
            <w:hideMark/>
          </w:tcPr>
          <w:p w14:paraId="41238C7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0.17</w:t>
            </w:r>
          </w:p>
        </w:tc>
        <w:tc>
          <w:tcPr>
            <w:tcW w:w="770" w:type="dxa"/>
            <w:tcBorders>
              <w:top w:val="nil"/>
              <w:left w:val="nil"/>
              <w:bottom w:val="single" w:sz="4" w:space="0" w:color="auto"/>
              <w:right w:val="single" w:sz="4" w:space="0" w:color="auto"/>
            </w:tcBorders>
            <w:noWrap/>
            <w:hideMark/>
          </w:tcPr>
          <w:p w14:paraId="0BCFB59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100.00</w:t>
            </w:r>
          </w:p>
        </w:tc>
        <w:tc>
          <w:tcPr>
            <w:tcW w:w="1045" w:type="dxa"/>
            <w:tcBorders>
              <w:top w:val="nil"/>
              <w:left w:val="nil"/>
              <w:bottom w:val="single" w:sz="4" w:space="0" w:color="auto"/>
              <w:right w:val="single" w:sz="4" w:space="0" w:color="auto"/>
            </w:tcBorders>
            <w:noWrap/>
            <w:hideMark/>
          </w:tcPr>
          <w:p w14:paraId="3A7693A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09" w:type="dxa"/>
            <w:tcBorders>
              <w:top w:val="nil"/>
              <w:left w:val="nil"/>
              <w:bottom w:val="single" w:sz="4" w:space="0" w:color="auto"/>
              <w:right w:val="single" w:sz="4" w:space="0" w:color="auto"/>
            </w:tcBorders>
            <w:noWrap/>
            <w:hideMark/>
          </w:tcPr>
          <w:p w14:paraId="720B958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151" w:type="dxa"/>
            <w:gridSpan w:val="2"/>
            <w:tcBorders>
              <w:top w:val="nil"/>
              <w:left w:val="nil"/>
              <w:bottom w:val="single" w:sz="4" w:space="0" w:color="auto"/>
              <w:right w:val="single" w:sz="4" w:space="0" w:color="auto"/>
            </w:tcBorders>
            <w:noWrap/>
            <w:hideMark/>
          </w:tcPr>
          <w:p w14:paraId="4173714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580</w:t>
            </w:r>
          </w:p>
        </w:tc>
        <w:tc>
          <w:tcPr>
            <w:tcW w:w="667" w:type="dxa"/>
            <w:tcBorders>
              <w:top w:val="nil"/>
              <w:left w:val="nil"/>
              <w:bottom w:val="single" w:sz="4" w:space="0" w:color="auto"/>
              <w:right w:val="single" w:sz="4" w:space="0" w:color="auto"/>
            </w:tcBorders>
            <w:noWrap/>
            <w:hideMark/>
          </w:tcPr>
          <w:p w14:paraId="04CD443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3.46</w:t>
            </w:r>
          </w:p>
        </w:tc>
        <w:tc>
          <w:tcPr>
            <w:tcW w:w="1074" w:type="dxa"/>
            <w:tcBorders>
              <w:top w:val="nil"/>
              <w:left w:val="nil"/>
              <w:bottom w:val="single" w:sz="4" w:space="0" w:color="auto"/>
              <w:right w:val="single" w:sz="4" w:space="0" w:color="auto"/>
            </w:tcBorders>
            <w:noWrap/>
            <w:hideMark/>
          </w:tcPr>
          <w:p w14:paraId="51BE341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23.83</w:t>
            </w:r>
          </w:p>
        </w:tc>
        <w:tc>
          <w:tcPr>
            <w:tcW w:w="794" w:type="dxa"/>
            <w:tcBorders>
              <w:top w:val="nil"/>
              <w:left w:val="nil"/>
              <w:bottom w:val="single" w:sz="4" w:space="0" w:color="auto"/>
              <w:right w:val="single" w:sz="4" w:space="0" w:color="auto"/>
            </w:tcBorders>
            <w:noWrap/>
            <w:hideMark/>
          </w:tcPr>
          <w:p w14:paraId="08E12ED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1.00</w:t>
            </w:r>
          </w:p>
        </w:tc>
      </w:tr>
      <w:tr w:rsidR="008755A5" w:rsidRPr="008755A5" w14:paraId="1509B61D"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3D92DC1A"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Chumphon</w:t>
            </w:r>
          </w:p>
        </w:tc>
        <w:tc>
          <w:tcPr>
            <w:tcW w:w="850" w:type="dxa"/>
            <w:tcBorders>
              <w:top w:val="nil"/>
              <w:left w:val="nil"/>
              <w:bottom w:val="single" w:sz="4" w:space="0" w:color="auto"/>
              <w:right w:val="single" w:sz="4" w:space="0" w:color="auto"/>
            </w:tcBorders>
            <w:noWrap/>
            <w:hideMark/>
          </w:tcPr>
          <w:p w14:paraId="461298E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7</w:t>
            </w:r>
          </w:p>
        </w:tc>
        <w:tc>
          <w:tcPr>
            <w:tcW w:w="1102" w:type="dxa"/>
            <w:tcBorders>
              <w:top w:val="nil"/>
              <w:left w:val="nil"/>
              <w:bottom w:val="single" w:sz="4" w:space="0" w:color="auto"/>
              <w:right w:val="single" w:sz="4" w:space="0" w:color="auto"/>
            </w:tcBorders>
            <w:noWrap/>
            <w:hideMark/>
          </w:tcPr>
          <w:p w14:paraId="5281A0E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46.48</w:t>
            </w:r>
          </w:p>
        </w:tc>
        <w:tc>
          <w:tcPr>
            <w:tcW w:w="851" w:type="dxa"/>
            <w:tcBorders>
              <w:top w:val="nil"/>
              <w:left w:val="nil"/>
              <w:bottom w:val="single" w:sz="4" w:space="0" w:color="auto"/>
              <w:right w:val="single" w:sz="4" w:space="0" w:color="auto"/>
            </w:tcBorders>
            <w:noWrap/>
            <w:hideMark/>
          </w:tcPr>
          <w:p w14:paraId="520596F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0.31</w:t>
            </w:r>
          </w:p>
        </w:tc>
        <w:tc>
          <w:tcPr>
            <w:tcW w:w="1074" w:type="dxa"/>
            <w:tcBorders>
              <w:top w:val="nil"/>
              <w:left w:val="nil"/>
              <w:bottom w:val="single" w:sz="4" w:space="0" w:color="auto"/>
              <w:right w:val="single" w:sz="4" w:space="0" w:color="auto"/>
            </w:tcBorders>
            <w:noWrap/>
            <w:hideMark/>
          </w:tcPr>
          <w:p w14:paraId="3B7DDA5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13.46</w:t>
            </w:r>
          </w:p>
        </w:tc>
        <w:tc>
          <w:tcPr>
            <w:tcW w:w="910" w:type="dxa"/>
            <w:tcBorders>
              <w:top w:val="nil"/>
              <w:left w:val="nil"/>
              <w:bottom w:val="single" w:sz="4" w:space="0" w:color="auto"/>
              <w:right w:val="single" w:sz="4" w:space="0" w:color="auto"/>
            </w:tcBorders>
            <w:noWrap/>
            <w:hideMark/>
          </w:tcPr>
          <w:p w14:paraId="662E66E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0.48</w:t>
            </w:r>
          </w:p>
        </w:tc>
        <w:tc>
          <w:tcPr>
            <w:tcW w:w="1052" w:type="dxa"/>
            <w:tcBorders>
              <w:top w:val="nil"/>
              <w:left w:val="nil"/>
              <w:bottom w:val="single" w:sz="4" w:space="0" w:color="auto"/>
              <w:right w:val="single" w:sz="4" w:space="0" w:color="auto"/>
            </w:tcBorders>
            <w:noWrap/>
            <w:hideMark/>
          </w:tcPr>
          <w:p w14:paraId="1D2E1B8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13.46</w:t>
            </w:r>
          </w:p>
        </w:tc>
        <w:tc>
          <w:tcPr>
            <w:tcW w:w="770" w:type="dxa"/>
            <w:tcBorders>
              <w:top w:val="nil"/>
              <w:left w:val="nil"/>
              <w:bottom w:val="single" w:sz="4" w:space="0" w:color="auto"/>
              <w:right w:val="single" w:sz="4" w:space="0" w:color="auto"/>
            </w:tcBorders>
            <w:noWrap/>
            <w:hideMark/>
          </w:tcPr>
          <w:p w14:paraId="0CE22C8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100.00</w:t>
            </w:r>
          </w:p>
        </w:tc>
        <w:tc>
          <w:tcPr>
            <w:tcW w:w="1045" w:type="dxa"/>
            <w:tcBorders>
              <w:top w:val="nil"/>
              <w:left w:val="nil"/>
              <w:bottom w:val="single" w:sz="4" w:space="0" w:color="auto"/>
              <w:right w:val="single" w:sz="4" w:space="0" w:color="auto"/>
            </w:tcBorders>
            <w:noWrap/>
            <w:hideMark/>
          </w:tcPr>
          <w:p w14:paraId="5BD3433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09" w:type="dxa"/>
            <w:tcBorders>
              <w:top w:val="nil"/>
              <w:left w:val="nil"/>
              <w:bottom w:val="single" w:sz="4" w:space="0" w:color="auto"/>
              <w:right w:val="single" w:sz="4" w:space="0" w:color="auto"/>
            </w:tcBorders>
            <w:noWrap/>
            <w:hideMark/>
          </w:tcPr>
          <w:p w14:paraId="52C728D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151" w:type="dxa"/>
            <w:gridSpan w:val="2"/>
            <w:tcBorders>
              <w:top w:val="nil"/>
              <w:left w:val="nil"/>
              <w:bottom w:val="single" w:sz="4" w:space="0" w:color="auto"/>
              <w:right w:val="single" w:sz="4" w:space="0" w:color="auto"/>
            </w:tcBorders>
            <w:noWrap/>
            <w:hideMark/>
          </w:tcPr>
          <w:p w14:paraId="3D779ED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237</w:t>
            </w:r>
          </w:p>
        </w:tc>
        <w:tc>
          <w:tcPr>
            <w:tcW w:w="667" w:type="dxa"/>
            <w:tcBorders>
              <w:top w:val="nil"/>
              <w:left w:val="nil"/>
              <w:bottom w:val="single" w:sz="4" w:space="0" w:color="auto"/>
              <w:right w:val="single" w:sz="4" w:space="0" w:color="auto"/>
            </w:tcBorders>
            <w:noWrap/>
            <w:hideMark/>
          </w:tcPr>
          <w:p w14:paraId="3115A84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1.41</w:t>
            </w:r>
          </w:p>
        </w:tc>
        <w:tc>
          <w:tcPr>
            <w:tcW w:w="1074" w:type="dxa"/>
            <w:tcBorders>
              <w:top w:val="nil"/>
              <w:left w:val="nil"/>
              <w:bottom w:val="single" w:sz="4" w:space="0" w:color="auto"/>
              <w:right w:val="single" w:sz="4" w:space="0" w:color="auto"/>
            </w:tcBorders>
            <w:noWrap/>
            <w:hideMark/>
          </w:tcPr>
          <w:p w14:paraId="26E55D2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16.94</w:t>
            </w:r>
          </w:p>
        </w:tc>
        <w:tc>
          <w:tcPr>
            <w:tcW w:w="794" w:type="dxa"/>
            <w:tcBorders>
              <w:top w:val="nil"/>
              <w:left w:val="nil"/>
              <w:bottom w:val="single" w:sz="4" w:space="0" w:color="auto"/>
              <w:right w:val="single" w:sz="4" w:space="0" w:color="auto"/>
            </w:tcBorders>
            <w:noWrap/>
            <w:hideMark/>
          </w:tcPr>
          <w:p w14:paraId="48342F5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0.71</w:t>
            </w:r>
          </w:p>
        </w:tc>
      </w:tr>
      <w:tr w:rsidR="008755A5" w:rsidRPr="008755A5" w14:paraId="472869A4"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309C3A46"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Surat Thani</w:t>
            </w:r>
          </w:p>
        </w:tc>
        <w:tc>
          <w:tcPr>
            <w:tcW w:w="850" w:type="dxa"/>
            <w:tcBorders>
              <w:top w:val="nil"/>
              <w:left w:val="nil"/>
              <w:bottom w:val="single" w:sz="4" w:space="0" w:color="auto"/>
              <w:right w:val="single" w:sz="4" w:space="0" w:color="auto"/>
            </w:tcBorders>
            <w:noWrap/>
            <w:hideMark/>
          </w:tcPr>
          <w:p w14:paraId="74744AB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24</w:t>
            </w:r>
          </w:p>
        </w:tc>
        <w:tc>
          <w:tcPr>
            <w:tcW w:w="1102" w:type="dxa"/>
            <w:tcBorders>
              <w:top w:val="nil"/>
              <w:left w:val="nil"/>
              <w:bottom w:val="single" w:sz="4" w:space="0" w:color="auto"/>
              <w:right w:val="single" w:sz="4" w:space="0" w:color="auto"/>
            </w:tcBorders>
            <w:noWrap/>
            <w:hideMark/>
          </w:tcPr>
          <w:p w14:paraId="2C62828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36.27</w:t>
            </w:r>
          </w:p>
        </w:tc>
        <w:tc>
          <w:tcPr>
            <w:tcW w:w="851" w:type="dxa"/>
            <w:tcBorders>
              <w:top w:val="nil"/>
              <w:left w:val="nil"/>
              <w:bottom w:val="single" w:sz="4" w:space="0" w:color="auto"/>
              <w:right w:val="single" w:sz="4" w:space="0" w:color="auto"/>
            </w:tcBorders>
            <w:noWrap/>
            <w:hideMark/>
          </w:tcPr>
          <w:p w14:paraId="5A3561C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0.24</w:t>
            </w:r>
          </w:p>
        </w:tc>
        <w:tc>
          <w:tcPr>
            <w:tcW w:w="1074" w:type="dxa"/>
            <w:tcBorders>
              <w:top w:val="nil"/>
              <w:left w:val="nil"/>
              <w:bottom w:val="single" w:sz="4" w:space="0" w:color="auto"/>
              <w:right w:val="single" w:sz="4" w:space="0" w:color="auto"/>
            </w:tcBorders>
            <w:noWrap/>
            <w:hideMark/>
          </w:tcPr>
          <w:p w14:paraId="4CF61EF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4.09</w:t>
            </w:r>
          </w:p>
        </w:tc>
        <w:tc>
          <w:tcPr>
            <w:tcW w:w="910" w:type="dxa"/>
            <w:tcBorders>
              <w:top w:val="nil"/>
              <w:left w:val="nil"/>
              <w:bottom w:val="single" w:sz="4" w:space="0" w:color="auto"/>
              <w:right w:val="single" w:sz="4" w:space="0" w:color="auto"/>
            </w:tcBorders>
            <w:noWrap/>
            <w:hideMark/>
          </w:tcPr>
          <w:p w14:paraId="190E984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0.15</w:t>
            </w:r>
          </w:p>
        </w:tc>
        <w:tc>
          <w:tcPr>
            <w:tcW w:w="1052" w:type="dxa"/>
            <w:tcBorders>
              <w:top w:val="nil"/>
              <w:left w:val="nil"/>
              <w:bottom w:val="single" w:sz="4" w:space="0" w:color="auto"/>
              <w:right w:val="single" w:sz="4" w:space="0" w:color="auto"/>
            </w:tcBorders>
            <w:noWrap/>
            <w:hideMark/>
          </w:tcPr>
          <w:p w14:paraId="5FF4147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4.03</w:t>
            </w:r>
          </w:p>
        </w:tc>
        <w:tc>
          <w:tcPr>
            <w:tcW w:w="770" w:type="dxa"/>
            <w:tcBorders>
              <w:top w:val="nil"/>
              <w:left w:val="nil"/>
              <w:bottom w:val="single" w:sz="4" w:space="0" w:color="auto"/>
              <w:right w:val="single" w:sz="4" w:space="0" w:color="auto"/>
            </w:tcBorders>
            <w:noWrap/>
            <w:hideMark/>
          </w:tcPr>
          <w:p w14:paraId="31C1CFB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98.60</w:t>
            </w:r>
          </w:p>
        </w:tc>
        <w:tc>
          <w:tcPr>
            <w:tcW w:w="1045" w:type="dxa"/>
            <w:tcBorders>
              <w:top w:val="nil"/>
              <w:left w:val="nil"/>
              <w:bottom w:val="single" w:sz="4" w:space="0" w:color="auto"/>
              <w:right w:val="single" w:sz="4" w:space="0" w:color="auto"/>
            </w:tcBorders>
            <w:noWrap/>
            <w:hideMark/>
          </w:tcPr>
          <w:p w14:paraId="734A084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0.06</w:t>
            </w:r>
          </w:p>
        </w:tc>
        <w:tc>
          <w:tcPr>
            <w:tcW w:w="709" w:type="dxa"/>
            <w:tcBorders>
              <w:top w:val="nil"/>
              <w:left w:val="nil"/>
              <w:bottom w:val="single" w:sz="4" w:space="0" w:color="auto"/>
              <w:right w:val="single" w:sz="4" w:space="0" w:color="auto"/>
            </w:tcBorders>
            <w:noWrap/>
            <w:hideMark/>
          </w:tcPr>
          <w:p w14:paraId="7A2B739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1.40</w:t>
            </w:r>
          </w:p>
        </w:tc>
        <w:tc>
          <w:tcPr>
            <w:tcW w:w="1151" w:type="dxa"/>
            <w:gridSpan w:val="2"/>
            <w:tcBorders>
              <w:top w:val="nil"/>
              <w:left w:val="nil"/>
              <w:bottom w:val="single" w:sz="4" w:space="0" w:color="auto"/>
              <w:right w:val="single" w:sz="4" w:space="0" w:color="auto"/>
            </w:tcBorders>
            <w:noWrap/>
            <w:hideMark/>
          </w:tcPr>
          <w:p w14:paraId="6FFF2B5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3,468</w:t>
            </w:r>
          </w:p>
        </w:tc>
        <w:tc>
          <w:tcPr>
            <w:tcW w:w="667" w:type="dxa"/>
            <w:tcBorders>
              <w:top w:val="nil"/>
              <w:left w:val="nil"/>
              <w:bottom w:val="single" w:sz="4" w:space="0" w:color="auto"/>
              <w:right w:val="single" w:sz="4" w:space="0" w:color="auto"/>
            </w:tcBorders>
            <w:noWrap/>
            <w:hideMark/>
          </w:tcPr>
          <w:p w14:paraId="2B2DC82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20.68</w:t>
            </w:r>
          </w:p>
        </w:tc>
        <w:tc>
          <w:tcPr>
            <w:tcW w:w="1074" w:type="dxa"/>
            <w:tcBorders>
              <w:top w:val="nil"/>
              <w:left w:val="nil"/>
              <w:bottom w:val="single" w:sz="4" w:space="0" w:color="auto"/>
              <w:right w:val="single" w:sz="4" w:space="0" w:color="auto"/>
            </w:tcBorders>
            <w:noWrap/>
            <w:hideMark/>
          </w:tcPr>
          <w:p w14:paraId="166522A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244.83</w:t>
            </w:r>
          </w:p>
        </w:tc>
        <w:tc>
          <w:tcPr>
            <w:tcW w:w="794" w:type="dxa"/>
            <w:tcBorders>
              <w:top w:val="nil"/>
              <w:left w:val="nil"/>
              <w:bottom w:val="single" w:sz="4" w:space="0" w:color="auto"/>
              <w:right w:val="single" w:sz="4" w:space="0" w:color="auto"/>
            </w:tcBorders>
            <w:noWrap/>
            <w:hideMark/>
          </w:tcPr>
          <w:p w14:paraId="40EFB61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10.31</w:t>
            </w:r>
          </w:p>
        </w:tc>
      </w:tr>
      <w:tr w:rsidR="008755A5" w:rsidRPr="008755A5" w14:paraId="73556F03"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74698CA5"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Prachuap Khiri Khan</w:t>
            </w:r>
          </w:p>
        </w:tc>
        <w:tc>
          <w:tcPr>
            <w:tcW w:w="850" w:type="dxa"/>
            <w:tcBorders>
              <w:top w:val="nil"/>
              <w:left w:val="nil"/>
              <w:bottom w:val="single" w:sz="4" w:space="0" w:color="auto"/>
              <w:right w:val="single" w:sz="4" w:space="0" w:color="auto"/>
            </w:tcBorders>
            <w:noWrap/>
            <w:hideMark/>
          </w:tcPr>
          <w:p w14:paraId="10458E8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7</w:t>
            </w:r>
          </w:p>
        </w:tc>
        <w:tc>
          <w:tcPr>
            <w:tcW w:w="1102" w:type="dxa"/>
            <w:tcBorders>
              <w:top w:val="nil"/>
              <w:left w:val="nil"/>
              <w:bottom w:val="single" w:sz="4" w:space="0" w:color="auto"/>
              <w:right w:val="single" w:sz="4" w:space="0" w:color="auto"/>
            </w:tcBorders>
            <w:noWrap/>
            <w:hideMark/>
          </w:tcPr>
          <w:p w14:paraId="5778A86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23.91</w:t>
            </w:r>
          </w:p>
        </w:tc>
        <w:tc>
          <w:tcPr>
            <w:tcW w:w="851" w:type="dxa"/>
            <w:tcBorders>
              <w:top w:val="nil"/>
              <w:left w:val="nil"/>
              <w:bottom w:val="single" w:sz="4" w:space="0" w:color="auto"/>
              <w:right w:val="single" w:sz="4" w:space="0" w:color="auto"/>
            </w:tcBorders>
            <w:noWrap/>
            <w:hideMark/>
          </w:tcPr>
          <w:p w14:paraId="4AE06FF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0.16</w:t>
            </w:r>
          </w:p>
        </w:tc>
        <w:tc>
          <w:tcPr>
            <w:tcW w:w="1074" w:type="dxa"/>
            <w:tcBorders>
              <w:top w:val="nil"/>
              <w:left w:val="nil"/>
              <w:bottom w:val="single" w:sz="4" w:space="0" w:color="auto"/>
              <w:right w:val="single" w:sz="4" w:space="0" w:color="auto"/>
            </w:tcBorders>
            <w:noWrap/>
            <w:hideMark/>
          </w:tcPr>
          <w:p w14:paraId="1F33878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0.00</w:t>
            </w:r>
          </w:p>
        </w:tc>
        <w:tc>
          <w:tcPr>
            <w:tcW w:w="910" w:type="dxa"/>
            <w:tcBorders>
              <w:top w:val="nil"/>
              <w:left w:val="nil"/>
              <w:bottom w:val="single" w:sz="4" w:space="0" w:color="auto"/>
              <w:right w:val="single" w:sz="4" w:space="0" w:color="auto"/>
            </w:tcBorders>
            <w:noWrap/>
            <w:hideMark/>
          </w:tcPr>
          <w:p w14:paraId="16E3467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0.00</w:t>
            </w:r>
          </w:p>
        </w:tc>
        <w:tc>
          <w:tcPr>
            <w:tcW w:w="1052" w:type="dxa"/>
            <w:tcBorders>
              <w:top w:val="nil"/>
              <w:left w:val="nil"/>
              <w:bottom w:val="single" w:sz="4" w:space="0" w:color="auto"/>
              <w:right w:val="single" w:sz="4" w:space="0" w:color="auto"/>
            </w:tcBorders>
            <w:noWrap/>
            <w:hideMark/>
          </w:tcPr>
          <w:p w14:paraId="2813502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70" w:type="dxa"/>
            <w:tcBorders>
              <w:top w:val="nil"/>
              <w:left w:val="nil"/>
              <w:bottom w:val="single" w:sz="4" w:space="0" w:color="auto"/>
              <w:right w:val="single" w:sz="4" w:space="0" w:color="auto"/>
            </w:tcBorders>
            <w:noWrap/>
            <w:hideMark/>
          </w:tcPr>
          <w:p w14:paraId="07F7750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045" w:type="dxa"/>
            <w:tcBorders>
              <w:top w:val="nil"/>
              <w:left w:val="nil"/>
              <w:bottom w:val="single" w:sz="4" w:space="0" w:color="auto"/>
              <w:right w:val="single" w:sz="4" w:space="0" w:color="auto"/>
            </w:tcBorders>
            <w:noWrap/>
            <w:hideMark/>
          </w:tcPr>
          <w:p w14:paraId="3B50C37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09" w:type="dxa"/>
            <w:tcBorders>
              <w:top w:val="nil"/>
              <w:left w:val="nil"/>
              <w:bottom w:val="single" w:sz="4" w:space="0" w:color="auto"/>
              <w:right w:val="single" w:sz="4" w:space="0" w:color="auto"/>
            </w:tcBorders>
            <w:noWrap/>
            <w:hideMark/>
          </w:tcPr>
          <w:p w14:paraId="2466873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151" w:type="dxa"/>
            <w:gridSpan w:val="2"/>
            <w:tcBorders>
              <w:top w:val="nil"/>
              <w:left w:val="nil"/>
              <w:bottom w:val="single" w:sz="4" w:space="0" w:color="auto"/>
              <w:right w:val="single" w:sz="4" w:space="0" w:color="auto"/>
            </w:tcBorders>
            <w:noWrap/>
            <w:hideMark/>
          </w:tcPr>
          <w:p w14:paraId="0C5F0A0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626</w:t>
            </w:r>
          </w:p>
        </w:tc>
        <w:tc>
          <w:tcPr>
            <w:tcW w:w="667" w:type="dxa"/>
            <w:tcBorders>
              <w:top w:val="nil"/>
              <w:left w:val="nil"/>
              <w:bottom w:val="single" w:sz="4" w:space="0" w:color="auto"/>
              <w:right w:val="single" w:sz="4" w:space="0" w:color="auto"/>
            </w:tcBorders>
            <w:noWrap/>
            <w:hideMark/>
          </w:tcPr>
          <w:p w14:paraId="351154D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3.73</w:t>
            </w:r>
          </w:p>
        </w:tc>
        <w:tc>
          <w:tcPr>
            <w:tcW w:w="1074" w:type="dxa"/>
            <w:tcBorders>
              <w:top w:val="nil"/>
              <w:left w:val="nil"/>
              <w:bottom w:val="single" w:sz="4" w:space="0" w:color="auto"/>
              <w:right w:val="single" w:sz="4" w:space="0" w:color="auto"/>
            </w:tcBorders>
            <w:noWrap/>
            <w:hideMark/>
          </w:tcPr>
          <w:p w14:paraId="74F1685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33.43</w:t>
            </w:r>
          </w:p>
        </w:tc>
        <w:tc>
          <w:tcPr>
            <w:tcW w:w="794" w:type="dxa"/>
            <w:tcBorders>
              <w:top w:val="nil"/>
              <w:left w:val="nil"/>
              <w:bottom w:val="single" w:sz="4" w:space="0" w:color="auto"/>
              <w:right w:val="single" w:sz="4" w:space="0" w:color="auto"/>
            </w:tcBorders>
            <w:noWrap/>
            <w:hideMark/>
          </w:tcPr>
          <w:p w14:paraId="6C3CCB7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1.41</w:t>
            </w:r>
          </w:p>
        </w:tc>
      </w:tr>
      <w:tr w:rsidR="008755A5" w:rsidRPr="008755A5" w14:paraId="67ECABCA"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2F90B283"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Trat</w:t>
            </w:r>
          </w:p>
        </w:tc>
        <w:tc>
          <w:tcPr>
            <w:tcW w:w="850" w:type="dxa"/>
            <w:tcBorders>
              <w:top w:val="nil"/>
              <w:left w:val="nil"/>
              <w:bottom w:val="single" w:sz="4" w:space="0" w:color="auto"/>
              <w:right w:val="single" w:sz="4" w:space="0" w:color="auto"/>
            </w:tcBorders>
            <w:noWrap/>
            <w:hideMark/>
          </w:tcPr>
          <w:p w14:paraId="5D1D1F2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w:t>
            </w:r>
          </w:p>
        </w:tc>
        <w:tc>
          <w:tcPr>
            <w:tcW w:w="1102" w:type="dxa"/>
            <w:tcBorders>
              <w:top w:val="nil"/>
              <w:left w:val="nil"/>
              <w:bottom w:val="single" w:sz="4" w:space="0" w:color="auto"/>
              <w:right w:val="single" w:sz="4" w:space="0" w:color="auto"/>
            </w:tcBorders>
            <w:noWrap/>
            <w:hideMark/>
          </w:tcPr>
          <w:p w14:paraId="4140497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10.64</w:t>
            </w:r>
          </w:p>
        </w:tc>
        <w:tc>
          <w:tcPr>
            <w:tcW w:w="851" w:type="dxa"/>
            <w:tcBorders>
              <w:top w:val="nil"/>
              <w:left w:val="nil"/>
              <w:bottom w:val="single" w:sz="4" w:space="0" w:color="auto"/>
              <w:right w:val="single" w:sz="4" w:space="0" w:color="auto"/>
            </w:tcBorders>
            <w:noWrap/>
            <w:hideMark/>
          </w:tcPr>
          <w:p w14:paraId="5A50676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0.07</w:t>
            </w:r>
          </w:p>
        </w:tc>
        <w:tc>
          <w:tcPr>
            <w:tcW w:w="1074" w:type="dxa"/>
            <w:tcBorders>
              <w:top w:val="nil"/>
              <w:left w:val="nil"/>
              <w:bottom w:val="single" w:sz="4" w:space="0" w:color="auto"/>
              <w:right w:val="single" w:sz="4" w:space="0" w:color="auto"/>
            </w:tcBorders>
            <w:noWrap/>
            <w:hideMark/>
          </w:tcPr>
          <w:p w14:paraId="599C95B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0.00</w:t>
            </w:r>
          </w:p>
        </w:tc>
        <w:tc>
          <w:tcPr>
            <w:tcW w:w="910" w:type="dxa"/>
            <w:tcBorders>
              <w:top w:val="nil"/>
              <w:left w:val="nil"/>
              <w:bottom w:val="single" w:sz="4" w:space="0" w:color="auto"/>
              <w:right w:val="single" w:sz="4" w:space="0" w:color="auto"/>
            </w:tcBorders>
            <w:noWrap/>
            <w:hideMark/>
          </w:tcPr>
          <w:p w14:paraId="6728748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0.00</w:t>
            </w:r>
          </w:p>
        </w:tc>
        <w:tc>
          <w:tcPr>
            <w:tcW w:w="1052" w:type="dxa"/>
            <w:tcBorders>
              <w:top w:val="nil"/>
              <w:left w:val="nil"/>
              <w:bottom w:val="single" w:sz="4" w:space="0" w:color="auto"/>
              <w:right w:val="single" w:sz="4" w:space="0" w:color="auto"/>
            </w:tcBorders>
            <w:noWrap/>
            <w:hideMark/>
          </w:tcPr>
          <w:p w14:paraId="160A6FB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70" w:type="dxa"/>
            <w:tcBorders>
              <w:top w:val="nil"/>
              <w:left w:val="nil"/>
              <w:bottom w:val="single" w:sz="4" w:space="0" w:color="auto"/>
              <w:right w:val="single" w:sz="4" w:space="0" w:color="auto"/>
            </w:tcBorders>
            <w:noWrap/>
            <w:hideMark/>
          </w:tcPr>
          <w:p w14:paraId="296C030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045" w:type="dxa"/>
            <w:tcBorders>
              <w:top w:val="nil"/>
              <w:left w:val="nil"/>
              <w:bottom w:val="single" w:sz="4" w:space="0" w:color="auto"/>
              <w:right w:val="single" w:sz="4" w:space="0" w:color="auto"/>
            </w:tcBorders>
            <w:noWrap/>
            <w:hideMark/>
          </w:tcPr>
          <w:p w14:paraId="2FBC73E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09" w:type="dxa"/>
            <w:tcBorders>
              <w:top w:val="nil"/>
              <w:left w:val="nil"/>
              <w:bottom w:val="single" w:sz="4" w:space="0" w:color="auto"/>
              <w:right w:val="single" w:sz="4" w:space="0" w:color="auto"/>
            </w:tcBorders>
            <w:noWrap/>
            <w:hideMark/>
          </w:tcPr>
          <w:p w14:paraId="6BB6B79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151" w:type="dxa"/>
            <w:gridSpan w:val="2"/>
            <w:tcBorders>
              <w:top w:val="nil"/>
              <w:left w:val="nil"/>
              <w:bottom w:val="single" w:sz="4" w:space="0" w:color="auto"/>
              <w:right w:val="single" w:sz="4" w:space="0" w:color="auto"/>
            </w:tcBorders>
            <w:noWrap/>
            <w:hideMark/>
          </w:tcPr>
          <w:p w14:paraId="5BADD37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117</w:t>
            </w:r>
          </w:p>
        </w:tc>
        <w:tc>
          <w:tcPr>
            <w:tcW w:w="667" w:type="dxa"/>
            <w:tcBorders>
              <w:top w:val="nil"/>
              <w:left w:val="nil"/>
              <w:bottom w:val="single" w:sz="4" w:space="0" w:color="auto"/>
              <w:right w:val="single" w:sz="4" w:space="0" w:color="auto"/>
            </w:tcBorders>
            <w:noWrap/>
            <w:hideMark/>
          </w:tcPr>
          <w:p w14:paraId="3695DA9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0.70</w:t>
            </w:r>
          </w:p>
        </w:tc>
        <w:tc>
          <w:tcPr>
            <w:tcW w:w="1074" w:type="dxa"/>
            <w:tcBorders>
              <w:top w:val="nil"/>
              <w:left w:val="nil"/>
              <w:bottom w:val="single" w:sz="4" w:space="0" w:color="auto"/>
              <w:right w:val="single" w:sz="4" w:space="0" w:color="auto"/>
            </w:tcBorders>
            <w:noWrap/>
            <w:hideMark/>
          </w:tcPr>
          <w:p w14:paraId="2DEF975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5.40</w:t>
            </w:r>
          </w:p>
        </w:tc>
        <w:tc>
          <w:tcPr>
            <w:tcW w:w="794" w:type="dxa"/>
            <w:tcBorders>
              <w:top w:val="nil"/>
              <w:left w:val="nil"/>
              <w:bottom w:val="single" w:sz="4" w:space="0" w:color="auto"/>
              <w:right w:val="single" w:sz="4" w:space="0" w:color="auto"/>
            </w:tcBorders>
            <w:noWrap/>
            <w:hideMark/>
          </w:tcPr>
          <w:p w14:paraId="5B8DBF3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0.23</w:t>
            </w:r>
          </w:p>
        </w:tc>
      </w:tr>
      <w:tr w:rsidR="008755A5" w:rsidRPr="008755A5" w14:paraId="1BF2D5CC"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7D876149"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Samut Songkhram</w:t>
            </w:r>
          </w:p>
        </w:tc>
        <w:tc>
          <w:tcPr>
            <w:tcW w:w="850" w:type="dxa"/>
            <w:tcBorders>
              <w:top w:val="nil"/>
              <w:left w:val="nil"/>
              <w:bottom w:val="single" w:sz="4" w:space="0" w:color="auto"/>
              <w:right w:val="single" w:sz="4" w:space="0" w:color="auto"/>
            </w:tcBorders>
            <w:noWrap/>
            <w:hideMark/>
          </w:tcPr>
          <w:p w14:paraId="4DAC25D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w:t>
            </w:r>
          </w:p>
        </w:tc>
        <w:tc>
          <w:tcPr>
            <w:tcW w:w="1102" w:type="dxa"/>
            <w:tcBorders>
              <w:top w:val="nil"/>
              <w:left w:val="nil"/>
              <w:bottom w:val="single" w:sz="4" w:space="0" w:color="auto"/>
              <w:right w:val="single" w:sz="4" w:space="0" w:color="auto"/>
            </w:tcBorders>
            <w:noWrap/>
            <w:hideMark/>
          </w:tcPr>
          <w:p w14:paraId="6035119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6.40</w:t>
            </w:r>
          </w:p>
        </w:tc>
        <w:tc>
          <w:tcPr>
            <w:tcW w:w="851" w:type="dxa"/>
            <w:tcBorders>
              <w:top w:val="nil"/>
              <w:left w:val="nil"/>
              <w:bottom w:val="single" w:sz="4" w:space="0" w:color="auto"/>
              <w:right w:val="single" w:sz="4" w:space="0" w:color="auto"/>
            </w:tcBorders>
            <w:noWrap/>
            <w:hideMark/>
          </w:tcPr>
          <w:p w14:paraId="6EF1595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0.04</w:t>
            </w:r>
          </w:p>
        </w:tc>
        <w:tc>
          <w:tcPr>
            <w:tcW w:w="1074" w:type="dxa"/>
            <w:tcBorders>
              <w:top w:val="nil"/>
              <w:left w:val="nil"/>
              <w:bottom w:val="single" w:sz="4" w:space="0" w:color="auto"/>
              <w:right w:val="single" w:sz="4" w:space="0" w:color="auto"/>
            </w:tcBorders>
            <w:noWrap/>
            <w:hideMark/>
          </w:tcPr>
          <w:p w14:paraId="3BFD96B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0.11</w:t>
            </w:r>
          </w:p>
        </w:tc>
        <w:tc>
          <w:tcPr>
            <w:tcW w:w="910" w:type="dxa"/>
            <w:tcBorders>
              <w:top w:val="nil"/>
              <w:left w:val="nil"/>
              <w:bottom w:val="single" w:sz="4" w:space="0" w:color="auto"/>
              <w:right w:val="single" w:sz="4" w:space="0" w:color="auto"/>
            </w:tcBorders>
            <w:noWrap/>
            <w:hideMark/>
          </w:tcPr>
          <w:p w14:paraId="0A8B5C7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0.00</w:t>
            </w:r>
          </w:p>
        </w:tc>
        <w:tc>
          <w:tcPr>
            <w:tcW w:w="1052" w:type="dxa"/>
            <w:tcBorders>
              <w:top w:val="nil"/>
              <w:left w:val="nil"/>
              <w:bottom w:val="single" w:sz="4" w:space="0" w:color="auto"/>
              <w:right w:val="single" w:sz="4" w:space="0" w:color="auto"/>
            </w:tcBorders>
            <w:noWrap/>
            <w:hideMark/>
          </w:tcPr>
          <w:p w14:paraId="1F6742B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0.11</w:t>
            </w:r>
          </w:p>
        </w:tc>
        <w:tc>
          <w:tcPr>
            <w:tcW w:w="770" w:type="dxa"/>
            <w:tcBorders>
              <w:top w:val="nil"/>
              <w:left w:val="nil"/>
              <w:bottom w:val="single" w:sz="4" w:space="0" w:color="auto"/>
              <w:right w:val="single" w:sz="4" w:space="0" w:color="auto"/>
            </w:tcBorders>
            <w:noWrap/>
            <w:hideMark/>
          </w:tcPr>
          <w:p w14:paraId="5776EEC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100.00</w:t>
            </w:r>
          </w:p>
        </w:tc>
        <w:tc>
          <w:tcPr>
            <w:tcW w:w="1045" w:type="dxa"/>
            <w:tcBorders>
              <w:top w:val="nil"/>
              <w:left w:val="nil"/>
              <w:bottom w:val="single" w:sz="4" w:space="0" w:color="auto"/>
              <w:right w:val="single" w:sz="4" w:space="0" w:color="auto"/>
            </w:tcBorders>
            <w:noWrap/>
            <w:hideMark/>
          </w:tcPr>
          <w:p w14:paraId="08B3E82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09" w:type="dxa"/>
            <w:tcBorders>
              <w:top w:val="nil"/>
              <w:left w:val="nil"/>
              <w:bottom w:val="single" w:sz="4" w:space="0" w:color="auto"/>
              <w:right w:val="single" w:sz="4" w:space="0" w:color="auto"/>
            </w:tcBorders>
            <w:noWrap/>
            <w:hideMark/>
          </w:tcPr>
          <w:p w14:paraId="78DE8E3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151" w:type="dxa"/>
            <w:gridSpan w:val="2"/>
            <w:tcBorders>
              <w:top w:val="nil"/>
              <w:left w:val="nil"/>
              <w:bottom w:val="single" w:sz="4" w:space="0" w:color="auto"/>
              <w:right w:val="single" w:sz="4" w:space="0" w:color="auto"/>
            </w:tcBorders>
            <w:noWrap/>
            <w:hideMark/>
          </w:tcPr>
          <w:p w14:paraId="0D02B09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123</w:t>
            </w:r>
          </w:p>
        </w:tc>
        <w:tc>
          <w:tcPr>
            <w:tcW w:w="667" w:type="dxa"/>
            <w:tcBorders>
              <w:top w:val="nil"/>
              <w:left w:val="nil"/>
              <w:bottom w:val="single" w:sz="4" w:space="0" w:color="auto"/>
              <w:right w:val="single" w:sz="4" w:space="0" w:color="auto"/>
            </w:tcBorders>
            <w:noWrap/>
            <w:hideMark/>
          </w:tcPr>
          <w:p w14:paraId="3B3D7E2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0.73</w:t>
            </w:r>
          </w:p>
        </w:tc>
        <w:tc>
          <w:tcPr>
            <w:tcW w:w="1074" w:type="dxa"/>
            <w:tcBorders>
              <w:top w:val="nil"/>
              <w:left w:val="nil"/>
              <w:bottom w:val="single" w:sz="4" w:space="0" w:color="auto"/>
              <w:right w:val="single" w:sz="4" w:space="0" w:color="auto"/>
            </w:tcBorders>
            <w:noWrap/>
            <w:hideMark/>
          </w:tcPr>
          <w:p w14:paraId="411E5EB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4.71</w:t>
            </w:r>
          </w:p>
        </w:tc>
        <w:tc>
          <w:tcPr>
            <w:tcW w:w="794" w:type="dxa"/>
            <w:tcBorders>
              <w:top w:val="nil"/>
              <w:left w:val="nil"/>
              <w:bottom w:val="single" w:sz="4" w:space="0" w:color="auto"/>
              <w:right w:val="single" w:sz="4" w:space="0" w:color="auto"/>
            </w:tcBorders>
            <w:noWrap/>
            <w:hideMark/>
          </w:tcPr>
          <w:p w14:paraId="4524483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0.20</w:t>
            </w:r>
          </w:p>
        </w:tc>
      </w:tr>
      <w:tr w:rsidR="008755A5" w:rsidRPr="008755A5" w14:paraId="5626CB3B"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4E00C3F5"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Chanthaburi</w:t>
            </w:r>
          </w:p>
        </w:tc>
        <w:tc>
          <w:tcPr>
            <w:tcW w:w="850" w:type="dxa"/>
            <w:tcBorders>
              <w:top w:val="nil"/>
              <w:left w:val="nil"/>
              <w:bottom w:val="single" w:sz="4" w:space="0" w:color="auto"/>
              <w:right w:val="single" w:sz="4" w:space="0" w:color="auto"/>
            </w:tcBorders>
            <w:noWrap/>
            <w:hideMark/>
          </w:tcPr>
          <w:p w14:paraId="0E6A6779"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w:t>
            </w:r>
          </w:p>
        </w:tc>
        <w:tc>
          <w:tcPr>
            <w:tcW w:w="1102" w:type="dxa"/>
            <w:tcBorders>
              <w:top w:val="nil"/>
              <w:left w:val="nil"/>
              <w:bottom w:val="single" w:sz="4" w:space="0" w:color="auto"/>
              <w:right w:val="single" w:sz="4" w:space="0" w:color="auto"/>
            </w:tcBorders>
            <w:noWrap/>
            <w:hideMark/>
          </w:tcPr>
          <w:p w14:paraId="23103BC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5.55</w:t>
            </w:r>
          </w:p>
        </w:tc>
        <w:tc>
          <w:tcPr>
            <w:tcW w:w="851" w:type="dxa"/>
            <w:tcBorders>
              <w:top w:val="nil"/>
              <w:left w:val="nil"/>
              <w:bottom w:val="single" w:sz="4" w:space="0" w:color="auto"/>
              <w:right w:val="single" w:sz="4" w:space="0" w:color="auto"/>
            </w:tcBorders>
            <w:noWrap/>
            <w:hideMark/>
          </w:tcPr>
          <w:p w14:paraId="40D27C0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0.04</w:t>
            </w:r>
          </w:p>
        </w:tc>
        <w:tc>
          <w:tcPr>
            <w:tcW w:w="1074" w:type="dxa"/>
            <w:tcBorders>
              <w:top w:val="nil"/>
              <w:left w:val="nil"/>
              <w:bottom w:val="single" w:sz="4" w:space="0" w:color="auto"/>
              <w:right w:val="single" w:sz="4" w:space="0" w:color="auto"/>
            </w:tcBorders>
            <w:noWrap/>
            <w:hideMark/>
          </w:tcPr>
          <w:p w14:paraId="65EC71C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3.77</w:t>
            </w:r>
          </w:p>
        </w:tc>
        <w:tc>
          <w:tcPr>
            <w:tcW w:w="910" w:type="dxa"/>
            <w:tcBorders>
              <w:top w:val="nil"/>
              <w:left w:val="nil"/>
              <w:bottom w:val="single" w:sz="4" w:space="0" w:color="auto"/>
              <w:right w:val="single" w:sz="4" w:space="0" w:color="auto"/>
            </w:tcBorders>
            <w:noWrap/>
            <w:hideMark/>
          </w:tcPr>
          <w:p w14:paraId="3AD6C93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0.14</w:t>
            </w:r>
          </w:p>
        </w:tc>
        <w:tc>
          <w:tcPr>
            <w:tcW w:w="1052" w:type="dxa"/>
            <w:tcBorders>
              <w:top w:val="nil"/>
              <w:left w:val="nil"/>
              <w:bottom w:val="single" w:sz="4" w:space="0" w:color="auto"/>
              <w:right w:val="single" w:sz="4" w:space="0" w:color="auto"/>
            </w:tcBorders>
            <w:noWrap/>
            <w:hideMark/>
          </w:tcPr>
          <w:p w14:paraId="5CF1697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2.89</w:t>
            </w:r>
          </w:p>
        </w:tc>
        <w:tc>
          <w:tcPr>
            <w:tcW w:w="770" w:type="dxa"/>
            <w:tcBorders>
              <w:top w:val="nil"/>
              <w:left w:val="nil"/>
              <w:bottom w:val="single" w:sz="4" w:space="0" w:color="auto"/>
              <w:right w:val="single" w:sz="4" w:space="0" w:color="auto"/>
            </w:tcBorders>
            <w:noWrap/>
            <w:hideMark/>
          </w:tcPr>
          <w:p w14:paraId="3466EB9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76.52</w:t>
            </w:r>
          </w:p>
        </w:tc>
        <w:tc>
          <w:tcPr>
            <w:tcW w:w="1045" w:type="dxa"/>
            <w:tcBorders>
              <w:top w:val="nil"/>
              <w:left w:val="nil"/>
              <w:bottom w:val="single" w:sz="4" w:space="0" w:color="auto"/>
              <w:right w:val="single" w:sz="4" w:space="0" w:color="auto"/>
            </w:tcBorders>
            <w:noWrap/>
            <w:hideMark/>
          </w:tcPr>
          <w:p w14:paraId="6B67F98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0.89</w:t>
            </w:r>
          </w:p>
        </w:tc>
        <w:tc>
          <w:tcPr>
            <w:tcW w:w="709" w:type="dxa"/>
            <w:tcBorders>
              <w:top w:val="nil"/>
              <w:left w:val="nil"/>
              <w:bottom w:val="single" w:sz="4" w:space="0" w:color="auto"/>
              <w:right w:val="single" w:sz="4" w:space="0" w:color="auto"/>
            </w:tcBorders>
            <w:noWrap/>
            <w:hideMark/>
          </w:tcPr>
          <w:p w14:paraId="0EDBD64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23.48</w:t>
            </w:r>
          </w:p>
        </w:tc>
        <w:tc>
          <w:tcPr>
            <w:tcW w:w="1151" w:type="dxa"/>
            <w:gridSpan w:val="2"/>
            <w:tcBorders>
              <w:top w:val="nil"/>
              <w:left w:val="nil"/>
              <w:bottom w:val="single" w:sz="4" w:space="0" w:color="auto"/>
              <w:right w:val="single" w:sz="4" w:space="0" w:color="auto"/>
            </w:tcBorders>
            <w:noWrap/>
            <w:hideMark/>
          </w:tcPr>
          <w:p w14:paraId="22B84AE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330</w:t>
            </w:r>
          </w:p>
        </w:tc>
        <w:tc>
          <w:tcPr>
            <w:tcW w:w="667" w:type="dxa"/>
            <w:tcBorders>
              <w:top w:val="nil"/>
              <w:left w:val="nil"/>
              <w:bottom w:val="single" w:sz="4" w:space="0" w:color="auto"/>
              <w:right w:val="single" w:sz="4" w:space="0" w:color="auto"/>
            </w:tcBorders>
            <w:noWrap/>
            <w:hideMark/>
          </w:tcPr>
          <w:p w14:paraId="131EED2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1.97</w:t>
            </w:r>
          </w:p>
        </w:tc>
        <w:tc>
          <w:tcPr>
            <w:tcW w:w="1074" w:type="dxa"/>
            <w:tcBorders>
              <w:top w:val="nil"/>
              <w:left w:val="nil"/>
              <w:bottom w:val="single" w:sz="4" w:space="0" w:color="auto"/>
              <w:right w:val="single" w:sz="4" w:space="0" w:color="auto"/>
            </w:tcBorders>
            <w:noWrap/>
            <w:hideMark/>
          </w:tcPr>
          <w:p w14:paraId="247C5AC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13.26</w:t>
            </w:r>
          </w:p>
        </w:tc>
        <w:tc>
          <w:tcPr>
            <w:tcW w:w="794" w:type="dxa"/>
            <w:tcBorders>
              <w:top w:val="nil"/>
              <w:left w:val="nil"/>
              <w:bottom w:val="single" w:sz="4" w:space="0" w:color="auto"/>
              <w:right w:val="single" w:sz="4" w:space="0" w:color="auto"/>
            </w:tcBorders>
            <w:noWrap/>
            <w:hideMark/>
          </w:tcPr>
          <w:p w14:paraId="51B2DF2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0.56</w:t>
            </w:r>
          </w:p>
        </w:tc>
      </w:tr>
      <w:tr w:rsidR="008755A5" w:rsidRPr="008755A5" w14:paraId="6314BB66"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294F72E6"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Narathiwat</w:t>
            </w:r>
          </w:p>
        </w:tc>
        <w:tc>
          <w:tcPr>
            <w:tcW w:w="850" w:type="dxa"/>
            <w:tcBorders>
              <w:top w:val="nil"/>
              <w:left w:val="nil"/>
              <w:bottom w:val="single" w:sz="4" w:space="0" w:color="auto"/>
              <w:right w:val="single" w:sz="4" w:space="0" w:color="auto"/>
            </w:tcBorders>
            <w:noWrap/>
            <w:hideMark/>
          </w:tcPr>
          <w:p w14:paraId="67F79A9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w:t>
            </w:r>
          </w:p>
        </w:tc>
        <w:tc>
          <w:tcPr>
            <w:tcW w:w="1102" w:type="dxa"/>
            <w:tcBorders>
              <w:top w:val="nil"/>
              <w:left w:val="nil"/>
              <w:bottom w:val="single" w:sz="4" w:space="0" w:color="auto"/>
              <w:right w:val="single" w:sz="4" w:space="0" w:color="auto"/>
            </w:tcBorders>
            <w:noWrap/>
            <w:hideMark/>
          </w:tcPr>
          <w:p w14:paraId="20F1DC0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1.93</w:t>
            </w:r>
          </w:p>
        </w:tc>
        <w:tc>
          <w:tcPr>
            <w:tcW w:w="851" w:type="dxa"/>
            <w:tcBorders>
              <w:top w:val="nil"/>
              <w:left w:val="nil"/>
              <w:bottom w:val="single" w:sz="4" w:space="0" w:color="auto"/>
              <w:right w:val="single" w:sz="4" w:space="0" w:color="auto"/>
            </w:tcBorders>
            <w:noWrap/>
            <w:hideMark/>
          </w:tcPr>
          <w:p w14:paraId="79921410"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0.01</w:t>
            </w:r>
          </w:p>
        </w:tc>
        <w:tc>
          <w:tcPr>
            <w:tcW w:w="1074" w:type="dxa"/>
            <w:tcBorders>
              <w:top w:val="nil"/>
              <w:left w:val="nil"/>
              <w:bottom w:val="single" w:sz="4" w:space="0" w:color="auto"/>
              <w:right w:val="single" w:sz="4" w:space="0" w:color="auto"/>
            </w:tcBorders>
            <w:noWrap/>
            <w:hideMark/>
          </w:tcPr>
          <w:p w14:paraId="741893C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8.03</w:t>
            </w:r>
          </w:p>
        </w:tc>
        <w:tc>
          <w:tcPr>
            <w:tcW w:w="910" w:type="dxa"/>
            <w:tcBorders>
              <w:top w:val="nil"/>
              <w:left w:val="nil"/>
              <w:bottom w:val="single" w:sz="4" w:space="0" w:color="auto"/>
              <w:right w:val="single" w:sz="4" w:space="0" w:color="auto"/>
            </w:tcBorders>
            <w:noWrap/>
            <w:hideMark/>
          </w:tcPr>
          <w:p w14:paraId="6DE973A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0.29</w:t>
            </w:r>
          </w:p>
        </w:tc>
        <w:tc>
          <w:tcPr>
            <w:tcW w:w="1052" w:type="dxa"/>
            <w:tcBorders>
              <w:top w:val="nil"/>
              <w:left w:val="nil"/>
              <w:bottom w:val="single" w:sz="4" w:space="0" w:color="auto"/>
              <w:right w:val="single" w:sz="4" w:space="0" w:color="auto"/>
            </w:tcBorders>
            <w:noWrap/>
            <w:hideMark/>
          </w:tcPr>
          <w:p w14:paraId="3007E44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8.03</w:t>
            </w:r>
          </w:p>
        </w:tc>
        <w:tc>
          <w:tcPr>
            <w:tcW w:w="770" w:type="dxa"/>
            <w:tcBorders>
              <w:top w:val="nil"/>
              <w:left w:val="nil"/>
              <w:bottom w:val="single" w:sz="4" w:space="0" w:color="auto"/>
              <w:right w:val="single" w:sz="4" w:space="0" w:color="auto"/>
            </w:tcBorders>
            <w:noWrap/>
            <w:hideMark/>
          </w:tcPr>
          <w:p w14:paraId="39CE552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100.00</w:t>
            </w:r>
          </w:p>
        </w:tc>
        <w:tc>
          <w:tcPr>
            <w:tcW w:w="1045" w:type="dxa"/>
            <w:tcBorders>
              <w:top w:val="nil"/>
              <w:left w:val="nil"/>
              <w:bottom w:val="single" w:sz="4" w:space="0" w:color="auto"/>
              <w:right w:val="single" w:sz="4" w:space="0" w:color="auto"/>
            </w:tcBorders>
            <w:noWrap/>
            <w:hideMark/>
          </w:tcPr>
          <w:p w14:paraId="3BA6C58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09" w:type="dxa"/>
            <w:tcBorders>
              <w:top w:val="nil"/>
              <w:left w:val="nil"/>
              <w:bottom w:val="single" w:sz="4" w:space="0" w:color="auto"/>
              <w:right w:val="single" w:sz="4" w:space="0" w:color="auto"/>
            </w:tcBorders>
            <w:noWrap/>
            <w:hideMark/>
          </w:tcPr>
          <w:p w14:paraId="07F5145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151" w:type="dxa"/>
            <w:gridSpan w:val="2"/>
            <w:tcBorders>
              <w:top w:val="nil"/>
              <w:left w:val="nil"/>
              <w:bottom w:val="single" w:sz="4" w:space="0" w:color="auto"/>
              <w:right w:val="single" w:sz="4" w:space="0" w:color="auto"/>
            </w:tcBorders>
            <w:noWrap/>
            <w:hideMark/>
          </w:tcPr>
          <w:p w14:paraId="6019A22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135</w:t>
            </w:r>
          </w:p>
        </w:tc>
        <w:tc>
          <w:tcPr>
            <w:tcW w:w="667" w:type="dxa"/>
            <w:tcBorders>
              <w:top w:val="nil"/>
              <w:left w:val="nil"/>
              <w:bottom w:val="single" w:sz="4" w:space="0" w:color="auto"/>
              <w:right w:val="single" w:sz="4" w:space="0" w:color="auto"/>
            </w:tcBorders>
            <w:noWrap/>
            <w:hideMark/>
          </w:tcPr>
          <w:p w14:paraId="526E5828"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0.81</w:t>
            </w:r>
          </w:p>
        </w:tc>
        <w:tc>
          <w:tcPr>
            <w:tcW w:w="1074" w:type="dxa"/>
            <w:tcBorders>
              <w:top w:val="nil"/>
              <w:left w:val="nil"/>
              <w:bottom w:val="single" w:sz="4" w:space="0" w:color="auto"/>
              <w:right w:val="single" w:sz="4" w:space="0" w:color="auto"/>
            </w:tcBorders>
            <w:noWrap/>
            <w:hideMark/>
          </w:tcPr>
          <w:p w14:paraId="6E38D3E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15.60</w:t>
            </w:r>
          </w:p>
        </w:tc>
        <w:tc>
          <w:tcPr>
            <w:tcW w:w="794" w:type="dxa"/>
            <w:tcBorders>
              <w:top w:val="nil"/>
              <w:left w:val="nil"/>
              <w:bottom w:val="single" w:sz="4" w:space="0" w:color="auto"/>
              <w:right w:val="single" w:sz="4" w:space="0" w:color="auto"/>
            </w:tcBorders>
            <w:noWrap/>
            <w:hideMark/>
          </w:tcPr>
          <w:p w14:paraId="1525B81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0.66</w:t>
            </w:r>
          </w:p>
        </w:tc>
      </w:tr>
      <w:tr w:rsidR="008755A5" w:rsidRPr="008755A5" w14:paraId="7FD47EEF" w14:textId="77777777" w:rsidTr="008755A5">
        <w:trPr>
          <w:trHeight w:val="264"/>
        </w:trPr>
        <w:tc>
          <w:tcPr>
            <w:tcW w:w="2127" w:type="dxa"/>
            <w:tcBorders>
              <w:top w:val="nil"/>
              <w:left w:val="single" w:sz="4" w:space="0" w:color="auto"/>
              <w:bottom w:val="single" w:sz="4" w:space="0" w:color="auto"/>
              <w:right w:val="single" w:sz="4" w:space="0" w:color="auto"/>
            </w:tcBorders>
            <w:hideMark/>
          </w:tcPr>
          <w:p w14:paraId="2D661EDC"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Pattani</w:t>
            </w:r>
          </w:p>
        </w:tc>
        <w:tc>
          <w:tcPr>
            <w:tcW w:w="850" w:type="dxa"/>
            <w:tcBorders>
              <w:top w:val="nil"/>
              <w:left w:val="nil"/>
              <w:bottom w:val="single" w:sz="4" w:space="0" w:color="auto"/>
              <w:right w:val="single" w:sz="4" w:space="0" w:color="auto"/>
            </w:tcBorders>
            <w:noWrap/>
            <w:hideMark/>
          </w:tcPr>
          <w:p w14:paraId="41BA997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w:t>
            </w:r>
          </w:p>
        </w:tc>
        <w:tc>
          <w:tcPr>
            <w:tcW w:w="1102" w:type="dxa"/>
            <w:tcBorders>
              <w:top w:val="nil"/>
              <w:left w:val="nil"/>
              <w:bottom w:val="single" w:sz="4" w:space="0" w:color="auto"/>
              <w:right w:val="single" w:sz="4" w:space="0" w:color="auto"/>
            </w:tcBorders>
            <w:noWrap/>
            <w:hideMark/>
          </w:tcPr>
          <w:p w14:paraId="2E9F39C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0.62</w:t>
            </w:r>
          </w:p>
        </w:tc>
        <w:tc>
          <w:tcPr>
            <w:tcW w:w="851" w:type="dxa"/>
            <w:tcBorders>
              <w:top w:val="nil"/>
              <w:left w:val="nil"/>
              <w:bottom w:val="single" w:sz="4" w:space="0" w:color="auto"/>
              <w:right w:val="single" w:sz="4" w:space="0" w:color="auto"/>
            </w:tcBorders>
            <w:noWrap/>
            <w:hideMark/>
          </w:tcPr>
          <w:p w14:paraId="2D77B02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0.00</w:t>
            </w:r>
          </w:p>
        </w:tc>
        <w:tc>
          <w:tcPr>
            <w:tcW w:w="1074" w:type="dxa"/>
            <w:tcBorders>
              <w:top w:val="nil"/>
              <w:left w:val="nil"/>
              <w:bottom w:val="single" w:sz="4" w:space="0" w:color="auto"/>
              <w:right w:val="single" w:sz="4" w:space="0" w:color="auto"/>
            </w:tcBorders>
            <w:noWrap/>
            <w:hideMark/>
          </w:tcPr>
          <w:p w14:paraId="63AD987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0.00</w:t>
            </w:r>
          </w:p>
        </w:tc>
        <w:tc>
          <w:tcPr>
            <w:tcW w:w="910" w:type="dxa"/>
            <w:tcBorders>
              <w:top w:val="nil"/>
              <w:left w:val="nil"/>
              <w:bottom w:val="single" w:sz="4" w:space="0" w:color="auto"/>
              <w:right w:val="single" w:sz="4" w:space="0" w:color="auto"/>
            </w:tcBorders>
            <w:noWrap/>
            <w:hideMark/>
          </w:tcPr>
          <w:p w14:paraId="15BFE8D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0.00</w:t>
            </w:r>
          </w:p>
        </w:tc>
        <w:tc>
          <w:tcPr>
            <w:tcW w:w="1052" w:type="dxa"/>
            <w:tcBorders>
              <w:top w:val="nil"/>
              <w:left w:val="nil"/>
              <w:bottom w:val="single" w:sz="4" w:space="0" w:color="auto"/>
              <w:right w:val="single" w:sz="4" w:space="0" w:color="auto"/>
            </w:tcBorders>
            <w:noWrap/>
            <w:hideMark/>
          </w:tcPr>
          <w:p w14:paraId="7E53B254"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70" w:type="dxa"/>
            <w:tcBorders>
              <w:top w:val="nil"/>
              <w:left w:val="nil"/>
              <w:bottom w:val="single" w:sz="4" w:space="0" w:color="auto"/>
              <w:right w:val="single" w:sz="4" w:space="0" w:color="auto"/>
            </w:tcBorders>
            <w:noWrap/>
            <w:hideMark/>
          </w:tcPr>
          <w:p w14:paraId="6BED2BE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045" w:type="dxa"/>
            <w:tcBorders>
              <w:top w:val="nil"/>
              <w:left w:val="nil"/>
              <w:bottom w:val="single" w:sz="4" w:space="0" w:color="auto"/>
              <w:right w:val="single" w:sz="4" w:space="0" w:color="auto"/>
            </w:tcBorders>
            <w:noWrap/>
            <w:hideMark/>
          </w:tcPr>
          <w:p w14:paraId="04B9888C"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709" w:type="dxa"/>
            <w:tcBorders>
              <w:top w:val="nil"/>
              <w:left w:val="nil"/>
              <w:bottom w:val="single" w:sz="4" w:space="0" w:color="auto"/>
              <w:right w:val="single" w:sz="4" w:space="0" w:color="auto"/>
            </w:tcBorders>
            <w:noWrap/>
            <w:hideMark/>
          </w:tcPr>
          <w:p w14:paraId="5CB817A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w:t>
            </w:r>
          </w:p>
        </w:tc>
        <w:tc>
          <w:tcPr>
            <w:tcW w:w="1151" w:type="dxa"/>
            <w:gridSpan w:val="2"/>
            <w:tcBorders>
              <w:top w:val="nil"/>
              <w:left w:val="nil"/>
              <w:bottom w:val="single" w:sz="4" w:space="0" w:color="auto"/>
              <w:right w:val="single" w:sz="4" w:space="0" w:color="auto"/>
            </w:tcBorders>
            <w:noWrap/>
            <w:hideMark/>
          </w:tcPr>
          <w:p w14:paraId="1D71709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142</w:t>
            </w:r>
          </w:p>
        </w:tc>
        <w:tc>
          <w:tcPr>
            <w:tcW w:w="667" w:type="dxa"/>
            <w:tcBorders>
              <w:top w:val="nil"/>
              <w:left w:val="nil"/>
              <w:bottom w:val="single" w:sz="4" w:space="0" w:color="auto"/>
              <w:right w:val="single" w:sz="4" w:space="0" w:color="auto"/>
            </w:tcBorders>
            <w:noWrap/>
            <w:hideMark/>
          </w:tcPr>
          <w:p w14:paraId="23F9066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0.85</w:t>
            </w:r>
          </w:p>
        </w:tc>
        <w:tc>
          <w:tcPr>
            <w:tcW w:w="1074" w:type="dxa"/>
            <w:tcBorders>
              <w:top w:val="nil"/>
              <w:left w:val="nil"/>
              <w:bottom w:val="single" w:sz="4" w:space="0" w:color="auto"/>
              <w:right w:val="single" w:sz="4" w:space="0" w:color="auto"/>
            </w:tcBorders>
            <w:noWrap/>
            <w:hideMark/>
          </w:tcPr>
          <w:p w14:paraId="23787EEF"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9.86</w:t>
            </w:r>
          </w:p>
        </w:tc>
        <w:tc>
          <w:tcPr>
            <w:tcW w:w="794" w:type="dxa"/>
            <w:tcBorders>
              <w:top w:val="nil"/>
              <w:left w:val="nil"/>
              <w:bottom w:val="single" w:sz="4" w:space="0" w:color="auto"/>
              <w:right w:val="single" w:sz="4" w:space="0" w:color="auto"/>
            </w:tcBorders>
            <w:noWrap/>
            <w:hideMark/>
          </w:tcPr>
          <w:p w14:paraId="60AA498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0.42</w:t>
            </w:r>
          </w:p>
        </w:tc>
      </w:tr>
      <w:tr w:rsidR="008755A5" w:rsidRPr="008755A5" w14:paraId="083673B6" w14:textId="77777777" w:rsidTr="008755A5">
        <w:trPr>
          <w:trHeight w:val="264"/>
        </w:trPr>
        <w:tc>
          <w:tcPr>
            <w:tcW w:w="2127" w:type="dxa"/>
            <w:tcBorders>
              <w:top w:val="nil"/>
              <w:left w:val="single" w:sz="4" w:space="0" w:color="auto"/>
              <w:bottom w:val="single" w:sz="4" w:space="0" w:color="auto"/>
              <w:right w:val="single" w:sz="4" w:space="0" w:color="auto"/>
            </w:tcBorders>
            <w:noWrap/>
            <w:hideMark/>
          </w:tcPr>
          <w:p w14:paraId="1616996D" w14:textId="77777777" w:rsidR="008755A5" w:rsidRPr="008755A5" w:rsidRDefault="008755A5" w:rsidP="008755A5">
            <w:pPr>
              <w:rPr>
                <w:rFonts w:ascii="Arial" w:eastAsia="Times New Roman" w:hAnsi="Arial" w:cs="Arial"/>
                <w:color w:val="000000"/>
                <w:sz w:val="18"/>
                <w:szCs w:val="18"/>
              </w:rPr>
            </w:pPr>
            <w:r w:rsidRPr="008755A5">
              <w:rPr>
                <w:rFonts w:ascii="Arial" w:eastAsia="Times New Roman" w:hAnsi="Arial" w:cs="Arial"/>
                <w:color w:val="000000"/>
                <w:sz w:val="18"/>
                <w:szCs w:val="18"/>
              </w:rPr>
              <w:t>Total</w:t>
            </w:r>
          </w:p>
        </w:tc>
        <w:tc>
          <w:tcPr>
            <w:tcW w:w="850" w:type="dxa"/>
            <w:tcBorders>
              <w:top w:val="nil"/>
              <w:left w:val="nil"/>
              <w:bottom w:val="single" w:sz="4" w:space="0" w:color="auto"/>
              <w:right w:val="single" w:sz="4" w:space="0" w:color="auto"/>
            </w:tcBorders>
            <w:noWrap/>
            <w:hideMark/>
          </w:tcPr>
          <w:p w14:paraId="7C08B526"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1504</w:t>
            </w:r>
          </w:p>
        </w:tc>
        <w:tc>
          <w:tcPr>
            <w:tcW w:w="1102" w:type="dxa"/>
            <w:tcBorders>
              <w:top w:val="nil"/>
              <w:left w:val="nil"/>
              <w:bottom w:val="single" w:sz="4" w:space="0" w:color="auto"/>
              <w:right w:val="single" w:sz="4" w:space="0" w:color="auto"/>
            </w:tcBorders>
            <w:noWrap/>
            <w:hideMark/>
          </w:tcPr>
          <w:p w14:paraId="751A68BD"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14,876.17</w:t>
            </w:r>
          </w:p>
        </w:tc>
        <w:tc>
          <w:tcPr>
            <w:tcW w:w="851" w:type="dxa"/>
            <w:tcBorders>
              <w:top w:val="nil"/>
              <w:left w:val="nil"/>
              <w:bottom w:val="single" w:sz="4" w:space="0" w:color="auto"/>
              <w:right w:val="single" w:sz="4" w:space="0" w:color="auto"/>
            </w:tcBorders>
            <w:noWrap/>
            <w:hideMark/>
          </w:tcPr>
          <w:p w14:paraId="11311745"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100.00</w:t>
            </w:r>
          </w:p>
        </w:tc>
        <w:tc>
          <w:tcPr>
            <w:tcW w:w="1074" w:type="dxa"/>
            <w:tcBorders>
              <w:top w:val="nil"/>
              <w:left w:val="nil"/>
              <w:bottom w:val="single" w:sz="4" w:space="0" w:color="auto"/>
              <w:right w:val="single" w:sz="4" w:space="0" w:color="auto"/>
            </w:tcBorders>
            <w:noWrap/>
            <w:hideMark/>
          </w:tcPr>
          <w:p w14:paraId="2356683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2784.23</w:t>
            </w:r>
          </w:p>
        </w:tc>
        <w:tc>
          <w:tcPr>
            <w:tcW w:w="910" w:type="dxa"/>
            <w:tcBorders>
              <w:top w:val="nil"/>
              <w:left w:val="nil"/>
              <w:bottom w:val="single" w:sz="4" w:space="0" w:color="auto"/>
              <w:right w:val="single" w:sz="4" w:space="0" w:color="auto"/>
            </w:tcBorders>
            <w:noWrap/>
            <w:hideMark/>
          </w:tcPr>
          <w:p w14:paraId="44E9D28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100.00</w:t>
            </w:r>
          </w:p>
        </w:tc>
        <w:tc>
          <w:tcPr>
            <w:tcW w:w="1052" w:type="dxa"/>
            <w:tcBorders>
              <w:top w:val="nil"/>
              <w:left w:val="nil"/>
              <w:bottom w:val="single" w:sz="4" w:space="0" w:color="auto"/>
              <w:right w:val="single" w:sz="4" w:space="0" w:color="auto"/>
            </w:tcBorders>
            <w:noWrap/>
            <w:hideMark/>
          </w:tcPr>
          <w:p w14:paraId="593DCA1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356.89</w:t>
            </w:r>
          </w:p>
        </w:tc>
        <w:tc>
          <w:tcPr>
            <w:tcW w:w="770" w:type="dxa"/>
            <w:tcBorders>
              <w:top w:val="nil"/>
              <w:left w:val="nil"/>
              <w:bottom w:val="single" w:sz="4" w:space="0" w:color="auto"/>
              <w:right w:val="single" w:sz="4" w:space="0" w:color="auto"/>
            </w:tcBorders>
            <w:noWrap/>
            <w:hideMark/>
          </w:tcPr>
          <w:p w14:paraId="327E169E"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12.82</w:t>
            </w:r>
          </w:p>
        </w:tc>
        <w:tc>
          <w:tcPr>
            <w:tcW w:w="1045" w:type="dxa"/>
            <w:tcBorders>
              <w:top w:val="nil"/>
              <w:left w:val="nil"/>
              <w:bottom w:val="single" w:sz="4" w:space="0" w:color="auto"/>
              <w:right w:val="single" w:sz="4" w:space="0" w:color="auto"/>
            </w:tcBorders>
            <w:noWrap/>
            <w:hideMark/>
          </w:tcPr>
          <w:p w14:paraId="2A366B77"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2,427.34</w:t>
            </w:r>
          </w:p>
        </w:tc>
        <w:tc>
          <w:tcPr>
            <w:tcW w:w="709" w:type="dxa"/>
            <w:tcBorders>
              <w:top w:val="nil"/>
              <w:left w:val="nil"/>
              <w:bottom w:val="single" w:sz="4" w:space="0" w:color="auto"/>
              <w:right w:val="single" w:sz="4" w:space="0" w:color="auto"/>
            </w:tcBorders>
            <w:noWrap/>
            <w:hideMark/>
          </w:tcPr>
          <w:p w14:paraId="04C57353"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87.18</w:t>
            </w:r>
          </w:p>
        </w:tc>
        <w:tc>
          <w:tcPr>
            <w:tcW w:w="1151" w:type="dxa"/>
            <w:gridSpan w:val="2"/>
            <w:tcBorders>
              <w:top w:val="nil"/>
              <w:left w:val="nil"/>
              <w:bottom w:val="single" w:sz="4" w:space="0" w:color="auto"/>
              <w:right w:val="single" w:sz="4" w:space="0" w:color="auto"/>
            </w:tcBorders>
            <w:noWrap/>
            <w:hideMark/>
          </w:tcPr>
          <w:p w14:paraId="25E5E862"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16,768</w:t>
            </w:r>
          </w:p>
        </w:tc>
        <w:tc>
          <w:tcPr>
            <w:tcW w:w="667" w:type="dxa"/>
            <w:tcBorders>
              <w:top w:val="nil"/>
              <w:left w:val="nil"/>
              <w:bottom w:val="single" w:sz="4" w:space="0" w:color="auto"/>
              <w:right w:val="single" w:sz="4" w:space="0" w:color="auto"/>
            </w:tcBorders>
            <w:noWrap/>
            <w:hideMark/>
          </w:tcPr>
          <w:p w14:paraId="0010B80B"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100</w:t>
            </w:r>
          </w:p>
        </w:tc>
        <w:tc>
          <w:tcPr>
            <w:tcW w:w="1074" w:type="dxa"/>
            <w:tcBorders>
              <w:top w:val="nil"/>
              <w:left w:val="nil"/>
              <w:bottom w:val="single" w:sz="4" w:space="0" w:color="auto"/>
              <w:right w:val="single" w:sz="4" w:space="0" w:color="auto"/>
            </w:tcBorders>
            <w:noWrap/>
            <w:hideMark/>
          </w:tcPr>
          <w:p w14:paraId="1C713991"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2,374.97</w:t>
            </w:r>
          </w:p>
        </w:tc>
        <w:tc>
          <w:tcPr>
            <w:tcW w:w="794" w:type="dxa"/>
            <w:tcBorders>
              <w:top w:val="nil"/>
              <w:left w:val="nil"/>
              <w:bottom w:val="single" w:sz="4" w:space="0" w:color="auto"/>
              <w:right w:val="single" w:sz="4" w:space="0" w:color="auto"/>
            </w:tcBorders>
            <w:noWrap/>
            <w:hideMark/>
          </w:tcPr>
          <w:p w14:paraId="3EBA32AA" w14:textId="77777777" w:rsidR="008755A5" w:rsidRPr="008755A5" w:rsidRDefault="008755A5" w:rsidP="008755A5">
            <w:pPr>
              <w:jc w:val="center"/>
              <w:rPr>
                <w:rFonts w:ascii="Arial" w:eastAsia="Times New Roman" w:hAnsi="Arial" w:cs="Arial"/>
                <w:color w:val="000000"/>
                <w:sz w:val="18"/>
                <w:szCs w:val="18"/>
              </w:rPr>
            </w:pPr>
            <w:r w:rsidRPr="008755A5">
              <w:rPr>
                <w:rFonts w:ascii="Arial" w:eastAsia="Times New Roman" w:hAnsi="Arial" w:cs="Arial"/>
                <w:color w:val="000000"/>
                <w:sz w:val="18"/>
                <w:szCs w:val="18"/>
              </w:rPr>
              <w:t>100.00</w:t>
            </w:r>
          </w:p>
        </w:tc>
      </w:tr>
    </w:tbl>
    <w:p w14:paraId="2C01B954" w14:textId="77777777" w:rsidR="008755A5" w:rsidRPr="008755A5" w:rsidRDefault="008755A5" w:rsidP="008755A5">
      <w:pPr>
        <w:pStyle w:val="NormalWeb"/>
        <w:spacing w:before="0" w:beforeAutospacing="0" w:after="0" w:afterAutospacing="0"/>
        <w:ind w:left="993" w:hanging="993"/>
        <w:contextualSpacing/>
        <w:rPr>
          <w:rFonts w:ascii="Arial" w:hAnsi="Arial" w:cs="Arial"/>
          <w:color w:val="000000"/>
          <w:sz w:val="20"/>
          <w:szCs w:val="20"/>
        </w:rPr>
      </w:pPr>
      <w:r w:rsidRPr="008755A5">
        <w:rPr>
          <w:rFonts w:ascii="Arial" w:hAnsi="Arial" w:cs="Arial"/>
          <w:i/>
          <w:sz w:val="20"/>
          <w:szCs w:val="20"/>
        </w:rPr>
        <w:t xml:space="preserve">Sources: </w:t>
      </w:r>
    </w:p>
    <w:p w14:paraId="592F856F" w14:textId="7F3FC480" w:rsidR="008755A5" w:rsidRPr="008755A5" w:rsidRDefault="008755A5" w:rsidP="008755A5">
      <w:pPr>
        <w:rPr>
          <w:rFonts w:ascii="Arial" w:hAnsi="Arial" w:cs="Arial"/>
          <w:sz w:val="20"/>
          <w:szCs w:val="20"/>
        </w:rPr>
      </w:pPr>
      <w:r w:rsidRPr="008755A5">
        <w:rPr>
          <w:rFonts w:ascii="Arial" w:hAnsi="Arial" w:cs="Arial"/>
          <w:color w:val="000000"/>
          <w:sz w:val="20"/>
          <w:szCs w:val="20"/>
        </w:rPr>
        <w:t>1.</w:t>
      </w:r>
      <w:r w:rsidRPr="008755A5">
        <w:rPr>
          <w:rFonts w:ascii="Arial" w:hAnsi="Arial" w:cs="Arial"/>
          <w:sz w:val="20"/>
          <w:szCs w:val="20"/>
        </w:rPr>
        <w:t xml:space="preserve"> </w:t>
      </w:r>
      <w:r w:rsidR="007823CD">
        <w:rPr>
          <w:rFonts w:ascii="Arial" w:hAnsi="Arial" w:cs="Arial"/>
          <w:sz w:val="20"/>
          <w:szCs w:val="20"/>
        </w:rPr>
        <w:t xml:space="preserve">Thailand </w:t>
      </w:r>
      <w:r w:rsidRPr="008755A5">
        <w:rPr>
          <w:rFonts w:ascii="Arial" w:hAnsi="Arial" w:cs="Arial"/>
          <w:sz w:val="20"/>
          <w:szCs w:val="20"/>
        </w:rPr>
        <w:t>Board of investment (BOI). (2025). BOI Data: Investment Promotion Statistical Reports (from 2015 onwards)</w:t>
      </w:r>
      <w:r w:rsidRPr="008755A5">
        <w:rPr>
          <w:rFonts w:ascii="Arial" w:hAnsi="Arial" w:cs="Arial"/>
          <w:sz w:val="20"/>
          <w:szCs w:val="20"/>
          <w:cs/>
        </w:rPr>
        <w:t xml:space="preserve">. </w:t>
      </w:r>
      <w:r w:rsidRPr="008755A5">
        <w:rPr>
          <w:rFonts w:ascii="Arial" w:hAnsi="Arial" w:cs="Arial"/>
          <w:color w:val="000000"/>
          <w:sz w:val="20"/>
          <w:szCs w:val="20"/>
        </w:rPr>
        <w:t>Retrieved September 3, 2025</w:t>
      </w:r>
      <w:r w:rsidRPr="008755A5">
        <w:rPr>
          <w:rFonts w:ascii="Arial" w:hAnsi="Arial" w:cs="Arial"/>
          <w:sz w:val="20"/>
          <w:szCs w:val="20"/>
        </w:rPr>
        <w:t xml:space="preserve"> from </w:t>
      </w:r>
      <w:hyperlink r:id="rId11" w:history="1">
        <w:r w:rsidRPr="008755A5">
          <w:rPr>
            <w:rStyle w:val="Hyperlink"/>
            <w:rFonts w:ascii="Arial" w:hAnsi="Arial" w:cs="Arial"/>
            <w:sz w:val="20"/>
            <w:szCs w:val="20"/>
          </w:rPr>
          <w:t>https://ipstat.boi.go.th/pubrpt/index.php</w:t>
        </w:r>
      </w:hyperlink>
    </w:p>
    <w:p w14:paraId="0F1EDCD4" w14:textId="77777777" w:rsidR="008755A5" w:rsidRPr="008755A5" w:rsidRDefault="008755A5" w:rsidP="008755A5">
      <w:pPr>
        <w:pStyle w:val="NormalWeb"/>
        <w:spacing w:before="0" w:beforeAutospacing="0" w:after="0" w:afterAutospacing="0"/>
        <w:ind w:left="993" w:hanging="993"/>
        <w:contextualSpacing/>
        <w:rPr>
          <w:rFonts w:ascii="Arial" w:hAnsi="Arial" w:cs="Arial"/>
          <w:iCs/>
          <w:sz w:val="20"/>
          <w:szCs w:val="20"/>
          <w:cs/>
        </w:rPr>
      </w:pPr>
      <w:r w:rsidRPr="008755A5">
        <w:rPr>
          <w:rFonts w:ascii="Arial" w:hAnsi="Arial" w:cs="Arial"/>
          <w:iCs/>
          <w:sz w:val="20"/>
          <w:szCs w:val="20"/>
        </w:rPr>
        <w:t xml:space="preserve">2. </w:t>
      </w:r>
      <w:r w:rsidRPr="008755A5">
        <w:rPr>
          <w:rFonts w:ascii="Arial" w:hAnsi="Arial" w:cs="Arial"/>
          <w:color w:val="000000"/>
          <w:sz w:val="20"/>
          <w:szCs w:val="20"/>
        </w:rPr>
        <w:t>Department of Business Development (DBD)</w:t>
      </w:r>
      <w:r w:rsidRPr="008755A5">
        <w:rPr>
          <w:rFonts w:ascii="Arial" w:hAnsi="Arial" w:cs="Arial"/>
          <w:iCs/>
          <w:sz w:val="20"/>
          <w:szCs w:val="20"/>
        </w:rPr>
        <w:t xml:space="preserve">. (2025). </w:t>
      </w:r>
      <w:r w:rsidRPr="008755A5">
        <w:rPr>
          <w:rFonts w:ascii="Arial" w:hAnsi="Arial" w:cs="Arial"/>
          <w:sz w:val="20"/>
          <w:szCs w:val="20"/>
        </w:rPr>
        <w:t>Statistics data 2024</w:t>
      </w:r>
      <w:r w:rsidRPr="008755A5">
        <w:rPr>
          <w:rFonts w:ascii="Arial" w:hAnsi="Arial" w:cs="Arial"/>
          <w:iCs/>
          <w:sz w:val="20"/>
          <w:szCs w:val="20"/>
        </w:rPr>
        <w:t>. Retrieved September</w:t>
      </w:r>
      <w:r w:rsidRPr="008755A5">
        <w:rPr>
          <w:rFonts w:ascii="Arial" w:hAnsi="Arial" w:cs="Arial"/>
          <w:color w:val="000000"/>
          <w:sz w:val="20"/>
          <w:szCs w:val="20"/>
        </w:rPr>
        <w:t xml:space="preserve"> 3, 2025 </w:t>
      </w:r>
      <w:r w:rsidRPr="008755A5">
        <w:rPr>
          <w:rFonts w:ascii="Arial" w:hAnsi="Arial" w:cs="Arial"/>
          <w:iCs/>
          <w:sz w:val="20"/>
          <w:szCs w:val="20"/>
        </w:rPr>
        <w:t>from https://www.dbd.go.th/common-article/24</w:t>
      </w:r>
    </w:p>
    <w:p w14:paraId="2E0A5AE7" w14:textId="77777777" w:rsidR="008755A5" w:rsidRPr="008755A5" w:rsidRDefault="008755A5" w:rsidP="008755A5">
      <w:pPr>
        <w:rPr>
          <w:rFonts w:ascii="Arial" w:hAnsi="Arial" w:cs="Arial"/>
          <w:sz w:val="20"/>
          <w:szCs w:val="20"/>
        </w:rPr>
      </w:pPr>
    </w:p>
    <w:p w14:paraId="5E4E17FF" w14:textId="77777777" w:rsidR="008755A5" w:rsidRDefault="008755A5" w:rsidP="008755A5">
      <w:pPr>
        <w:spacing w:before="120" w:after="120"/>
        <w:contextualSpacing/>
        <w:rPr>
          <w:rFonts w:ascii="Arial" w:hAnsi="Arial" w:cs="Arial"/>
          <w:sz w:val="18"/>
          <w:szCs w:val="18"/>
        </w:rPr>
        <w:sectPr w:rsidR="008755A5" w:rsidSect="008755A5">
          <w:pgSz w:w="15840" w:h="12240" w:orient="landscape"/>
          <w:pgMar w:top="1440" w:right="1440" w:bottom="1440" w:left="1440" w:header="708" w:footer="708" w:gutter="0"/>
          <w:cols w:space="708"/>
          <w:docGrid w:linePitch="435"/>
        </w:sectPr>
      </w:pPr>
    </w:p>
    <w:p w14:paraId="74FB87CC" w14:textId="77777777" w:rsidR="008755A5" w:rsidRDefault="008755A5" w:rsidP="008755A5">
      <w:pPr>
        <w:rPr>
          <w:rFonts w:ascii="Arial" w:hAnsi="Arial" w:cs="Arial"/>
        </w:rPr>
      </w:pPr>
      <w:r w:rsidRPr="008755A5">
        <w:rPr>
          <w:rFonts w:ascii="Arial" w:hAnsi="Arial" w:cs="Arial"/>
          <w:b/>
          <w:bCs/>
          <w:lang w:val="en"/>
        </w:rPr>
        <w:lastRenderedPageBreak/>
        <w:t>Annex 6:</w:t>
      </w:r>
      <w:r w:rsidRPr="008755A5">
        <w:rPr>
          <w:rFonts w:ascii="Arial" w:hAnsi="Arial" w:cs="Arial"/>
          <w:lang w:val="en"/>
        </w:rPr>
        <w:t xml:space="preserve"> </w:t>
      </w:r>
      <w:r w:rsidRPr="008755A5">
        <w:rPr>
          <w:rFonts w:ascii="Arial" w:hAnsi="Arial" w:cs="Arial"/>
        </w:rPr>
        <w:t>Government agencies with roles in the marine space</w:t>
      </w:r>
    </w:p>
    <w:p w14:paraId="7095881B" w14:textId="77777777" w:rsidR="008755A5" w:rsidRPr="008755A5" w:rsidRDefault="008755A5" w:rsidP="008755A5">
      <w:pPr>
        <w:rPr>
          <w:rFonts w:ascii="Arial" w:hAnsi="Arial" w:cs="Arial"/>
        </w:rPr>
      </w:pPr>
    </w:p>
    <w:tbl>
      <w:tblPr>
        <w:tblStyle w:val="TableGrid"/>
        <w:tblW w:w="9209" w:type="dxa"/>
        <w:tblLook w:val="04A0" w:firstRow="1" w:lastRow="0" w:firstColumn="1" w:lastColumn="0" w:noHBand="0" w:noVBand="1"/>
      </w:tblPr>
      <w:tblGrid>
        <w:gridCol w:w="2074"/>
        <w:gridCol w:w="2260"/>
        <w:gridCol w:w="4875"/>
      </w:tblGrid>
      <w:tr w:rsidR="008755A5" w:rsidRPr="008755A5" w14:paraId="293D417A" w14:textId="77777777" w:rsidTr="008755A5">
        <w:trPr>
          <w:tblHeader/>
        </w:trPr>
        <w:tc>
          <w:tcPr>
            <w:tcW w:w="0" w:type="auto"/>
          </w:tcPr>
          <w:p w14:paraId="33935C56" w14:textId="77777777" w:rsidR="008755A5" w:rsidRPr="008755A5" w:rsidRDefault="008755A5" w:rsidP="008755A5">
            <w:pPr>
              <w:rPr>
                <w:rFonts w:ascii="Arial" w:hAnsi="Arial" w:cs="Arial"/>
                <w:b/>
              </w:rPr>
            </w:pPr>
            <w:r w:rsidRPr="008755A5">
              <w:rPr>
                <w:rFonts w:ascii="Arial" w:hAnsi="Arial" w:cs="Arial"/>
                <w:b/>
              </w:rPr>
              <w:t>Ministry</w:t>
            </w:r>
          </w:p>
        </w:tc>
        <w:tc>
          <w:tcPr>
            <w:tcW w:w="0" w:type="auto"/>
          </w:tcPr>
          <w:p w14:paraId="374A11B4" w14:textId="77777777" w:rsidR="008755A5" w:rsidRPr="008755A5" w:rsidRDefault="008755A5" w:rsidP="008755A5">
            <w:pPr>
              <w:rPr>
                <w:rFonts w:ascii="Arial" w:hAnsi="Arial" w:cs="Arial"/>
                <w:b/>
              </w:rPr>
            </w:pPr>
            <w:r w:rsidRPr="008755A5">
              <w:rPr>
                <w:rFonts w:ascii="Arial" w:hAnsi="Arial" w:cs="Arial"/>
                <w:b/>
              </w:rPr>
              <w:t>Agency</w:t>
            </w:r>
          </w:p>
        </w:tc>
        <w:tc>
          <w:tcPr>
            <w:tcW w:w="4875" w:type="dxa"/>
          </w:tcPr>
          <w:p w14:paraId="2F9604A7" w14:textId="77777777" w:rsidR="008755A5" w:rsidRPr="008755A5" w:rsidRDefault="008755A5" w:rsidP="008755A5">
            <w:pPr>
              <w:rPr>
                <w:rFonts w:ascii="Arial" w:hAnsi="Arial" w:cs="Arial"/>
                <w:b/>
              </w:rPr>
            </w:pPr>
            <w:r w:rsidRPr="008755A5">
              <w:rPr>
                <w:rFonts w:ascii="Arial" w:hAnsi="Arial" w:cs="Arial"/>
                <w:b/>
              </w:rPr>
              <w:t>Activities</w:t>
            </w:r>
          </w:p>
        </w:tc>
      </w:tr>
      <w:tr w:rsidR="008755A5" w:rsidRPr="008755A5" w14:paraId="6610EB1B" w14:textId="77777777" w:rsidTr="008755A5">
        <w:tc>
          <w:tcPr>
            <w:tcW w:w="0" w:type="auto"/>
            <w:vMerge w:val="restart"/>
          </w:tcPr>
          <w:p w14:paraId="2E05B1C0" w14:textId="77777777" w:rsidR="008755A5" w:rsidRPr="008755A5" w:rsidRDefault="008755A5" w:rsidP="008755A5">
            <w:pPr>
              <w:rPr>
                <w:rFonts w:ascii="Arial" w:hAnsi="Arial" w:cs="Arial"/>
              </w:rPr>
            </w:pPr>
            <w:r w:rsidRPr="008755A5">
              <w:rPr>
                <w:rFonts w:ascii="Arial" w:hAnsi="Arial" w:cs="Arial"/>
              </w:rPr>
              <w:t>Ministry of Natural Resources and Environment</w:t>
            </w:r>
          </w:p>
        </w:tc>
        <w:tc>
          <w:tcPr>
            <w:tcW w:w="0" w:type="auto"/>
          </w:tcPr>
          <w:p w14:paraId="2B80D0B8" w14:textId="77777777" w:rsidR="008755A5" w:rsidRPr="008755A5" w:rsidRDefault="008755A5" w:rsidP="008755A5">
            <w:pPr>
              <w:rPr>
                <w:rFonts w:ascii="Arial" w:hAnsi="Arial" w:cs="Arial"/>
              </w:rPr>
            </w:pPr>
            <w:r w:rsidRPr="008755A5">
              <w:rPr>
                <w:rFonts w:ascii="Arial" w:hAnsi="Arial" w:cs="Arial"/>
              </w:rPr>
              <w:t>Department of Marine and Coastal Resources (DMCR)</w:t>
            </w:r>
          </w:p>
        </w:tc>
        <w:tc>
          <w:tcPr>
            <w:tcW w:w="4875" w:type="dxa"/>
          </w:tcPr>
          <w:p w14:paraId="07D3DEA4" w14:textId="77777777" w:rsidR="008755A5" w:rsidRPr="008755A5" w:rsidRDefault="008755A5" w:rsidP="008755A5">
            <w:pPr>
              <w:rPr>
                <w:rFonts w:ascii="Arial" w:hAnsi="Arial" w:cs="Arial"/>
              </w:rPr>
            </w:pPr>
            <w:r w:rsidRPr="008755A5">
              <w:rPr>
                <w:rFonts w:ascii="Arial" w:hAnsi="Arial" w:cs="Arial"/>
              </w:rPr>
              <w:t>Conserving, rehabilitating, and managing Thailand’s marine and coastal resources. Its responsibilities include establishing marine and coastal protected areas, restoring ecosystems such as mangroves, seagrass, and coral reefs, promoting sustainable use of resources, and coordinating Marine Spatial Planning (MSP)</w:t>
            </w:r>
          </w:p>
        </w:tc>
      </w:tr>
      <w:tr w:rsidR="008755A5" w:rsidRPr="008755A5" w14:paraId="0FF09989" w14:textId="77777777" w:rsidTr="008755A5">
        <w:tc>
          <w:tcPr>
            <w:tcW w:w="0" w:type="auto"/>
            <w:vMerge/>
          </w:tcPr>
          <w:p w14:paraId="3218471F" w14:textId="77777777" w:rsidR="008755A5" w:rsidRPr="008755A5" w:rsidRDefault="008755A5" w:rsidP="008755A5">
            <w:pPr>
              <w:rPr>
                <w:rFonts w:ascii="Arial" w:hAnsi="Arial" w:cs="Arial"/>
              </w:rPr>
            </w:pPr>
          </w:p>
        </w:tc>
        <w:tc>
          <w:tcPr>
            <w:tcW w:w="0" w:type="auto"/>
          </w:tcPr>
          <w:p w14:paraId="686D41B5" w14:textId="77777777" w:rsidR="008755A5" w:rsidRPr="008755A5" w:rsidRDefault="008755A5" w:rsidP="008755A5">
            <w:pPr>
              <w:rPr>
                <w:rFonts w:ascii="Arial" w:hAnsi="Arial" w:cs="Arial"/>
              </w:rPr>
            </w:pPr>
            <w:r w:rsidRPr="008755A5">
              <w:rPr>
                <w:rFonts w:ascii="Arial" w:hAnsi="Arial" w:cs="Arial"/>
              </w:rPr>
              <w:t>Department of Pollution Control (PCD)</w:t>
            </w:r>
          </w:p>
        </w:tc>
        <w:tc>
          <w:tcPr>
            <w:tcW w:w="4875" w:type="dxa"/>
          </w:tcPr>
          <w:p w14:paraId="427EA79A" w14:textId="77777777" w:rsidR="008755A5" w:rsidRPr="008755A5" w:rsidRDefault="008755A5" w:rsidP="008755A5">
            <w:pPr>
              <w:rPr>
                <w:rFonts w:ascii="Arial" w:hAnsi="Arial" w:cs="Arial"/>
              </w:rPr>
            </w:pPr>
            <w:r w:rsidRPr="008755A5">
              <w:rPr>
                <w:rFonts w:ascii="Arial" w:hAnsi="Arial" w:cs="Arial"/>
              </w:rPr>
              <w:t>Preventing, controlling, and mitigating marine and coastal pollution in Thailand. Its mandate covers monitoring water quality, regulating land-based pollution sources, managing waste and hazardous materials, and coordinating oil spill responses.</w:t>
            </w:r>
          </w:p>
        </w:tc>
      </w:tr>
      <w:tr w:rsidR="008755A5" w:rsidRPr="008755A5" w14:paraId="0922537D" w14:textId="77777777" w:rsidTr="008755A5">
        <w:tc>
          <w:tcPr>
            <w:tcW w:w="0" w:type="auto"/>
            <w:vMerge/>
          </w:tcPr>
          <w:p w14:paraId="1C3EE767" w14:textId="77777777" w:rsidR="008755A5" w:rsidRPr="008755A5" w:rsidRDefault="008755A5" w:rsidP="008755A5">
            <w:pPr>
              <w:rPr>
                <w:rFonts w:ascii="Arial" w:hAnsi="Arial" w:cs="Arial"/>
              </w:rPr>
            </w:pPr>
          </w:p>
        </w:tc>
        <w:tc>
          <w:tcPr>
            <w:tcW w:w="0" w:type="auto"/>
          </w:tcPr>
          <w:p w14:paraId="34400A99" w14:textId="77777777" w:rsidR="008755A5" w:rsidRPr="008755A5" w:rsidRDefault="008755A5" w:rsidP="008755A5">
            <w:pPr>
              <w:rPr>
                <w:rFonts w:ascii="Arial" w:hAnsi="Arial" w:cs="Arial"/>
              </w:rPr>
            </w:pPr>
            <w:r w:rsidRPr="008755A5">
              <w:rPr>
                <w:rFonts w:ascii="Arial" w:hAnsi="Arial" w:cs="Arial"/>
              </w:rPr>
              <w:t>Department of National Parks, Wildlife and Plant Conservation (DNP)</w:t>
            </w:r>
          </w:p>
        </w:tc>
        <w:tc>
          <w:tcPr>
            <w:tcW w:w="4875" w:type="dxa"/>
          </w:tcPr>
          <w:p w14:paraId="17E3618E" w14:textId="77777777" w:rsidR="008755A5" w:rsidRPr="008755A5" w:rsidRDefault="008755A5" w:rsidP="008755A5">
            <w:pPr>
              <w:rPr>
                <w:rFonts w:ascii="Arial" w:hAnsi="Arial" w:cs="Arial"/>
              </w:rPr>
            </w:pPr>
            <w:r w:rsidRPr="008755A5">
              <w:rPr>
                <w:rFonts w:ascii="Arial" w:hAnsi="Arial" w:cs="Arial"/>
              </w:rPr>
              <w:t xml:space="preserve">Establishing and managing marine national parks in Thailand, protecting endangered marine species and coastal ecosystems. Its mandate covers law enforcement, ecological restoration, and the promotion of sustainable eco-tourism, ensuring that marine resources are conserved while supporting local livelihoods. </w:t>
            </w:r>
          </w:p>
        </w:tc>
      </w:tr>
      <w:tr w:rsidR="008755A5" w:rsidRPr="008755A5" w14:paraId="5DC66CD0" w14:textId="77777777" w:rsidTr="008755A5">
        <w:tc>
          <w:tcPr>
            <w:tcW w:w="0" w:type="auto"/>
            <w:vMerge/>
          </w:tcPr>
          <w:p w14:paraId="04E9A028" w14:textId="77777777" w:rsidR="008755A5" w:rsidRPr="008755A5" w:rsidRDefault="008755A5" w:rsidP="008755A5">
            <w:pPr>
              <w:rPr>
                <w:rFonts w:ascii="Arial" w:hAnsi="Arial" w:cs="Arial"/>
              </w:rPr>
            </w:pPr>
          </w:p>
        </w:tc>
        <w:tc>
          <w:tcPr>
            <w:tcW w:w="0" w:type="auto"/>
          </w:tcPr>
          <w:p w14:paraId="11B1C56C" w14:textId="77777777" w:rsidR="008755A5" w:rsidRPr="008755A5" w:rsidRDefault="008755A5" w:rsidP="008755A5">
            <w:pPr>
              <w:rPr>
                <w:rFonts w:ascii="Arial" w:hAnsi="Arial" w:cs="Arial"/>
              </w:rPr>
            </w:pPr>
            <w:r w:rsidRPr="008755A5">
              <w:rPr>
                <w:rFonts w:ascii="Arial" w:hAnsi="Arial" w:cs="Arial"/>
              </w:rPr>
              <w:t>Office of Natural Resources and Environmental Policy and Planning (ONEP)</w:t>
            </w:r>
          </w:p>
        </w:tc>
        <w:tc>
          <w:tcPr>
            <w:tcW w:w="4875" w:type="dxa"/>
          </w:tcPr>
          <w:p w14:paraId="6BEF7E1F" w14:textId="77777777" w:rsidR="008755A5" w:rsidRPr="008755A5" w:rsidRDefault="008755A5" w:rsidP="008755A5">
            <w:pPr>
              <w:rPr>
                <w:rFonts w:ascii="Arial" w:hAnsi="Arial" w:cs="Arial"/>
              </w:rPr>
            </w:pPr>
            <w:r w:rsidRPr="008755A5">
              <w:rPr>
                <w:rFonts w:ascii="Arial" w:hAnsi="Arial" w:cs="Arial"/>
              </w:rPr>
              <w:t>Proposes policies and plans for the conservation and management of natural resources and the environment, and oversees environmental impact assessments and environmental consents.</w:t>
            </w:r>
          </w:p>
        </w:tc>
      </w:tr>
      <w:tr w:rsidR="008755A5" w:rsidRPr="008755A5" w14:paraId="518A60B2" w14:textId="77777777" w:rsidTr="008755A5">
        <w:trPr>
          <w:trHeight w:val="1879"/>
        </w:trPr>
        <w:tc>
          <w:tcPr>
            <w:tcW w:w="0" w:type="auto"/>
            <w:vMerge/>
          </w:tcPr>
          <w:p w14:paraId="204943A7" w14:textId="77777777" w:rsidR="008755A5" w:rsidRPr="008755A5" w:rsidRDefault="008755A5" w:rsidP="008755A5">
            <w:pPr>
              <w:rPr>
                <w:rFonts w:ascii="Arial" w:hAnsi="Arial" w:cs="Arial"/>
              </w:rPr>
            </w:pPr>
          </w:p>
        </w:tc>
        <w:tc>
          <w:tcPr>
            <w:tcW w:w="0" w:type="auto"/>
          </w:tcPr>
          <w:p w14:paraId="35B51A36" w14:textId="77777777" w:rsidR="008755A5" w:rsidRPr="008755A5" w:rsidRDefault="008755A5" w:rsidP="008755A5">
            <w:pPr>
              <w:rPr>
                <w:rFonts w:ascii="Arial" w:hAnsi="Arial" w:cs="Arial"/>
              </w:rPr>
            </w:pPr>
            <w:r w:rsidRPr="008755A5">
              <w:rPr>
                <w:rFonts w:ascii="Arial" w:hAnsi="Arial" w:cs="Arial"/>
              </w:rPr>
              <w:t>Department of Climate Change and Environment (DCCE)</w:t>
            </w:r>
          </w:p>
        </w:tc>
        <w:tc>
          <w:tcPr>
            <w:tcW w:w="4875" w:type="dxa"/>
          </w:tcPr>
          <w:p w14:paraId="7FBB5A76" w14:textId="77777777" w:rsidR="008755A5" w:rsidRPr="008755A5" w:rsidRDefault="008755A5" w:rsidP="008755A5">
            <w:pPr>
              <w:pStyle w:val="Heading5"/>
              <w:shd w:val="clear" w:color="auto" w:fill="FFFFFF"/>
              <w:spacing w:before="0" w:after="0"/>
              <w:rPr>
                <w:rFonts w:ascii="Arial" w:eastAsiaTheme="minorHAnsi" w:hAnsi="Arial" w:cs="Arial"/>
                <w:color w:val="ED7D31" w:themeColor="accent2"/>
                <w:sz w:val="24"/>
                <w:szCs w:val="24"/>
              </w:rPr>
            </w:pPr>
            <w:r w:rsidRPr="008755A5">
              <w:rPr>
                <w:rFonts w:ascii="Arial" w:eastAsiaTheme="minorHAnsi" w:hAnsi="Arial" w:cs="Arial"/>
                <w:color w:val="auto"/>
                <w:sz w:val="24"/>
                <w:szCs w:val="24"/>
              </w:rPr>
              <w:t>Recently created (announced in the Royal Gazette, Effective from 18 August 2023). central coordination agency of the country under the United Nations Framework Convention on Climate Change, and drive Thailand's climate change operations, including greenhouse gas reduction (Mitigation), adaptation (Adaptation), and enhancing management capabilities</w:t>
            </w:r>
          </w:p>
        </w:tc>
      </w:tr>
      <w:tr w:rsidR="008755A5" w:rsidRPr="008755A5" w14:paraId="201037F5" w14:textId="77777777" w:rsidTr="008755A5">
        <w:tc>
          <w:tcPr>
            <w:tcW w:w="0" w:type="auto"/>
          </w:tcPr>
          <w:p w14:paraId="44AC6202" w14:textId="77777777" w:rsidR="008755A5" w:rsidRPr="008755A5" w:rsidRDefault="008755A5" w:rsidP="008755A5">
            <w:pPr>
              <w:rPr>
                <w:rFonts w:ascii="Arial" w:hAnsi="Arial" w:cs="Arial"/>
              </w:rPr>
            </w:pPr>
          </w:p>
        </w:tc>
        <w:tc>
          <w:tcPr>
            <w:tcW w:w="0" w:type="auto"/>
          </w:tcPr>
          <w:p w14:paraId="2438BC4C" w14:textId="77777777" w:rsidR="008755A5" w:rsidRPr="008755A5" w:rsidRDefault="008755A5" w:rsidP="008755A5">
            <w:pPr>
              <w:rPr>
                <w:rFonts w:ascii="Arial" w:hAnsi="Arial" w:cs="Arial"/>
              </w:rPr>
            </w:pPr>
            <w:r w:rsidRPr="008755A5">
              <w:rPr>
                <w:rFonts w:ascii="Arial" w:hAnsi="Arial" w:cs="Arial"/>
              </w:rPr>
              <w:t xml:space="preserve">Department of Mineral Resources (DMR) </w:t>
            </w:r>
          </w:p>
        </w:tc>
        <w:tc>
          <w:tcPr>
            <w:tcW w:w="4875" w:type="dxa"/>
          </w:tcPr>
          <w:p w14:paraId="2F9C73B8" w14:textId="77777777" w:rsidR="008755A5" w:rsidRPr="008755A5" w:rsidRDefault="008755A5" w:rsidP="008755A5">
            <w:pPr>
              <w:rPr>
                <w:rFonts w:ascii="Arial" w:hAnsi="Arial" w:cs="Arial"/>
              </w:rPr>
            </w:pPr>
            <w:r w:rsidRPr="008755A5">
              <w:rPr>
                <w:rFonts w:ascii="Arial" w:hAnsi="Arial" w:cs="Arial"/>
              </w:rPr>
              <w:t xml:space="preserve">The DMR is responsible for the conservation, restoration, and management of geological resources, fossils, environmental geology, and geological hazards. In relation to marine management, DMR contributes through coastal geology </w:t>
            </w:r>
            <w:r w:rsidRPr="008755A5">
              <w:rPr>
                <w:rFonts w:ascii="Arial" w:hAnsi="Arial" w:cs="Arial"/>
              </w:rPr>
              <w:lastRenderedPageBreak/>
              <w:t>studies, monitoring shoreline changes, managing marine mineral resources, and assessing risks such as coastal erosion, tsunamis, and other geohazards. These functions support sustainable coastal development and disaster risk reduction in Thailand.</w:t>
            </w:r>
          </w:p>
        </w:tc>
      </w:tr>
      <w:tr w:rsidR="008755A5" w:rsidRPr="008755A5" w14:paraId="0189DD9B" w14:textId="77777777" w:rsidTr="008755A5">
        <w:tc>
          <w:tcPr>
            <w:tcW w:w="0" w:type="auto"/>
          </w:tcPr>
          <w:p w14:paraId="293F6AE0" w14:textId="77777777" w:rsidR="008755A5" w:rsidRPr="008755A5" w:rsidRDefault="008755A5" w:rsidP="008755A5">
            <w:pPr>
              <w:rPr>
                <w:rFonts w:ascii="Arial" w:hAnsi="Arial" w:cs="Arial"/>
              </w:rPr>
            </w:pPr>
            <w:r w:rsidRPr="008755A5">
              <w:rPr>
                <w:rFonts w:ascii="Arial" w:hAnsi="Arial" w:cs="Arial"/>
              </w:rPr>
              <w:lastRenderedPageBreak/>
              <w:t>Ministry of Agriculture and Cooperatives</w:t>
            </w:r>
          </w:p>
        </w:tc>
        <w:tc>
          <w:tcPr>
            <w:tcW w:w="0" w:type="auto"/>
          </w:tcPr>
          <w:p w14:paraId="00F3E80C" w14:textId="77777777" w:rsidR="008755A5" w:rsidRPr="008755A5" w:rsidRDefault="008755A5" w:rsidP="008755A5">
            <w:pPr>
              <w:rPr>
                <w:rFonts w:ascii="Arial" w:hAnsi="Arial" w:cs="Arial"/>
              </w:rPr>
            </w:pPr>
            <w:r w:rsidRPr="008755A5">
              <w:rPr>
                <w:rFonts w:ascii="Arial" w:hAnsi="Arial" w:cs="Arial"/>
              </w:rPr>
              <w:t>Department of Fisheries</w:t>
            </w:r>
          </w:p>
        </w:tc>
        <w:tc>
          <w:tcPr>
            <w:tcW w:w="4875" w:type="dxa"/>
          </w:tcPr>
          <w:p w14:paraId="2819D194" w14:textId="77777777" w:rsidR="008755A5" w:rsidRPr="008755A5" w:rsidRDefault="008755A5" w:rsidP="008755A5">
            <w:pPr>
              <w:rPr>
                <w:rFonts w:ascii="Arial" w:hAnsi="Arial" w:cs="Arial"/>
                <w:cs/>
              </w:rPr>
            </w:pPr>
            <w:r w:rsidRPr="008755A5">
              <w:rPr>
                <w:rFonts w:ascii="Arial" w:hAnsi="Arial" w:cs="Arial"/>
              </w:rPr>
              <w:t>Carries out research and studies in all areas of fisheries. It also helps support and develop fisheries-related jobs to make sure the sector continues to grow in the future.</w:t>
            </w:r>
          </w:p>
        </w:tc>
      </w:tr>
      <w:tr w:rsidR="008755A5" w:rsidRPr="008755A5" w14:paraId="15586B3C" w14:textId="77777777" w:rsidTr="008755A5">
        <w:tc>
          <w:tcPr>
            <w:tcW w:w="0" w:type="auto"/>
          </w:tcPr>
          <w:p w14:paraId="21074330" w14:textId="77777777" w:rsidR="008755A5" w:rsidRPr="008755A5" w:rsidRDefault="008755A5" w:rsidP="008755A5">
            <w:pPr>
              <w:rPr>
                <w:rFonts w:ascii="Arial" w:hAnsi="Arial" w:cs="Arial"/>
              </w:rPr>
            </w:pPr>
            <w:r w:rsidRPr="008755A5">
              <w:rPr>
                <w:rFonts w:ascii="Arial" w:hAnsi="Arial" w:cs="Arial"/>
              </w:rPr>
              <w:t>Ministry of Transportation</w:t>
            </w:r>
          </w:p>
        </w:tc>
        <w:tc>
          <w:tcPr>
            <w:tcW w:w="0" w:type="auto"/>
          </w:tcPr>
          <w:p w14:paraId="2EA9494A" w14:textId="77777777" w:rsidR="008755A5" w:rsidRPr="008755A5" w:rsidRDefault="008755A5" w:rsidP="008755A5">
            <w:pPr>
              <w:rPr>
                <w:rFonts w:ascii="Arial" w:hAnsi="Arial" w:cs="Arial"/>
              </w:rPr>
            </w:pPr>
            <w:r w:rsidRPr="008755A5">
              <w:rPr>
                <w:rFonts w:ascii="Arial" w:hAnsi="Arial" w:cs="Arial"/>
              </w:rPr>
              <w:t>Marine Department</w:t>
            </w:r>
          </w:p>
        </w:tc>
        <w:tc>
          <w:tcPr>
            <w:tcW w:w="4875" w:type="dxa"/>
          </w:tcPr>
          <w:p w14:paraId="2F6D7619" w14:textId="77777777" w:rsidR="008755A5" w:rsidRPr="008755A5" w:rsidRDefault="008755A5" w:rsidP="008755A5">
            <w:pPr>
              <w:rPr>
                <w:rFonts w:ascii="Arial" w:hAnsi="Arial" w:cs="Arial"/>
              </w:rPr>
            </w:pPr>
            <w:r w:rsidRPr="008755A5">
              <w:rPr>
                <w:rFonts w:ascii="Arial" w:hAnsi="Arial" w:cs="Arial"/>
              </w:rPr>
              <w:t>Oversees and develops water transport and shipping in Thailand, making sure it connects well with other forms of transport. Its work includes ship registration, safety checks, enforcing maritime laws, and preparing navigation maps to keep water transport safe and efficient</w:t>
            </w:r>
          </w:p>
        </w:tc>
      </w:tr>
      <w:tr w:rsidR="008755A5" w:rsidRPr="008755A5" w14:paraId="0EE5FBAE" w14:textId="77777777" w:rsidTr="008755A5">
        <w:tc>
          <w:tcPr>
            <w:tcW w:w="0" w:type="auto"/>
          </w:tcPr>
          <w:p w14:paraId="7C16A194" w14:textId="77777777" w:rsidR="008755A5" w:rsidRPr="008755A5" w:rsidRDefault="008755A5" w:rsidP="008755A5">
            <w:pPr>
              <w:rPr>
                <w:rFonts w:ascii="Arial" w:hAnsi="Arial" w:cs="Arial"/>
              </w:rPr>
            </w:pPr>
            <w:r w:rsidRPr="008755A5">
              <w:rPr>
                <w:rFonts w:ascii="Arial" w:hAnsi="Arial" w:cs="Arial"/>
              </w:rPr>
              <w:t xml:space="preserve">Royal Thai Navy </w:t>
            </w:r>
          </w:p>
        </w:tc>
        <w:tc>
          <w:tcPr>
            <w:tcW w:w="0" w:type="auto"/>
          </w:tcPr>
          <w:p w14:paraId="0B41A13B" w14:textId="77777777" w:rsidR="008755A5" w:rsidRPr="008755A5" w:rsidRDefault="008755A5" w:rsidP="008755A5">
            <w:pPr>
              <w:rPr>
                <w:rFonts w:ascii="Arial" w:hAnsi="Arial" w:cs="Arial"/>
              </w:rPr>
            </w:pPr>
            <w:r w:rsidRPr="008755A5">
              <w:rPr>
                <w:rFonts w:ascii="Arial" w:hAnsi="Arial" w:cs="Arial"/>
              </w:rPr>
              <w:t>Royal Thai Navy</w:t>
            </w:r>
          </w:p>
        </w:tc>
        <w:tc>
          <w:tcPr>
            <w:tcW w:w="4875" w:type="dxa"/>
          </w:tcPr>
          <w:p w14:paraId="6FD30EA6" w14:textId="77777777" w:rsidR="008755A5" w:rsidRPr="008755A5" w:rsidRDefault="008755A5" w:rsidP="008755A5">
            <w:pPr>
              <w:rPr>
                <w:rFonts w:ascii="Arial" w:hAnsi="Arial" w:cs="Arial"/>
              </w:rPr>
            </w:pPr>
            <w:r w:rsidRPr="008755A5">
              <w:rPr>
                <w:rFonts w:ascii="Arial" w:hAnsi="Arial" w:cs="Arial"/>
              </w:rPr>
              <w:t>Maintaining maritime security and interests (in coordination with ONSC)</w:t>
            </w:r>
          </w:p>
        </w:tc>
      </w:tr>
      <w:tr w:rsidR="008755A5" w:rsidRPr="008755A5" w14:paraId="5ADAE95D" w14:textId="77777777" w:rsidTr="008755A5">
        <w:tc>
          <w:tcPr>
            <w:tcW w:w="0" w:type="auto"/>
          </w:tcPr>
          <w:p w14:paraId="27F501FA" w14:textId="77777777" w:rsidR="008755A5" w:rsidRPr="008755A5" w:rsidRDefault="008755A5" w:rsidP="008755A5">
            <w:pPr>
              <w:rPr>
                <w:rFonts w:ascii="Arial" w:hAnsi="Arial" w:cs="Arial"/>
              </w:rPr>
            </w:pPr>
            <w:r w:rsidRPr="008755A5">
              <w:rPr>
                <w:rFonts w:ascii="Arial" w:hAnsi="Arial" w:cs="Arial"/>
              </w:rPr>
              <w:t>Ministry of Energy</w:t>
            </w:r>
          </w:p>
        </w:tc>
        <w:tc>
          <w:tcPr>
            <w:tcW w:w="0" w:type="auto"/>
          </w:tcPr>
          <w:p w14:paraId="7D599D65" w14:textId="77777777" w:rsidR="008755A5" w:rsidRPr="008755A5" w:rsidRDefault="008755A5" w:rsidP="008755A5">
            <w:pPr>
              <w:rPr>
                <w:rFonts w:ascii="Arial" w:hAnsi="Arial" w:cs="Arial"/>
              </w:rPr>
            </w:pPr>
            <w:r w:rsidRPr="008755A5">
              <w:rPr>
                <w:rFonts w:ascii="Arial" w:hAnsi="Arial" w:cs="Arial"/>
              </w:rPr>
              <w:t>Department of Mineral Fuels (DMF)</w:t>
            </w:r>
          </w:p>
        </w:tc>
        <w:tc>
          <w:tcPr>
            <w:tcW w:w="4875" w:type="dxa"/>
          </w:tcPr>
          <w:p w14:paraId="71F83A21" w14:textId="77777777" w:rsidR="008755A5" w:rsidRPr="008755A5" w:rsidRDefault="008755A5" w:rsidP="008755A5">
            <w:pPr>
              <w:rPr>
                <w:rFonts w:ascii="Arial" w:hAnsi="Arial" w:cs="Arial"/>
              </w:rPr>
            </w:pPr>
            <w:r w:rsidRPr="008755A5">
              <w:rPr>
                <w:rFonts w:ascii="Arial" w:hAnsi="Arial" w:cs="Arial"/>
              </w:rPr>
              <w:t>Offshore oil and gas</w:t>
            </w:r>
          </w:p>
        </w:tc>
      </w:tr>
      <w:tr w:rsidR="008755A5" w:rsidRPr="008755A5" w14:paraId="60D193CD" w14:textId="77777777" w:rsidTr="008755A5">
        <w:tc>
          <w:tcPr>
            <w:tcW w:w="0" w:type="auto"/>
          </w:tcPr>
          <w:p w14:paraId="1B378BD9" w14:textId="77777777" w:rsidR="008755A5" w:rsidRPr="008755A5" w:rsidRDefault="008755A5" w:rsidP="008755A5">
            <w:pPr>
              <w:rPr>
                <w:rFonts w:ascii="Arial" w:hAnsi="Arial" w:cs="Arial"/>
              </w:rPr>
            </w:pPr>
            <w:r w:rsidRPr="008755A5">
              <w:rPr>
                <w:rFonts w:ascii="Arial" w:hAnsi="Arial" w:cs="Arial"/>
              </w:rPr>
              <w:t>Ministry of Tourism and Sports</w:t>
            </w:r>
          </w:p>
        </w:tc>
        <w:tc>
          <w:tcPr>
            <w:tcW w:w="0" w:type="auto"/>
          </w:tcPr>
          <w:p w14:paraId="3CFCCF5C" w14:textId="77777777" w:rsidR="008755A5" w:rsidRPr="008755A5" w:rsidRDefault="008755A5" w:rsidP="008755A5">
            <w:pPr>
              <w:rPr>
                <w:rFonts w:ascii="Arial" w:hAnsi="Arial" w:cs="Arial"/>
              </w:rPr>
            </w:pPr>
            <w:r w:rsidRPr="008755A5">
              <w:rPr>
                <w:rFonts w:ascii="Arial" w:hAnsi="Arial" w:cs="Arial"/>
              </w:rPr>
              <w:t>Department of Tourism (DOT)</w:t>
            </w:r>
          </w:p>
        </w:tc>
        <w:tc>
          <w:tcPr>
            <w:tcW w:w="4875" w:type="dxa"/>
          </w:tcPr>
          <w:p w14:paraId="49ABD9DB" w14:textId="77777777" w:rsidR="008755A5" w:rsidRPr="008755A5" w:rsidRDefault="008755A5" w:rsidP="008755A5">
            <w:pPr>
              <w:rPr>
                <w:rFonts w:ascii="Arial" w:hAnsi="Arial" w:cs="Arial"/>
              </w:rPr>
            </w:pPr>
            <w:r w:rsidRPr="008755A5">
              <w:rPr>
                <w:rFonts w:ascii="Arial" w:hAnsi="Arial" w:cs="Arial"/>
              </w:rPr>
              <w:t>Oversees marine and coastal sustainable tourism activities</w:t>
            </w:r>
          </w:p>
        </w:tc>
      </w:tr>
      <w:tr w:rsidR="008755A5" w:rsidRPr="008755A5" w14:paraId="7A81108A" w14:textId="77777777" w:rsidTr="008755A5">
        <w:tc>
          <w:tcPr>
            <w:tcW w:w="0" w:type="auto"/>
          </w:tcPr>
          <w:p w14:paraId="6320193B" w14:textId="77777777" w:rsidR="008755A5" w:rsidRPr="008755A5" w:rsidRDefault="008755A5" w:rsidP="008755A5">
            <w:pPr>
              <w:rPr>
                <w:rFonts w:ascii="Arial" w:hAnsi="Arial" w:cs="Arial"/>
              </w:rPr>
            </w:pPr>
            <w:r w:rsidRPr="008755A5">
              <w:rPr>
                <w:rFonts w:ascii="Arial" w:hAnsi="Arial" w:cs="Arial"/>
              </w:rPr>
              <w:t xml:space="preserve">Ministry of Interior </w:t>
            </w:r>
          </w:p>
        </w:tc>
        <w:tc>
          <w:tcPr>
            <w:tcW w:w="0" w:type="auto"/>
          </w:tcPr>
          <w:p w14:paraId="6174CCA4" w14:textId="77777777" w:rsidR="008755A5" w:rsidRPr="008755A5" w:rsidRDefault="008755A5" w:rsidP="008755A5">
            <w:pPr>
              <w:rPr>
                <w:rFonts w:ascii="Arial" w:hAnsi="Arial" w:cs="Arial"/>
              </w:rPr>
            </w:pPr>
            <w:r w:rsidRPr="008755A5">
              <w:rPr>
                <w:rFonts w:ascii="Arial" w:hAnsi="Arial" w:cs="Arial"/>
              </w:rPr>
              <w:t xml:space="preserve">Department of Public Works and Town Planning (DPT) </w:t>
            </w:r>
          </w:p>
        </w:tc>
        <w:tc>
          <w:tcPr>
            <w:tcW w:w="4875" w:type="dxa"/>
          </w:tcPr>
          <w:p w14:paraId="58DB921C" w14:textId="77777777" w:rsidR="008755A5" w:rsidRPr="008755A5" w:rsidRDefault="008755A5" w:rsidP="008755A5">
            <w:pPr>
              <w:rPr>
                <w:rFonts w:ascii="Arial" w:hAnsi="Arial" w:cs="Arial"/>
              </w:rPr>
            </w:pPr>
            <w:r w:rsidRPr="008755A5">
              <w:rPr>
                <w:rFonts w:ascii="Arial" w:hAnsi="Arial" w:cs="Arial"/>
              </w:rPr>
              <w:t>Oversees town and country planning, public works, and building control. It supports local authorities in land use, rural development, and infrastructure, while ensuring policies align with sustainable growth. DPT also sets standards in architecture, engineering, and planning to promote safety, orderliness, and a healthy environment.</w:t>
            </w:r>
          </w:p>
        </w:tc>
      </w:tr>
      <w:tr w:rsidR="008755A5" w:rsidRPr="008755A5" w14:paraId="27DB7C1A" w14:textId="77777777" w:rsidTr="008755A5">
        <w:tc>
          <w:tcPr>
            <w:tcW w:w="0" w:type="auto"/>
          </w:tcPr>
          <w:p w14:paraId="44646C34" w14:textId="77777777" w:rsidR="008755A5" w:rsidRPr="008755A5" w:rsidRDefault="008755A5" w:rsidP="008755A5">
            <w:pPr>
              <w:rPr>
                <w:rFonts w:ascii="Arial" w:hAnsi="Arial" w:cs="Arial"/>
              </w:rPr>
            </w:pPr>
          </w:p>
        </w:tc>
        <w:tc>
          <w:tcPr>
            <w:tcW w:w="0" w:type="auto"/>
          </w:tcPr>
          <w:p w14:paraId="5B97DA49" w14:textId="77777777" w:rsidR="008755A5" w:rsidRPr="008755A5" w:rsidRDefault="008755A5" w:rsidP="008755A5">
            <w:pPr>
              <w:rPr>
                <w:rFonts w:ascii="Arial" w:hAnsi="Arial" w:cs="Arial"/>
              </w:rPr>
            </w:pPr>
            <w:r w:rsidRPr="008755A5">
              <w:rPr>
                <w:rFonts w:ascii="Arial" w:hAnsi="Arial" w:cs="Arial"/>
              </w:rPr>
              <w:t xml:space="preserve">Department of Provincial Administration (DOPA) </w:t>
            </w:r>
          </w:p>
        </w:tc>
        <w:tc>
          <w:tcPr>
            <w:tcW w:w="4875" w:type="dxa"/>
          </w:tcPr>
          <w:p w14:paraId="6B9E02BA" w14:textId="77777777" w:rsidR="008755A5" w:rsidRPr="008755A5" w:rsidRDefault="008755A5" w:rsidP="008755A5">
            <w:pPr>
              <w:rPr>
                <w:rFonts w:ascii="Arial" w:hAnsi="Arial" w:cs="Arial"/>
              </w:rPr>
            </w:pPr>
            <w:r w:rsidRPr="008755A5">
              <w:rPr>
                <w:rFonts w:ascii="Arial" w:hAnsi="Arial" w:cs="Arial"/>
              </w:rPr>
              <w:t xml:space="preserve">Plays a central role in coastal governance by defining provincial sea boundaries, which provide the legal basis for coastal and marine management. It coordinates with agencies such as the Marine Department, Department of Fisheries, and Department of Marine and Coastal Resources to align policies on resource use and conservation. DOPA also supports local administrative bodies in coastal </w:t>
            </w:r>
            <w:r w:rsidRPr="008755A5">
              <w:rPr>
                <w:rFonts w:ascii="Arial" w:hAnsi="Arial" w:cs="Arial"/>
              </w:rPr>
              <w:lastRenderedPageBreak/>
              <w:t>development while ensuring law enforcement and public order.</w:t>
            </w:r>
          </w:p>
        </w:tc>
      </w:tr>
      <w:tr w:rsidR="008755A5" w:rsidRPr="008755A5" w14:paraId="73BAAD6D" w14:textId="77777777" w:rsidTr="008755A5">
        <w:tc>
          <w:tcPr>
            <w:tcW w:w="0" w:type="auto"/>
          </w:tcPr>
          <w:p w14:paraId="2A34C5E4" w14:textId="77777777" w:rsidR="008755A5" w:rsidRPr="008755A5" w:rsidRDefault="008755A5" w:rsidP="008755A5">
            <w:pPr>
              <w:rPr>
                <w:rFonts w:ascii="Arial" w:hAnsi="Arial" w:cs="Arial"/>
              </w:rPr>
            </w:pPr>
            <w:r w:rsidRPr="008755A5">
              <w:rPr>
                <w:rFonts w:ascii="Arial" w:hAnsi="Arial" w:cs="Arial"/>
              </w:rPr>
              <w:lastRenderedPageBreak/>
              <w:t>Ministry of Social Development and Human Security</w:t>
            </w:r>
          </w:p>
        </w:tc>
        <w:tc>
          <w:tcPr>
            <w:tcW w:w="0" w:type="auto"/>
          </w:tcPr>
          <w:p w14:paraId="45988A81" w14:textId="77777777" w:rsidR="008755A5" w:rsidRPr="008755A5" w:rsidRDefault="008755A5" w:rsidP="008755A5">
            <w:pPr>
              <w:rPr>
                <w:rFonts w:ascii="Arial" w:hAnsi="Arial" w:cs="Arial"/>
              </w:rPr>
            </w:pPr>
            <w:r w:rsidRPr="008755A5">
              <w:rPr>
                <w:rFonts w:ascii="Arial" w:hAnsi="Arial" w:cs="Arial"/>
              </w:rPr>
              <w:t xml:space="preserve">Department of Social Development and Welfare (DSDW), </w:t>
            </w:r>
          </w:p>
        </w:tc>
        <w:tc>
          <w:tcPr>
            <w:tcW w:w="4875" w:type="dxa"/>
          </w:tcPr>
          <w:p w14:paraId="08064611" w14:textId="77777777" w:rsidR="008755A5" w:rsidRPr="008755A5" w:rsidRDefault="008755A5" w:rsidP="008755A5">
            <w:pPr>
              <w:rPr>
                <w:rFonts w:ascii="Arial" w:hAnsi="Arial" w:cs="Arial"/>
              </w:rPr>
            </w:pPr>
            <w:r w:rsidRPr="008755A5">
              <w:rPr>
                <w:rFonts w:ascii="Arial" w:hAnsi="Arial" w:cs="Arial"/>
              </w:rPr>
              <w:t xml:space="preserve">Protect and enhance the way of life for ethnic communities residing along the shore </w:t>
            </w:r>
          </w:p>
        </w:tc>
      </w:tr>
      <w:tr w:rsidR="008755A5" w:rsidRPr="008755A5" w14:paraId="425E28D2" w14:textId="77777777" w:rsidTr="008755A5">
        <w:tc>
          <w:tcPr>
            <w:tcW w:w="0" w:type="auto"/>
            <w:vMerge w:val="restart"/>
          </w:tcPr>
          <w:p w14:paraId="5B9C11BA" w14:textId="77777777" w:rsidR="008755A5" w:rsidRPr="008755A5" w:rsidRDefault="008755A5" w:rsidP="008755A5">
            <w:pPr>
              <w:rPr>
                <w:rFonts w:ascii="Arial" w:hAnsi="Arial" w:cs="Arial"/>
              </w:rPr>
            </w:pPr>
            <w:r w:rsidRPr="008755A5">
              <w:rPr>
                <w:rFonts w:ascii="Arial" w:hAnsi="Arial" w:cs="Arial"/>
              </w:rPr>
              <w:t>Office of the Prime Minister</w:t>
            </w:r>
          </w:p>
        </w:tc>
        <w:tc>
          <w:tcPr>
            <w:tcW w:w="0" w:type="auto"/>
          </w:tcPr>
          <w:p w14:paraId="0D60F267" w14:textId="77777777" w:rsidR="008755A5" w:rsidRPr="008755A5" w:rsidRDefault="008755A5" w:rsidP="008755A5">
            <w:pPr>
              <w:rPr>
                <w:rFonts w:ascii="Arial" w:hAnsi="Arial" w:cs="Arial"/>
              </w:rPr>
            </w:pPr>
            <w:r w:rsidRPr="008755A5">
              <w:rPr>
                <w:rFonts w:ascii="Arial" w:hAnsi="Arial" w:cs="Arial"/>
              </w:rPr>
              <w:t>Office of the National Security Council (ONSC)</w:t>
            </w:r>
          </w:p>
        </w:tc>
        <w:tc>
          <w:tcPr>
            <w:tcW w:w="4875" w:type="dxa"/>
          </w:tcPr>
          <w:p w14:paraId="5B40071F" w14:textId="77777777" w:rsidR="008755A5" w:rsidRPr="008755A5" w:rsidRDefault="008755A5" w:rsidP="008755A5">
            <w:pPr>
              <w:rPr>
                <w:rFonts w:ascii="Arial" w:hAnsi="Arial" w:cs="Arial"/>
              </w:rPr>
            </w:pPr>
            <w:r w:rsidRPr="008755A5">
              <w:rPr>
                <w:rFonts w:ascii="Arial" w:hAnsi="Arial" w:cs="Arial"/>
              </w:rPr>
              <w:t>Maintaining maritime security and interests</w:t>
            </w:r>
          </w:p>
        </w:tc>
      </w:tr>
      <w:tr w:rsidR="008755A5" w:rsidRPr="008755A5" w14:paraId="0303F137" w14:textId="77777777" w:rsidTr="008755A5">
        <w:tc>
          <w:tcPr>
            <w:tcW w:w="0" w:type="auto"/>
            <w:vMerge/>
          </w:tcPr>
          <w:p w14:paraId="3150E418" w14:textId="77777777" w:rsidR="008755A5" w:rsidRPr="008755A5" w:rsidRDefault="008755A5" w:rsidP="008755A5">
            <w:pPr>
              <w:rPr>
                <w:rFonts w:ascii="Arial" w:hAnsi="Arial" w:cs="Arial"/>
              </w:rPr>
            </w:pPr>
          </w:p>
        </w:tc>
        <w:tc>
          <w:tcPr>
            <w:tcW w:w="0" w:type="auto"/>
          </w:tcPr>
          <w:p w14:paraId="074B4477" w14:textId="77777777" w:rsidR="008755A5" w:rsidRPr="008755A5" w:rsidRDefault="008755A5" w:rsidP="008755A5">
            <w:pPr>
              <w:rPr>
                <w:rFonts w:ascii="Arial" w:hAnsi="Arial" w:cs="Arial"/>
              </w:rPr>
            </w:pPr>
            <w:r w:rsidRPr="008755A5">
              <w:rPr>
                <w:rFonts w:ascii="Arial" w:hAnsi="Arial" w:cs="Arial"/>
              </w:rPr>
              <w:t>Thai-MECC</w:t>
            </w:r>
          </w:p>
        </w:tc>
        <w:tc>
          <w:tcPr>
            <w:tcW w:w="4875" w:type="dxa"/>
          </w:tcPr>
          <w:p w14:paraId="6D8E313D" w14:textId="77777777" w:rsidR="008755A5" w:rsidRPr="008755A5" w:rsidRDefault="008755A5" w:rsidP="008755A5">
            <w:pPr>
              <w:rPr>
                <w:rFonts w:ascii="Arial" w:hAnsi="Arial" w:cs="Arial"/>
              </w:rPr>
            </w:pPr>
            <w:r w:rsidRPr="008755A5">
              <w:rPr>
                <w:rFonts w:ascii="Arial" w:hAnsi="Arial" w:cs="Arial"/>
              </w:rPr>
              <w:t>Carry out surveillance and investigation into any matter deemed a threat to Thailand’s maritime interests and exercise tactical control over the Royal Thai Navy. As per the Maritime National Interests Protection Act (2019), Thai-MECC has the duty to plan, administer, coordinate, order, and support the operation of the state agencies involved in the maritime national interests.</w:t>
            </w:r>
          </w:p>
        </w:tc>
      </w:tr>
      <w:tr w:rsidR="008755A5" w:rsidRPr="008755A5" w14:paraId="3845E063" w14:textId="77777777" w:rsidTr="008755A5">
        <w:tc>
          <w:tcPr>
            <w:tcW w:w="0" w:type="auto"/>
            <w:vMerge/>
          </w:tcPr>
          <w:p w14:paraId="49498ECA" w14:textId="77777777" w:rsidR="008755A5" w:rsidRPr="008755A5" w:rsidRDefault="008755A5" w:rsidP="008755A5">
            <w:pPr>
              <w:rPr>
                <w:rFonts w:ascii="Arial" w:hAnsi="Arial" w:cs="Arial"/>
              </w:rPr>
            </w:pPr>
          </w:p>
        </w:tc>
        <w:tc>
          <w:tcPr>
            <w:tcW w:w="0" w:type="auto"/>
          </w:tcPr>
          <w:p w14:paraId="25F7C3FD" w14:textId="77777777" w:rsidR="008755A5" w:rsidRPr="008755A5" w:rsidRDefault="008755A5" w:rsidP="008755A5">
            <w:pPr>
              <w:rPr>
                <w:rFonts w:ascii="Arial" w:hAnsi="Arial" w:cs="Arial"/>
              </w:rPr>
            </w:pPr>
            <w:r w:rsidRPr="008755A5">
              <w:rPr>
                <w:rFonts w:ascii="Arial" w:hAnsi="Arial" w:cs="Arial"/>
              </w:rPr>
              <w:t>National Economic and Social Development Board (NESDB)</w:t>
            </w:r>
          </w:p>
        </w:tc>
        <w:tc>
          <w:tcPr>
            <w:tcW w:w="4875" w:type="dxa"/>
          </w:tcPr>
          <w:p w14:paraId="2D267AE8" w14:textId="77777777" w:rsidR="008755A5" w:rsidRPr="008755A5" w:rsidRDefault="008755A5" w:rsidP="008755A5">
            <w:pPr>
              <w:rPr>
                <w:rFonts w:ascii="Arial" w:hAnsi="Arial" w:cs="Arial"/>
              </w:rPr>
            </w:pPr>
            <w:r w:rsidRPr="008755A5">
              <w:rPr>
                <w:rFonts w:ascii="Arial" w:hAnsi="Arial" w:cs="Arial"/>
              </w:rPr>
              <w:t>Oversees the implementation of the thirteenth national economic and social development plan (2023-2027), including the Natural Resources and Environmental Dimension of the National Development Context, which includes marine and coastal resources. It is also responsible for setting up the coordination mechanism between the NESDB, concerned agencies, and state enterprises regarding the planning and implementation of development programs and projects.</w:t>
            </w:r>
          </w:p>
        </w:tc>
      </w:tr>
    </w:tbl>
    <w:p w14:paraId="6BBE0217" w14:textId="77777777" w:rsidR="008755A5" w:rsidRDefault="008755A5" w:rsidP="008755A5"/>
    <w:p w14:paraId="73631B2C" w14:textId="77777777" w:rsidR="008755A5" w:rsidRDefault="008755A5">
      <w:pPr>
        <w:spacing w:before="120" w:after="120"/>
        <w:ind w:firstLine="1134"/>
        <w:jc w:val="thaiDistribute"/>
        <w:rPr>
          <w:rFonts w:ascii="Arial" w:hAnsi="Arial" w:cs="Arial"/>
          <w:sz w:val="18"/>
          <w:szCs w:val="18"/>
        </w:rPr>
      </w:pPr>
      <w:r>
        <w:rPr>
          <w:rFonts w:ascii="Arial" w:hAnsi="Arial" w:cs="Arial"/>
          <w:sz w:val="18"/>
          <w:szCs w:val="18"/>
        </w:rPr>
        <w:br w:type="page"/>
      </w:r>
    </w:p>
    <w:p w14:paraId="3C1659B3" w14:textId="77777777" w:rsidR="008755A5" w:rsidRDefault="008755A5" w:rsidP="008755A5">
      <w:pPr>
        <w:rPr>
          <w:rFonts w:ascii="Arial" w:hAnsi="Arial" w:cs="Arial"/>
        </w:rPr>
      </w:pPr>
      <w:r w:rsidRPr="008755A5">
        <w:rPr>
          <w:rFonts w:ascii="Arial" w:hAnsi="Arial" w:cs="Arial"/>
        </w:rPr>
        <w:lastRenderedPageBreak/>
        <w:t xml:space="preserve">Annex 7: Institutions' roles (Policy committees) and relevance to the marine and coastal resources management </w:t>
      </w:r>
    </w:p>
    <w:p w14:paraId="407C0577" w14:textId="77777777" w:rsidR="008755A5" w:rsidRPr="008755A5" w:rsidRDefault="008755A5" w:rsidP="008755A5">
      <w:pPr>
        <w:rPr>
          <w:rFonts w:ascii="Arial" w:hAnsi="Arial" w:cs="Arial"/>
        </w:rPr>
      </w:pPr>
    </w:p>
    <w:tbl>
      <w:tblPr>
        <w:tblStyle w:val="GridTable4"/>
        <w:tblW w:w="9072" w:type="dxa"/>
        <w:tblLook w:val="04A0" w:firstRow="1" w:lastRow="0" w:firstColumn="1" w:lastColumn="0" w:noHBand="0" w:noVBand="1"/>
      </w:tblPr>
      <w:tblGrid>
        <w:gridCol w:w="2972"/>
        <w:gridCol w:w="6100"/>
      </w:tblGrid>
      <w:tr w:rsidR="008755A5" w:rsidRPr="008755A5" w14:paraId="0A57BEBF" w14:textId="77777777" w:rsidTr="008755A5">
        <w:trPr>
          <w:cnfStyle w:val="100000000000" w:firstRow="1" w:lastRow="0" w:firstColumn="0" w:lastColumn="0" w:oddVBand="0" w:evenVBand="0" w:oddHBand="0" w:evenHBand="0" w:firstRowFirstColumn="0" w:firstRowLastColumn="0" w:lastRowFirstColumn="0" w:lastRowLastColumn="0"/>
          <w:trHeight w:val="290"/>
          <w:tblHeader/>
        </w:trPr>
        <w:tc>
          <w:tcPr>
            <w:cnfStyle w:val="001000000000" w:firstRow="0" w:lastRow="0" w:firstColumn="1" w:lastColumn="0" w:oddVBand="0" w:evenVBand="0" w:oddHBand="0" w:evenHBand="0" w:firstRowFirstColumn="0" w:firstRowLastColumn="0" w:lastRowFirstColumn="0" w:lastRowLastColumn="0"/>
            <w:tcW w:w="2972" w:type="dxa"/>
            <w:hideMark/>
          </w:tcPr>
          <w:p w14:paraId="70EA6D1C" w14:textId="77777777" w:rsidR="008755A5" w:rsidRPr="008755A5" w:rsidRDefault="008755A5" w:rsidP="008755A5">
            <w:pPr>
              <w:jc w:val="center"/>
              <w:rPr>
                <w:rFonts w:ascii="Arial" w:eastAsia="Times New Roman" w:hAnsi="Arial" w:cs="Arial"/>
                <w:color w:val="E7E6E6" w:themeColor="background2"/>
                <w:lang w:eastAsia="ja-JP"/>
              </w:rPr>
            </w:pPr>
            <w:r w:rsidRPr="008755A5">
              <w:rPr>
                <w:rFonts w:ascii="Arial" w:eastAsia="Times New Roman" w:hAnsi="Arial" w:cs="Arial"/>
                <w:color w:val="E7E6E6" w:themeColor="background2"/>
                <w:lang w:eastAsia="ja-JP"/>
              </w:rPr>
              <w:t>Institution</w:t>
            </w:r>
          </w:p>
        </w:tc>
        <w:tc>
          <w:tcPr>
            <w:tcW w:w="6100" w:type="dxa"/>
            <w:hideMark/>
          </w:tcPr>
          <w:p w14:paraId="6C68C4EE" w14:textId="77777777" w:rsidR="008755A5" w:rsidRPr="008755A5" w:rsidRDefault="008755A5" w:rsidP="008755A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E7E6E6" w:themeColor="background2"/>
                <w:lang w:eastAsia="ja-JP"/>
              </w:rPr>
            </w:pPr>
            <w:r w:rsidRPr="008755A5">
              <w:rPr>
                <w:rFonts w:ascii="Arial" w:eastAsia="Times New Roman" w:hAnsi="Arial" w:cs="Arial"/>
                <w:color w:val="E7E6E6" w:themeColor="background2"/>
                <w:lang w:eastAsia="ja-JP"/>
              </w:rPr>
              <w:t xml:space="preserve">Relevance to marine and coastal resources management </w:t>
            </w:r>
          </w:p>
        </w:tc>
      </w:tr>
      <w:tr w:rsidR="008755A5" w:rsidRPr="008755A5" w14:paraId="1F40586F" w14:textId="77777777" w:rsidTr="008755A5">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633D6898" w14:textId="671B0C1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t>National Policy and Plan Committee on Marine and Coastal Resource Management (NMCR</w:t>
            </w:r>
            <w:r w:rsidR="00A131CB">
              <w:rPr>
                <w:rFonts w:ascii="Arial" w:eastAsia="Times New Roman" w:hAnsi="Arial" w:cs="Arial"/>
                <w:b w:val="0"/>
                <w:bCs w:val="0"/>
                <w:color w:val="000000"/>
                <w:lang w:eastAsia="ja-JP"/>
              </w:rPr>
              <w:t>C</w:t>
            </w:r>
            <w:r w:rsidRPr="008755A5">
              <w:rPr>
                <w:rFonts w:ascii="Arial" w:eastAsia="Times New Roman" w:hAnsi="Arial" w:cs="Arial"/>
                <w:b w:val="0"/>
                <w:bCs w:val="0"/>
                <w:color w:val="000000"/>
                <w:lang w:eastAsia="ja-JP"/>
              </w:rPr>
              <w:t>)</w:t>
            </w:r>
          </w:p>
        </w:tc>
        <w:tc>
          <w:tcPr>
            <w:tcW w:w="6100" w:type="dxa"/>
            <w:shd w:val="clear" w:color="auto" w:fill="FFFFFF" w:themeFill="background1"/>
            <w:hideMark/>
          </w:tcPr>
          <w:p w14:paraId="45E28CCC" w14:textId="77777777" w:rsidR="008755A5" w:rsidRPr="008755A5" w:rsidRDefault="008755A5" w:rsidP="008755A5">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Oversees marine and coastal resource management policies. Supported by DMCR, it formulates policies, plans, and guidelines for sustainable use and conservation, including the designation of marine and coastal protected areas.</w:t>
            </w:r>
          </w:p>
        </w:tc>
      </w:tr>
      <w:tr w:rsidR="008755A5" w:rsidRPr="008755A5" w14:paraId="318267F5" w14:textId="77777777" w:rsidTr="008755A5">
        <w:trPr>
          <w:trHeight w:val="870"/>
        </w:trPr>
        <w:tc>
          <w:tcPr>
            <w:cnfStyle w:val="001000000000" w:firstRow="0" w:lastRow="0" w:firstColumn="1" w:lastColumn="0" w:oddVBand="0" w:evenVBand="0" w:oddHBand="0" w:evenHBand="0" w:firstRowFirstColumn="0" w:firstRowLastColumn="0" w:lastRowFirstColumn="0" w:lastRowLastColumn="0"/>
            <w:tcW w:w="2972" w:type="dxa"/>
            <w:hideMark/>
          </w:tcPr>
          <w:p w14:paraId="028D6A80" w14:textId="7777777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t>National Maritime Interests Protection Policy Committee (MIP)</w:t>
            </w:r>
          </w:p>
        </w:tc>
        <w:tc>
          <w:tcPr>
            <w:tcW w:w="6100" w:type="dxa"/>
            <w:hideMark/>
          </w:tcPr>
          <w:p w14:paraId="063B719E" w14:textId="77777777" w:rsidR="008755A5" w:rsidRPr="008755A5" w:rsidRDefault="008755A5" w:rsidP="008755A5">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 xml:space="preserve">Focuses on protecting Thailand’s maritime interests. Supported by the Office of NSC, it develops policies and strategies for maritime security and sustainable use. </w:t>
            </w:r>
            <w:r w:rsidRPr="008755A5">
              <w:rPr>
                <w:rFonts w:ascii="Arial" w:hAnsi="Arial" w:cs="Arial"/>
                <w:szCs w:val="22"/>
              </w:rPr>
              <w:t xml:space="preserve">Six Sub-committees are established to support its tasks. These include: </w:t>
            </w:r>
            <w:r w:rsidRPr="008755A5">
              <w:rPr>
                <w:rStyle w:val="rynqvb"/>
                <w:rFonts w:ascii="Arial" w:hAnsi="Arial" w:cs="Arial"/>
                <w:szCs w:val="22"/>
              </w:rPr>
              <w:t>1)</w:t>
            </w:r>
            <w:r w:rsidRPr="008755A5">
              <w:rPr>
                <w:rFonts w:ascii="Arial" w:hAnsi="Arial" w:cs="Arial"/>
                <w:szCs w:val="22"/>
              </w:rPr>
              <w:t xml:space="preserve"> Sub-committee on Advice &amp; Knowledge management for the national maritime interest (SAKM), which contain 6 working groups (Stable aspects, Prosperity and Sustainable aspects, Legal aspects, Public relation aspect, Advocacy of the Thai Ocean Health Index Evaluation, and establishing a Thai Marine Think Tank); 2) Sub-committee on evaluating the national maritime security plan; 3) Sub- committee on coordination &amp; monitoring of national maritime security plan; 4) Sub- committee on marine interests and security situation assessment; 5) Sub- committee on drafting maritime security index for the national maritime security plan; and 6) Sub- committee on Marine Use Zoning for MSP Thailand (Sub-com MSP)</w:t>
            </w:r>
            <w:r w:rsidRPr="008755A5">
              <w:rPr>
                <w:rStyle w:val="rynqvb"/>
                <w:rFonts w:ascii="Arial" w:hAnsi="Arial" w:cs="Arial"/>
                <w:szCs w:val="22"/>
              </w:rPr>
              <w:t xml:space="preserve">. </w:t>
            </w:r>
          </w:p>
        </w:tc>
      </w:tr>
      <w:tr w:rsidR="008755A5" w:rsidRPr="008755A5" w14:paraId="6F4C2C2C" w14:textId="77777777" w:rsidTr="008755A5">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72DAFD41" w14:textId="7777777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t>National Environment Board (NEB)</w:t>
            </w:r>
          </w:p>
        </w:tc>
        <w:tc>
          <w:tcPr>
            <w:tcW w:w="6100" w:type="dxa"/>
            <w:shd w:val="clear" w:color="auto" w:fill="FFFFFF" w:themeFill="background1"/>
            <w:hideMark/>
          </w:tcPr>
          <w:p w14:paraId="5632A0B5" w14:textId="77777777" w:rsidR="008755A5" w:rsidRPr="008755A5" w:rsidRDefault="008755A5" w:rsidP="008755A5">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Provides policy direction on environmental management. Supported by ONEP, it integrates MSP into broader environmental conservation policies and frameworks.</w:t>
            </w:r>
          </w:p>
        </w:tc>
      </w:tr>
      <w:tr w:rsidR="008755A5" w:rsidRPr="008755A5" w14:paraId="60E3ED98" w14:textId="77777777" w:rsidTr="008755A5">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58478DD1" w14:textId="7777777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t>National Economic and Social Development Council (NESDC)</w:t>
            </w:r>
          </w:p>
        </w:tc>
        <w:tc>
          <w:tcPr>
            <w:tcW w:w="6100" w:type="dxa"/>
            <w:shd w:val="clear" w:color="auto" w:fill="FFFFFF" w:themeFill="background1"/>
            <w:hideMark/>
          </w:tcPr>
          <w:p w14:paraId="4C187240" w14:textId="77777777" w:rsidR="008755A5" w:rsidRPr="008755A5" w:rsidRDefault="008755A5" w:rsidP="008755A5">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Coordinates Thailand’s economic and social development planning. Supports marine and coastal resources conservation by aligning it with national development plans such as the Thirteenth NESDP.</w:t>
            </w:r>
          </w:p>
        </w:tc>
      </w:tr>
      <w:tr w:rsidR="008755A5" w:rsidRPr="008755A5" w14:paraId="1460DD23" w14:textId="77777777" w:rsidTr="008755A5">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231ED316" w14:textId="7777777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t>National Committee on Conservation and Utilization of Biodiversity (NCB)</w:t>
            </w:r>
          </w:p>
        </w:tc>
        <w:tc>
          <w:tcPr>
            <w:tcW w:w="6100" w:type="dxa"/>
            <w:shd w:val="clear" w:color="auto" w:fill="FFFFFF" w:themeFill="background1"/>
            <w:hideMark/>
          </w:tcPr>
          <w:p w14:paraId="7094B7EC" w14:textId="77777777" w:rsidR="008755A5" w:rsidRPr="008755A5" w:rsidRDefault="008755A5" w:rsidP="008755A5">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Oversees biodiversity conservation policies. Ensures integration of MSP with goals for protecting marine and coastal biodiversity.</w:t>
            </w:r>
          </w:p>
        </w:tc>
      </w:tr>
      <w:tr w:rsidR="008755A5" w:rsidRPr="008755A5" w14:paraId="1A54ED89" w14:textId="77777777" w:rsidTr="008755A5">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631039B1" w14:textId="7777777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t>National Committee on Climate Change Policy (NCCC)</w:t>
            </w:r>
          </w:p>
        </w:tc>
        <w:tc>
          <w:tcPr>
            <w:tcW w:w="6100" w:type="dxa"/>
            <w:shd w:val="clear" w:color="auto" w:fill="FFFFFF" w:themeFill="background1"/>
            <w:hideMark/>
          </w:tcPr>
          <w:p w14:paraId="00821B10" w14:textId="77777777" w:rsidR="008755A5" w:rsidRPr="008755A5" w:rsidRDefault="008755A5" w:rsidP="008755A5">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Develops climate change policies and strategies. Ensures MSP incorporates climate resilience and adaptation measures for marine and coastal areas.</w:t>
            </w:r>
          </w:p>
        </w:tc>
      </w:tr>
      <w:tr w:rsidR="008755A5" w:rsidRPr="008755A5" w14:paraId="04E4BF6E" w14:textId="77777777" w:rsidTr="008755A5">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47296781" w14:textId="7777777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lastRenderedPageBreak/>
              <w:t>National Fishery Policy Committee (NFPC)</w:t>
            </w:r>
          </w:p>
        </w:tc>
        <w:tc>
          <w:tcPr>
            <w:tcW w:w="6100" w:type="dxa"/>
            <w:shd w:val="clear" w:color="auto" w:fill="FFFFFF" w:themeFill="background1"/>
            <w:hideMark/>
          </w:tcPr>
          <w:p w14:paraId="1A7490D3" w14:textId="77777777" w:rsidR="008755A5" w:rsidRPr="008755A5" w:rsidRDefault="008755A5" w:rsidP="008755A5">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Governs fisheries policy and management. Aligns fisheries management with the objectives to ensure sustainable use of marine resources.</w:t>
            </w:r>
          </w:p>
        </w:tc>
      </w:tr>
      <w:tr w:rsidR="008755A5" w:rsidRPr="008755A5" w14:paraId="440FAD87" w14:textId="77777777" w:rsidTr="008755A5">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56908B18" w14:textId="7777777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t>National Park Committee (NPC)</w:t>
            </w:r>
          </w:p>
        </w:tc>
        <w:tc>
          <w:tcPr>
            <w:tcW w:w="6100" w:type="dxa"/>
            <w:shd w:val="clear" w:color="auto" w:fill="FFFFFF" w:themeFill="background1"/>
            <w:hideMark/>
          </w:tcPr>
          <w:p w14:paraId="0234F10A" w14:textId="77777777" w:rsidR="008755A5" w:rsidRPr="008755A5" w:rsidRDefault="008755A5" w:rsidP="008755A5">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Manages national parks and protected areas. Facilitates the inclusion of marine protected areas in the marine and coastal resources.</w:t>
            </w:r>
          </w:p>
        </w:tc>
      </w:tr>
      <w:tr w:rsidR="008755A5" w:rsidRPr="008755A5" w14:paraId="712AA228" w14:textId="77777777" w:rsidTr="008755A5">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2880E3EC" w14:textId="7777777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t>Subcommittee on Management of Marine and Coastal Resources (under NMCRC)</w:t>
            </w:r>
          </w:p>
        </w:tc>
        <w:tc>
          <w:tcPr>
            <w:tcW w:w="6100" w:type="dxa"/>
            <w:shd w:val="clear" w:color="auto" w:fill="FFFFFF" w:themeFill="background1"/>
            <w:hideMark/>
          </w:tcPr>
          <w:p w14:paraId="73B490F9" w14:textId="77777777" w:rsidR="008755A5" w:rsidRPr="008755A5" w:rsidRDefault="008755A5" w:rsidP="008755A5">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 xml:space="preserve">Focuses on approving policy and management plans for marine and coastal resources, and the designation and management of marine and coastal protected areas. </w:t>
            </w:r>
            <w:r w:rsidRPr="008755A5">
              <w:rPr>
                <w:rFonts w:ascii="Arial" w:hAnsi="Arial" w:cs="Arial"/>
              </w:rPr>
              <w:t xml:space="preserve">Eight subcommittees are created to support the NMCRC dealing with specific issues include: 1) mangrove and beach forest, 2) coastal erosion, 3) marine environment protection, 4) annual performance report, 5) stakeholders’ participation in marine and coastal resources management, 6) managing marine and coastal resources (through designation of marine and coastal protected areas); 7) conservation of Dugong; 8) resolving coastal erosion problems around the areas of </w:t>
            </w:r>
            <w:proofErr w:type="spellStart"/>
            <w:r w:rsidRPr="008755A5">
              <w:rPr>
                <w:rFonts w:ascii="Arial" w:hAnsi="Arial" w:cs="Arial"/>
              </w:rPr>
              <w:t>Mrigadayawan</w:t>
            </w:r>
            <w:proofErr w:type="spellEnd"/>
            <w:r w:rsidRPr="008755A5">
              <w:rPr>
                <w:rFonts w:ascii="Arial" w:hAnsi="Arial" w:cs="Arial"/>
              </w:rPr>
              <w:t xml:space="preserve"> Palace.</w:t>
            </w:r>
          </w:p>
        </w:tc>
      </w:tr>
      <w:tr w:rsidR="008755A5" w:rsidRPr="008755A5" w14:paraId="6110F4B7" w14:textId="77777777" w:rsidTr="008755A5">
        <w:trPr>
          <w:trHeight w:val="580"/>
        </w:trPr>
        <w:tc>
          <w:tcPr>
            <w:cnfStyle w:val="001000000000" w:firstRow="0" w:lastRow="0" w:firstColumn="1" w:lastColumn="0" w:oddVBand="0" w:evenVBand="0" w:oddHBand="0" w:evenHBand="0" w:firstRowFirstColumn="0" w:firstRowLastColumn="0" w:lastRowFirstColumn="0" w:lastRowLastColumn="0"/>
            <w:tcW w:w="2972" w:type="dxa"/>
            <w:hideMark/>
          </w:tcPr>
          <w:p w14:paraId="0B9BC28F" w14:textId="77777777" w:rsidR="008755A5" w:rsidRPr="008755A5" w:rsidRDefault="008755A5" w:rsidP="008755A5">
            <w:pPr>
              <w:rPr>
                <w:rFonts w:ascii="Arial" w:eastAsia="Times New Roman" w:hAnsi="Arial" w:cs="Arial"/>
                <w:b w:val="0"/>
                <w:bCs w:val="0"/>
                <w:color w:val="000000"/>
                <w:lang w:eastAsia="ja-JP"/>
              </w:rPr>
            </w:pPr>
            <w:r w:rsidRPr="008755A5">
              <w:rPr>
                <w:rFonts w:ascii="Arial" w:eastAsia="Times New Roman" w:hAnsi="Arial" w:cs="Arial"/>
                <w:b w:val="0"/>
                <w:bCs w:val="0"/>
                <w:color w:val="000000"/>
                <w:lang w:eastAsia="ja-JP"/>
              </w:rPr>
              <w:t>Subcommittee on Marine Use Zoning in Thailand (under MIP)</w:t>
            </w:r>
          </w:p>
        </w:tc>
        <w:tc>
          <w:tcPr>
            <w:tcW w:w="6100" w:type="dxa"/>
            <w:hideMark/>
          </w:tcPr>
          <w:p w14:paraId="71839C52" w14:textId="77777777" w:rsidR="008755A5" w:rsidRPr="008755A5" w:rsidRDefault="008755A5" w:rsidP="008755A5">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8755A5">
              <w:rPr>
                <w:rFonts w:ascii="Arial" w:eastAsia="Times New Roman" w:hAnsi="Arial" w:cs="Arial"/>
                <w:color w:val="000000"/>
                <w:lang w:eastAsia="ja-JP"/>
              </w:rPr>
              <w:t xml:space="preserve">Directly responsible for MSP implementation, including zoning and maritime boundary delineation to standardize marine management zones and ensure effective spatial planning. </w:t>
            </w:r>
          </w:p>
        </w:tc>
      </w:tr>
    </w:tbl>
    <w:p w14:paraId="6289054B" w14:textId="77777777" w:rsidR="003E4196" w:rsidRDefault="003E4196" w:rsidP="008755A5">
      <w:pPr>
        <w:spacing w:before="120" w:after="120"/>
        <w:contextualSpacing/>
        <w:rPr>
          <w:rFonts w:ascii="Arial" w:hAnsi="Arial" w:cs="Arial"/>
          <w:sz w:val="18"/>
          <w:szCs w:val="18"/>
        </w:rPr>
      </w:pPr>
    </w:p>
    <w:p w14:paraId="3D9CEEE7" w14:textId="77777777" w:rsidR="008755A5" w:rsidRDefault="008755A5">
      <w:pPr>
        <w:spacing w:before="120" w:after="120"/>
        <w:ind w:firstLine="1134"/>
        <w:jc w:val="thaiDistribute"/>
        <w:rPr>
          <w:rFonts w:ascii="Arial" w:hAnsi="Arial" w:cs="Arial"/>
          <w:sz w:val="18"/>
          <w:szCs w:val="18"/>
        </w:rPr>
      </w:pPr>
      <w:r>
        <w:rPr>
          <w:rFonts w:ascii="Arial" w:hAnsi="Arial" w:cs="Arial"/>
          <w:sz w:val="18"/>
          <w:szCs w:val="18"/>
        </w:rPr>
        <w:br w:type="page"/>
      </w:r>
    </w:p>
    <w:p w14:paraId="4885F9E5" w14:textId="77777777" w:rsidR="008755A5" w:rsidRPr="008755A5" w:rsidRDefault="008755A5" w:rsidP="00CC7572">
      <w:pPr>
        <w:spacing w:before="120" w:after="120"/>
        <w:rPr>
          <w:rFonts w:ascii="Arial" w:hAnsi="Arial" w:cs="Arial"/>
          <w:b/>
          <w:bCs/>
          <w:i/>
          <w:iCs/>
          <w:color w:val="000000" w:themeColor="text1"/>
        </w:rPr>
      </w:pPr>
      <w:r w:rsidRPr="008755A5">
        <w:rPr>
          <w:rFonts w:ascii="Arial" w:hAnsi="Arial" w:cs="Arial"/>
          <w:color w:val="EE0000"/>
        </w:rPr>
        <w:lastRenderedPageBreak/>
        <w:t xml:space="preserve">Annex 8: Thailand’s engagement with key global, regional, and bilateral partners </w:t>
      </w:r>
    </w:p>
    <w:p w14:paraId="56D0A832" w14:textId="77777777" w:rsidR="00CC7572" w:rsidRDefault="00CC7572" w:rsidP="00CC7572">
      <w:pPr>
        <w:spacing w:before="120" w:after="120"/>
        <w:rPr>
          <w:rFonts w:ascii="Arial" w:hAnsi="Arial" w:cs="Arial"/>
          <w:b/>
          <w:bCs/>
          <w:i/>
          <w:iCs/>
          <w:color w:val="000000" w:themeColor="text1"/>
        </w:rPr>
      </w:pPr>
    </w:p>
    <w:p w14:paraId="1DD1767C" w14:textId="77777777" w:rsidR="008755A5" w:rsidRPr="008755A5" w:rsidRDefault="008755A5" w:rsidP="00CC7572">
      <w:pPr>
        <w:spacing w:before="120" w:after="120"/>
        <w:rPr>
          <w:rFonts w:ascii="Arial" w:hAnsi="Arial" w:cs="Arial"/>
          <w:b/>
          <w:bCs/>
          <w:i/>
          <w:iCs/>
          <w:color w:val="000000" w:themeColor="text1"/>
        </w:rPr>
      </w:pPr>
      <w:r w:rsidRPr="008755A5">
        <w:rPr>
          <w:rFonts w:ascii="Arial" w:hAnsi="Arial" w:cs="Arial"/>
          <w:b/>
          <w:bCs/>
          <w:i/>
          <w:iCs/>
          <w:color w:val="000000" w:themeColor="text1"/>
        </w:rPr>
        <w:t>A. Global and Multilateral Engagement</w:t>
      </w:r>
    </w:p>
    <w:p w14:paraId="07BB313E" w14:textId="77777777" w:rsidR="008755A5" w:rsidRPr="008755A5" w:rsidRDefault="008755A5" w:rsidP="00CC7572">
      <w:pPr>
        <w:spacing w:before="120" w:after="120"/>
        <w:jc w:val="thaiDistribute"/>
        <w:rPr>
          <w:rFonts w:ascii="Arial" w:hAnsi="Arial" w:cs="Arial"/>
          <w:b/>
          <w:bCs/>
          <w:color w:val="000000" w:themeColor="text1"/>
        </w:rPr>
      </w:pPr>
      <w:r w:rsidRPr="008755A5">
        <w:rPr>
          <w:rFonts w:ascii="Arial" w:hAnsi="Arial" w:cs="Arial"/>
          <w:b/>
          <w:bCs/>
          <w:color w:val="000000" w:themeColor="text1"/>
        </w:rPr>
        <w:t>1) DMCR–UNESCO Collaboration</w:t>
      </w:r>
    </w:p>
    <w:p w14:paraId="335CC1DC" w14:textId="77777777" w:rsidR="004F496B" w:rsidRDefault="008755A5" w:rsidP="00CC7572">
      <w:pPr>
        <w:spacing w:before="120" w:after="120"/>
        <w:jc w:val="thaiDistribute"/>
        <w:rPr>
          <w:rFonts w:ascii="Arial" w:hAnsi="Arial" w:cs="Arial"/>
          <w:color w:val="000000" w:themeColor="text1"/>
        </w:rPr>
      </w:pPr>
      <w:r w:rsidRPr="008755A5">
        <w:rPr>
          <w:rFonts w:ascii="Arial" w:hAnsi="Arial" w:cs="Arial"/>
          <w:color w:val="000000" w:themeColor="text1"/>
        </w:rPr>
        <w:t>DMCR collaborates with UNESCO to promote the conservation and sustainable management of marine and coastal ecosystems through science, education, and culture-based initiatives.</w:t>
      </w:r>
    </w:p>
    <w:p w14:paraId="0885E074" w14:textId="77777777" w:rsidR="008755A5" w:rsidRPr="008755A5" w:rsidRDefault="008755A5" w:rsidP="00CC7572">
      <w:pPr>
        <w:spacing w:before="120" w:after="120"/>
        <w:jc w:val="thaiDistribute"/>
        <w:rPr>
          <w:rFonts w:ascii="Arial" w:hAnsi="Arial" w:cs="Arial"/>
          <w:color w:val="000000" w:themeColor="text1"/>
        </w:rPr>
      </w:pPr>
      <w:r w:rsidRPr="008755A5">
        <w:rPr>
          <w:rFonts w:ascii="Arial" w:hAnsi="Arial" w:cs="Arial"/>
          <w:color w:val="000000" w:themeColor="text1"/>
        </w:rPr>
        <w:t>Thailand serves as a national focal point under UNESCO’s Intergovernmental Oceanographic Commission (IOC), IOC/WESTPAC, and Man and the Biosphere (MAB) Program. Joint activities include management of the Ranong Biosphere Reserve, the Thailand Mangrove Alliance, and ocean literacy initiatives that support global frameworks such as the UN Decade of Ocean Science (2021-2030) and the Kunming–Montreal Global Biodiversity Framework (GBF).</w:t>
      </w:r>
    </w:p>
    <w:p w14:paraId="13007937" w14:textId="77777777" w:rsidR="008755A5" w:rsidRPr="008755A5" w:rsidRDefault="008755A5" w:rsidP="00CC7572">
      <w:pPr>
        <w:spacing w:before="120" w:after="120"/>
        <w:jc w:val="thaiDistribute"/>
        <w:rPr>
          <w:rFonts w:ascii="Arial" w:hAnsi="Arial" w:cs="Arial"/>
          <w:b/>
          <w:bCs/>
          <w:color w:val="000000" w:themeColor="text1"/>
        </w:rPr>
      </w:pPr>
      <w:r w:rsidRPr="008755A5">
        <w:rPr>
          <w:rFonts w:ascii="Arial" w:hAnsi="Arial" w:cs="Arial"/>
          <w:b/>
          <w:bCs/>
          <w:color w:val="000000" w:themeColor="text1"/>
        </w:rPr>
        <w:t>2) DMCR-IOC Collaboration</w:t>
      </w:r>
    </w:p>
    <w:p w14:paraId="1436F9DE"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DMCR acts as Thailand’s national focal point for the IOC of UNESCO, which promotes international cooperation in ocean science, observation, and capacity development.</w:t>
      </w:r>
      <w:r w:rsidRPr="008755A5">
        <w:rPr>
          <w:rFonts w:ascii="Arial" w:hAnsi="Arial" w:cs="Arial"/>
          <w:color w:val="000000" w:themeColor="text1"/>
        </w:rPr>
        <w:br/>
        <w:t>Thailand has been an active IOC member since 1960 and currently contributes to global initiatives such as the Global Ocean Observing System (GOOS) and tsunami early warning systems, enhancing regional preparedness and ocean data sharing.</w:t>
      </w:r>
    </w:p>
    <w:p w14:paraId="1C1C66AF"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As host of the IOC Sub-Commission for the Western Pacific (IOC/WESTPAC) Secretariat since 2005, DMCR leads regional efforts in marine scientific research, ocean observation, and capacity building among 22 member states. The collaboration also supports the Decade Coordination Office (DCO) for the UN Ocean Decade, promoting marine biodiversity research, blue carbon, MSP, and marine debris monitoring across the Western Pacific.</w:t>
      </w:r>
    </w:p>
    <w:p w14:paraId="089C016C" w14:textId="77777777" w:rsidR="008755A5" w:rsidRPr="008755A5" w:rsidRDefault="008755A5" w:rsidP="00CC7572">
      <w:pPr>
        <w:spacing w:before="120" w:after="120"/>
        <w:jc w:val="thaiDistribute"/>
        <w:rPr>
          <w:rFonts w:ascii="Arial" w:hAnsi="Arial" w:cs="Arial"/>
          <w:b/>
          <w:bCs/>
          <w:color w:val="000000" w:themeColor="text1"/>
        </w:rPr>
      </w:pPr>
      <w:r w:rsidRPr="008755A5">
        <w:rPr>
          <w:rFonts w:ascii="Arial" w:hAnsi="Arial" w:cs="Arial"/>
          <w:b/>
          <w:bCs/>
          <w:color w:val="000000" w:themeColor="text1"/>
        </w:rPr>
        <w:t xml:space="preserve"> 3)  DMCR–UNEP Collaboration</w:t>
      </w:r>
    </w:p>
    <w:p w14:paraId="63EF4866" w14:textId="77777777" w:rsidR="004F496B" w:rsidRDefault="008755A5" w:rsidP="00CC7572">
      <w:pPr>
        <w:spacing w:before="120" w:after="120"/>
        <w:rPr>
          <w:rFonts w:ascii="Arial" w:hAnsi="Arial" w:cs="Arial"/>
          <w:color w:val="000000" w:themeColor="text1"/>
        </w:rPr>
      </w:pPr>
      <w:r w:rsidRPr="008755A5">
        <w:rPr>
          <w:rFonts w:ascii="Arial" w:hAnsi="Arial" w:cs="Arial"/>
          <w:color w:val="000000" w:themeColor="text1"/>
        </w:rPr>
        <w:t xml:space="preserve">DMCR works closely with the United Nations Environment </w:t>
      </w:r>
      <w:proofErr w:type="spellStart"/>
      <w:r w:rsidRPr="008755A5">
        <w:rPr>
          <w:rFonts w:ascii="Arial" w:hAnsi="Arial" w:cs="Arial"/>
          <w:color w:val="000000" w:themeColor="text1"/>
        </w:rPr>
        <w:t>Programme</w:t>
      </w:r>
      <w:proofErr w:type="spellEnd"/>
      <w:r w:rsidRPr="008755A5">
        <w:rPr>
          <w:rFonts w:ascii="Arial" w:hAnsi="Arial" w:cs="Arial"/>
          <w:color w:val="000000" w:themeColor="text1"/>
        </w:rPr>
        <w:t xml:space="preserve"> (UNEP) to strengthen marine and coastal resource management in line with international frameworks.</w:t>
      </w:r>
    </w:p>
    <w:p w14:paraId="6DB96BC9"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As host of the UNEP Asia and Pacific Regional Office in Bangkok, Thailand, actively engages in regional initiatives such as COBSEA and the United Nations Environment Assembly (UNEA). Cooperation focuses on marine litter reduction, ecosystem-based management, coral and mangrove protection, and progress toward SDG 14 and the 30x30 global marine target.</w:t>
      </w:r>
    </w:p>
    <w:p w14:paraId="7D68EC16" w14:textId="77777777" w:rsidR="008755A5" w:rsidRPr="008755A5" w:rsidRDefault="008755A5" w:rsidP="00CC7572">
      <w:pPr>
        <w:spacing w:before="120" w:after="120"/>
        <w:rPr>
          <w:rFonts w:ascii="Arial" w:hAnsi="Arial" w:cs="Arial"/>
          <w:b/>
          <w:bCs/>
          <w:color w:val="000000" w:themeColor="text1"/>
        </w:rPr>
      </w:pPr>
      <w:r w:rsidRPr="008755A5">
        <w:rPr>
          <w:rFonts w:ascii="Arial" w:hAnsi="Arial" w:cs="Arial"/>
          <w:b/>
          <w:bCs/>
          <w:color w:val="000000" w:themeColor="text1"/>
        </w:rPr>
        <w:t>4) DMCR–BBNJ Collaboration</w:t>
      </w:r>
    </w:p>
    <w:p w14:paraId="3D3601C0"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 xml:space="preserve">DMCR supports Thailand’s commitments under the Agreement on the Conservation and Sustainable Use of Marine Biological Diversity of Areas Beyond National Jurisdiction (BBNJ Agreement), adopted under UNCLOS.  Thailand signed the Agreement on 17 April 2025 as the 113th signatory. DMCR’s involvement includes coordination on Marine Genetic Resources (MGRs), Area-Based Management Tools </w:t>
      </w:r>
      <w:r w:rsidRPr="008755A5">
        <w:rPr>
          <w:rFonts w:ascii="Arial" w:hAnsi="Arial" w:cs="Arial"/>
          <w:color w:val="000000" w:themeColor="text1"/>
        </w:rPr>
        <w:lastRenderedPageBreak/>
        <w:t>(ABMTs), Environmental Impact Assessments (EIAs), and capacity building, enhancing Thailand’s role in global ocean governance.</w:t>
      </w:r>
    </w:p>
    <w:p w14:paraId="5BEE0308" w14:textId="77777777" w:rsidR="008755A5" w:rsidRPr="008755A5" w:rsidRDefault="008755A5" w:rsidP="00CC7572">
      <w:pPr>
        <w:spacing w:before="120" w:after="120"/>
        <w:jc w:val="thaiDistribute"/>
        <w:rPr>
          <w:rFonts w:ascii="Arial" w:hAnsi="Arial" w:cs="Arial"/>
          <w:b/>
          <w:bCs/>
          <w:color w:val="000000" w:themeColor="text1"/>
        </w:rPr>
      </w:pPr>
      <w:r w:rsidRPr="008755A5">
        <w:rPr>
          <w:rFonts w:ascii="Arial" w:hAnsi="Arial" w:cs="Arial"/>
          <w:b/>
          <w:bCs/>
          <w:color w:val="000000" w:themeColor="text1"/>
        </w:rPr>
        <w:t>5) DMCR–IOI Collaboration</w:t>
      </w:r>
    </w:p>
    <w:p w14:paraId="54F73368" w14:textId="77777777" w:rsidR="004F496B" w:rsidRDefault="008755A5" w:rsidP="00CC7572">
      <w:pPr>
        <w:spacing w:before="120" w:after="120"/>
        <w:rPr>
          <w:rFonts w:ascii="Arial" w:hAnsi="Arial" w:cs="Arial"/>
          <w:color w:val="000000" w:themeColor="text1"/>
        </w:rPr>
      </w:pPr>
      <w:r w:rsidRPr="008755A5">
        <w:rPr>
          <w:rFonts w:ascii="Arial" w:hAnsi="Arial" w:cs="Arial"/>
          <w:color w:val="000000" w:themeColor="text1"/>
        </w:rPr>
        <w:t>Through a Memorandum of Understanding (2022–2027), DMCR established the IOI Thailand Training Centre under the International Ocean Institute (IOI).</w:t>
      </w:r>
    </w:p>
    <w:p w14:paraId="2A7BED08"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 xml:space="preserve">The </w:t>
      </w:r>
      <w:proofErr w:type="spellStart"/>
      <w:r w:rsidRPr="008755A5">
        <w:rPr>
          <w:rFonts w:ascii="Arial" w:hAnsi="Arial" w:cs="Arial"/>
          <w:color w:val="000000" w:themeColor="text1"/>
        </w:rPr>
        <w:t>centre</w:t>
      </w:r>
      <w:proofErr w:type="spellEnd"/>
      <w:r w:rsidRPr="008755A5">
        <w:rPr>
          <w:rFonts w:ascii="Arial" w:hAnsi="Arial" w:cs="Arial"/>
          <w:color w:val="000000" w:themeColor="text1"/>
        </w:rPr>
        <w:t xml:space="preserve"> provides regional training on UNCLOS implementation, marine biodiversity conservation, and fisheries governance, building professional capacity and strengthening Thailand’s position in regional ocean education and policy leadership.</w:t>
      </w:r>
    </w:p>
    <w:p w14:paraId="6F4113FC" w14:textId="77777777" w:rsidR="008755A5" w:rsidRPr="008755A5" w:rsidRDefault="008755A5" w:rsidP="00CC7572">
      <w:pPr>
        <w:spacing w:before="120" w:after="120"/>
        <w:rPr>
          <w:rFonts w:ascii="Arial" w:hAnsi="Arial" w:cs="Arial"/>
          <w:b/>
          <w:bCs/>
          <w:color w:val="000000" w:themeColor="text1"/>
        </w:rPr>
      </w:pPr>
      <w:r w:rsidRPr="008755A5">
        <w:rPr>
          <w:rFonts w:ascii="Arial" w:hAnsi="Arial" w:cs="Arial"/>
          <w:b/>
          <w:bCs/>
          <w:color w:val="000000" w:themeColor="text1"/>
        </w:rPr>
        <w:t>6) DMCR–IOSEA Marine Turtles MOU Collaboration</w:t>
      </w:r>
    </w:p>
    <w:p w14:paraId="2EA8A0B6"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DMCR represents Thailand under the IOSEA Marine Turtles MOU of the Convention on Migratory Species (CMS) to conserve marine turtles and their habitats across the Indian Ocean and Southeast Asia. Through the Conservation and Management Plan (CMP), Thailand undertakes actions on nesting site protection, bycatch reduction, and community awareness, contributing to the long-term survival of endangered turtle species.</w:t>
      </w:r>
    </w:p>
    <w:p w14:paraId="162A2AD4" w14:textId="77777777" w:rsidR="008755A5" w:rsidRPr="008755A5" w:rsidRDefault="008755A5" w:rsidP="00CC7572">
      <w:pPr>
        <w:spacing w:before="120" w:after="120"/>
        <w:rPr>
          <w:rFonts w:ascii="Arial" w:hAnsi="Arial" w:cs="Arial"/>
          <w:b/>
          <w:bCs/>
          <w:color w:val="000000" w:themeColor="text1"/>
        </w:rPr>
      </w:pPr>
      <w:r w:rsidRPr="008755A5">
        <w:rPr>
          <w:rFonts w:ascii="Arial" w:hAnsi="Arial" w:cs="Arial"/>
          <w:b/>
          <w:bCs/>
          <w:color w:val="000000" w:themeColor="text1"/>
        </w:rPr>
        <w:t>7)  DMCR–Dugong MOU and Habitat Conservation Collaboration</w:t>
      </w:r>
    </w:p>
    <w:p w14:paraId="6AB9D025"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Thailand is a signatory to the CMS Dugong MOU (2011) on the conservation of Dugong dugon and their seagrass habitats.  DMCR coordinates national and regional actions to reduce dugong mortality, protect seagrass ecosystems, and build conservation capacity. As the National Focal Point, DMCR also participates in Meetings of Signatories (MOS) to enhance international collaboration on dugong protection and habitat restoration.</w:t>
      </w:r>
    </w:p>
    <w:p w14:paraId="75730011" w14:textId="77777777" w:rsidR="008755A5" w:rsidRPr="008755A5" w:rsidRDefault="008755A5" w:rsidP="00CC7572">
      <w:pPr>
        <w:spacing w:before="120" w:after="120"/>
        <w:rPr>
          <w:rFonts w:ascii="Arial" w:hAnsi="Arial" w:cs="Arial"/>
          <w:b/>
          <w:bCs/>
          <w:i/>
          <w:iCs/>
          <w:color w:val="000000" w:themeColor="text1"/>
        </w:rPr>
      </w:pPr>
      <w:r w:rsidRPr="008755A5">
        <w:rPr>
          <w:rFonts w:ascii="Arial" w:hAnsi="Arial" w:cs="Arial"/>
          <w:b/>
          <w:bCs/>
          <w:i/>
          <w:iCs/>
          <w:color w:val="000000" w:themeColor="text1"/>
        </w:rPr>
        <w:t>B. Regional Engagement</w:t>
      </w:r>
    </w:p>
    <w:p w14:paraId="57D68A34" w14:textId="77777777" w:rsidR="008755A5" w:rsidRPr="008755A5" w:rsidRDefault="008755A5" w:rsidP="00CC7572">
      <w:pPr>
        <w:spacing w:before="120" w:after="120"/>
        <w:rPr>
          <w:rFonts w:ascii="Arial" w:hAnsi="Arial" w:cs="Arial"/>
          <w:b/>
          <w:bCs/>
          <w:color w:val="000000" w:themeColor="text1"/>
        </w:rPr>
      </w:pPr>
      <w:r w:rsidRPr="008755A5">
        <w:rPr>
          <w:rFonts w:ascii="Arial" w:hAnsi="Arial" w:cs="Arial"/>
          <w:b/>
          <w:bCs/>
          <w:color w:val="000000" w:themeColor="text1"/>
        </w:rPr>
        <w:t>1) DMCR–COBSEA Collaboration</w:t>
      </w:r>
    </w:p>
    <w:p w14:paraId="5C80DACF"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 xml:space="preserve">DMCR serves as Thailand’s national focal point for the Coordinating Body on the Seas of East Asia (COBSEA) under UNEP. Thailand, host of the COBSEA Secretariat since 2015, contributes to the East Asian Seas Action Plan, the Regional Action Plan on Marine Litter (RAP MALI), and the South China Sea Strategic Action </w:t>
      </w:r>
      <w:proofErr w:type="spellStart"/>
      <w:r w:rsidRPr="008755A5">
        <w:rPr>
          <w:rFonts w:ascii="Arial" w:hAnsi="Arial" w:cs="Arial"/>
          <w:color w:val="000000" w:themeColor="text1"/>
        </w:rPr>
        <w:t>Programme</w:t>
      </w:r>
      <w:proofErr w:type="spellEnd"/>
      <w:r w:rsidRPr="008755A5">
        <w:rPr>
          <w:rFonts w:ascii="Arial" w:hAnsi="Arial" w:cs="Arial"/>
          <w:color w:val="000000" w:themeColor="text1"/>
        </w:rPr>
        <w:t xml:space="preserve"> (SCS SAP). Cooperation focuses on marine pollution control, ecosystem management, and blue economy development.</w:t>
      </w:r>
    </w:p>
    <w:p w14:paraId="565722F2" w14:textId="77777777" w:rsidR="008755A5" w:rsidRPr="008755A5" w:rsidRDefault="008755A5" w:rsidP="00CC7572">
      <w:pPr>
        <w:spacing w:before="120" w:after="120"/>
        <w:rPr>
          <w:rFonts w:ascii="Arial" w:hAnsi="Arial" w:cs="Arial"/>
          <w:b/>
          <w:bCs/>
          <w:color w:val="000000" w:themeColor="text1"/>
        </w:rPr>
      </w:pPr>
      <w:r w:rsidRPr="008755A5">
        <w:rPr>
          <w:rFonts w:ascii="Arial" w:hAnsi="Arial" w:cs="Arial"/>
          <w:b/>
          <w:bCs/>
          <w:color w:val="000000" w:themeColor="text1"/>
        </w:rPr>
        <w:t>2) DMCR–ASEAN Working Group on Coastal and Marine Environment (AWGCME) Collaboration</w:t>
      </w:r>
    </w:p>
    <w:p w14:paraId="67E47F65" w14:textId="77777777" w:rsid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As Chair (2019–2025) and National Focal Point, DMCR leads ASEAN efforts under the AWGCME to promote regional coordination on marine debris reduction, habitat conservation, and climate change adaptation. Key achievements include the Bangkok Declaration on Combating Marine Debris (2019) and the ASEAN Regional Action Plan for Combating Marine Debris (2021–2025).</w:t>
      </w:r>
    </w:p>
    <w:p w14:paraId="43F82B98" w14:textId="77777777" w:rsidR="004F496B" w:rsidRDefault="004F496B" w:rsidP="00CC7572">
      <w:pPr>
        <w:spacing w:before="120" w:after="120"/>
        <w:rPr>
          <w:rFonts w:ascii="Arial" w:hAnsi="Arial" w:cs="Arial"/>
          <w:color w:val="000000" w:themeColor="text1"/>
        </w:rPr>
      </w:pPr>
    </w:p>
    <w:p w14:paraId="22AD4142" w14:textId="77777777" w:rsidR="004F496B" w:rsidRPr="008755A5" w:rsidRDefault="004F496B" w:rsidP="00CC7572">
      <w:pPr>
        <w:spacing w:before="120" w:after="120"/>
        <w:rPr>
          <w:rFonts w:ascii="Arial" w:hAnsi="Arial" w:cs="Arial"/>
          <w:color w:val="000000" w:themeColor="text1"/>
        </w:rPr>
      </w:pPr>
    </w:p>
    <w:p w14:paraId="6BAD4F0D" w14:textId="77777777" w:rsidR="008755A5" w:rsidRPr="008755A5" w:rsidRDefault="008755A5" w:rsidP="00CC7572">
      <w:pPr>
        <w:spacing w:before="120" w:after="120"/>
        <w:rPr>
          <w:rFonts w:ascii="Arial" w:hAnsi="Arial" w:cs="Arial"/>
          <w:b/>
          <w:bCs/>
          <w:color w:val="000000" w:themeColor="text1"/>
        </w:rPr>
      </w:pPr>
      <w:r w:rsidRPr="008755A5">
        <w:rPr>
          <w:rFonts w:ascii="Arial" w:hAnsi="Arial" w:cs="Arial"/>
          <w:b/>
          <w:bCs/>
          <w:color w:val="000000" w:themeColor="text1"/>
        </w:rPr>
        <w:lastRenderedPageBreak/>
        <w:t>3) DMCR–ASEAN Sub-Committee on Marine Science and Technology (SCMSAT) Collaboration</w:t>
      </w:r>
    </w:p>
    <w:p w14:paraId="72BE89E6"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DMCR represents Thailand in SCMSAT under the ASEAN Committee on Science, Technology and Innovation (COSTI). The collaboration enhances regional research, innovation, and capacity building on marine biodiversity, ocean observation, and the ASEAN Blue Economy Roadmap.</w:t>
      </w:r>
    </w:p>
    <w:p w14:paraId="12BD3737" w14:textId="77777777" w:rsidR="008755A5" w:rsidRPr="008755A5" w:rsidRDefault="008755A5" w:rsidP="00CC7572">
      <w:pPr>
        <w:spacing w:before="120" w:after="120"/>
        <w:jc w:val="thaiDistribute"/>
        <w:rPr>
          <w:rFonts w:ascii="Arial" w:hAnsi="Arial" w:cs="Arial"/>
          <w:b/>
          <w:bCs/>
          <w:color w:val="000000" w:themeColor="text1"/>
        </w:rPr>
      </w:pPr>
      <w:r w:rsidRPr="008755A5">
        <w:rPr>
          <w:rFonts w:ascii="Arial" w:hAnsi="Arial" w:cs="Arial"/>
          <w:b/>
          <w:bCs/>
          <w:color w:val="000000" w:themeColor="text1"/>
        </w:rPr>
        <w:t>4) DMCR–Ocean and Fisheries Working Group (OFWG) Collaboration</w:t>
      </w:r>
    </w:p>
    <w:p w14:paraId="7FFBF9CA"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Under the APEC framework, DMCR supports the OFWG to promote sustainable ocean and fisheries management. Thailand contributes to regional initiatives on marine debris, IUU fishing prevention, and aquaculture sustainability, including the APEC Roadmaps on Marine Debris and IUU Fishing (2019).</w:t>
      </w:r>
    </w:p>
    <w:p w14:paraId="00AABF29" w14:textId="77777777" w:rsidR="008755A5" w:rsidRPr="008755A5" w:rsidRDefault="008755A5" w:rsidP="00CC7572">
      <w:pPr>
        <w:spacing w:before="120" w:after="120"/>
        <w:jc w:val="thaiDistribute"/>
        <w:rPr>
          <w:rFonts w:ascii="Arial" w:hAnsi="Arial" w:cs="Arial"/>
          <w:b/>
          <w:bCs/>
          <w:color w:val="000000" w:themeColor="text1"/>
        </w:rPr>
      </w:pPr>
      <w:r w:rsidRPr="008755A5">
        <w:rPr>
          <w:rFonts w:ascii="Arial" w:hAnsi="Arial" w:cs="Arial"/>
          <w:b/>
          <w:bCs/>
          <w:color w:val="000000" w:themeColor="text1"/>
        </w:rPr>
        <w:t>5) DMCR–Blue Economy Working Group (WGBE) Collaboration</w:t>
      </w:r>
    </w:p>
    <w:p w14:paraId="31743647" w14:textId="77777777" w:rsidR="004F496B" w:rsidRDefault="008755A5" w:rsidP="00CC7572">
      <w:pPr>
        <w:spacing w:before="120" w:after="120"/>
        <w:jc w:val="thaiDistribute"/>
        <w:rPr>
          <w:rFonts w:ascii="Arial" w:hAnsi="Arial" w:cs="Arial"/>
          <w:color w:val="000000" w:themeColor="text1"/>
        </w:rPr>
      </w:pPr>
      <w:r w:rsidRPr="008755A5">
        <w:rPr>
          <w:rFonts w:ascii="Arial" w:hAnsi="Arial" w:cs="Arial"/>
          <w:color w:val="000000" w:themeColor="text1"/>
        </w:rPr>
        <w:t>Within the Indian Ocean Rim Association (IORA), DMCR serves as Thailand’s lead focal point for the WGBE, focusing on blue carbon, marine pollution, and ocean governance.</w:t>
      </w:r>
    </w:p>
    <w:p w14:paraId="525305FA" w14:textId="77777777" w:rsidR="008755A5" w:rsidRPr="008755A5" w:rsidRDefault="008755A5" w:rsidP="00CC7572">
      <w:pPr>
        <w:spacing w:before="120" w:after="120"/>
        <w:jc w:val="thaiDistribute"/>
        <w:rPr>
          <w:rFonts w:ascii="Arial" w:hAnsi="Arial" w:cs="Arial"/>
          <w:color w:val="000000" w:themeColor="text1"/>
        </w:rPr>
      </w:pPr>
      <w:r w:rsidRPr="008755A5">
        <w:rPr>
          <w:rFonts w:ascii="Arial" w:hAnsi="Arial" w:cs="Arial"/>
          <w:color w:val="000000" w:themeColor="text1"/>
        </w:rPr>
        <w:t>Collaboration includes training programs, ministerial dialogues, and research on renewable energy, marine biotechnology, and coastal tourism to strengthen sustainable blue economy development.</w:t>
      </w:r>
    </w:p>
    <w:p w14:paraId="56193866" w14:textId="77777777" w:rsidR="008755A5" w:rsidRPr="008755A5" w:rsidRDefault="008755A5" w:rsidP="00CC7572">
      <w:pPr>
        <w:pStyle w:val="ListParagraph"/>
        <w:spacing w:before="120" w:after="120" w:line="240" w:lineRule="auto"/>
        <w:ind w:left="480" w:hanging="480"/>
        <w:contextualSpacing w:val="0"/>
        <w:rPr>
          <w:rFonts w:ascii="Arial" w:hAnsi="Arial" w:cs="Arial"/>
          <w:b/>
          <w:bCs/>
          <w:i/>
          <w:iCs/>
          <w:color w:val="000000" w:themeColor="text1"/>
          <w:sz w:val="24"/>
          <w:szCs w:val="24"/>
        </w:rPr>
      </w:pPr>
      <w:r w:rsidRPr="008755A5">
        <w:rPr>
          <w:rFonts w:ascii="Arial" w:hAnsi="Arial" w:cs="Arial"/>
          <w:b/>
          <w:bCs/>
          <w:i/>
          <w:iCs/>
          <w:color w:val="000000" w:themeColor="text1"/>
          <w:sz w:val="24"/>
          <w:szCs w:val="24"/>
        </w:rPr>
        <w:t>C. Bilateral and Innovation Partnerships</w:t>
      </w:r>
    </w:p>
    <w:p w14:paraId="20958ADB" w14:textId="77777777" w:rsidR="008755A5" w:rsidRPr="008755A5" w:rsidRDefault="008755A5" w:rsidP="00CC7572">
      <w:pPr>
        <w:spacing w:before="120" w:after="120"/>
        <w:rPr>
          <w:rFonts w:ascii="Arial" w:hAnsi="Arial" w:cs="Arial"/>
          <w:b/>
          <w:bCs/>
          <w:color w:val="000000" w:themeColor="text1"/>
        </w:rPr>
      </w:pPr>
      <w:r w:rsidRPr="008755A5">
        <w:rPr>
          <w:rFonts w:ascii="Arial" w:hAnsi="Arial" w:cs="Arial"/>
          <w:b/>
          <w:bCs/>
          <w:color w:val="000000" w:themeColor="text1"/>
        </w:rPr>
        <w:t>1) DMCR–The Ocean Cleanup B.V. Collaboration</w:t>
      </w:r>
    </w:p>
    <w:p w14:paraId="23FCB952" w14:textId="77777777" w:rsidR="008755A5" w:rsidRPr="008755A5" w:rsidRDefault="008755A5" w:rsidP="00CC7572">
      <w:pPr>
        <w:spacing w:before="120" w:after="120"/>
        <w:rPr>
          <w:rFonts w:ascii="Arial" w:hAnsi="Arial" w:cs="Arial"/>
          <w:color w:val="000000" w:themeColor="text1"/>
        </w:rPr>
      </w:pPr>
      <w:r w:rsidRPr="008755A5">
        <w:rPr>
          <w:rFonts w:ascii="Arial" w:hAnsi="Arial" w:cs="Arial"/>
          <w:color w:val="000000" w:themeColor="text1"/>
        </w:rPr>
        <w:t>DMCR signed a Memorandum of Understanding (2022) with The Ocean Cleanup B.V. (Netherlands) to enhance marine debris management and plastic pollution reduction in Thailand’s rivers and coastal zones. The Interceptor Project, deployed in the Chao Phraya River, captures floating waste before it reaches the sea. This public–private partnership supports Thailand’s National Marine Debris Management Plan and advances SDG 14 (Life Below Water) through innovation and technology-based solutions.</w:t>
      </w:r>
    </w:p>
    <w:p w14:paraId="315E3663" w14:textId="77777777" w:rsidR="008755A5" w:rsidRPr="008755A5" w:rsidRDefault="008755A5" w:rsidP="00CC7572">
      <w:pPr>
        <w:spacing w:before="120" w:after="120"/>
        <w:rPr>
          <w:rFonts w:ascii="Arial" w:hAnsi="Arial" w:cs="Arial"/>
          <w:color w:val="EE0000"/>
        </w:rPr>
      </w:pPr>
      <w:r w:rsidRPr="008755A5">
        <w:rPr>
          <w:rFonts w:ascii="Arial" w:hAnsi="Arial" w:cs="Arial"/>
          <w:color w:val="EE0000"/>
        </w:rPr>
        <w:br w:type="page"/>
      </w:r>
    </w:p>
    <w:p w14:paraId="06594544" w14:textId="77777777" w:rsidR="008755A5" w:rsidRPr="008755A5" w:rsidRDefault="008755A5" w:rsidP="00CC7572">
      <w:pPr>
        <w:spacing w:before="120" w:after="120"/>
        <w:rPr>
          <w:rFonts w:ascii="Arial" w:hAnsi="Arial" w:cs="Arial"/>
          <w:color w:val="EE0000"/>
        </w:rPr>
      </w:pPr>
      <w:r w:rsidRPr="008755A5">
        <w:rPr>
          <w:rFonts w:ascii="Arial" w:hAnsi="Arial" w:cs="Arial"/>
          <w:color w:val="EE0000"/>
        </w:rPr>
        <w:lastRenderedPageBreak/>
        <w:t xml:space="preserve">Annex </w:t>
      </w:r>
      <w:r w:rsidR="00CC7572">
        <w:rPr>
          <w:rFonts w:ascii="Arial" w:hAnsi="Arial" w:cs="Arial"/>
          <w:color w:val="EE0000"/>
        </w:rPr>
        <w:t>9:</w:t>
      </w:r>
      <w:r w:rsidRPr="008755A5">
        <w:rPr>
          <w:rFonts w:ascii="Arial" w:hAnsi="Arial" w:cs="Arial"/>
          <w:color w:val="EE0000"/>
        </w:rPr>
        <w:t xml:space="preserve"> International Conventions and Global Policy Framework </w:t>
      </w:r>
    </w:p>
    <w:p w14:paraId="29C2F841" w14:textId="77777777" w:rsidR="00CC7572" w:rsidRDefault="00CC7572" w:rsidP="00CC7572">
      <w:pPr>
        <w:spacing w:before="120" w:after="120"/>
        <w:rPr>
          <w:rFonts w:ascii="Arial" w:hAnsi="Arial" w:cs="Arial"/>
          <w:b/>
          <w:bCs/>
          <w:i/>
          <w:iCs/>
          <w:u w:val="single"/>
        </w:rPr>
      </w:pPr>
    </w:p>
    <w:p w14:paraId="37BA9215" w14:textId="77777777" w:rsidR="008755A5" w:rsidRPr="008755A5" w:rsidRDefault="008755A5" w:rsidP="00CC7572">
      <w:pPr>
        <w:spacing w:before="120" w:after="120"/>
        <w:rPr>
          <w:rFonts w:ascii="Arial" w:hAnsi="Arial" w:cs="Arial"/>
          <w:b/>
          <w:bCs/>
          <w:i/>
          <w:iCs/>
          <w:u w:val="single"/>
        </w:rPr>
      </w:pPr>
      <w:r w:rsidRPr="008755A5">
        <w:rPr>
          <w:rFonts w:ascii="Arial" w:hAnsi="Arial" w:cs="Arial"/>
          <w:b/>
          <w:bCs/>
          <w:i/>
          <w:iCs/>
          <w:u w:val="single"/>
        </w:rPr>
        <w:t>Biodiversity-related Instruments</w:t>
      </w:r>
    </w:p>
    <w:p w14:paraId="0B82F983" w14:textId="77777777" w:rsidR="004A08B6" w:rsidRDefault="008755A5" w:rsidP="00CC7572">
      <w:pPr>
        <w:spacing w:before="120" w:after="120"/>
        <w:rPr>
          <w:rFonts w:ascii="Arial" w:hAnsi="Arial" w:cs="Arial"/>
        </w:rPr>
      </w:pPr>
      <w:r w:rsidRPr="008755A5">
        <w:rPr>
          <w:rFonts w:ascii="Arial" w:hAnsi="Arial" w:cs="Arial"/>
          <w:b/>
          <w:bCs/>
        </w:rPr>
        <w:t>a)  The Convention on Biological Diversity (CBD)</w:t>
      </w:r>
    </w:p>
    <w:p w14:paraId="3AAACDD0" w14:textId="77777777" w:rsidR="008755A5" w:rsidRPr="008755A5" w:rsidRDefault="008755A5" w:rsidP="00CC7572">
      <w:pPr>
        <w:spacing w:before="120" w:after="120"/>
        <w:rPr>
          <w:rFonts w:ascii="Arial" w:hAnsi="Arial" w:cs="Arial"/>
        </w:rPr>
      </w:pPr>
      <w:r w:rsidRPr="008755A5">
        <w:rPr>
          <w:rFonts w:ascii="Arial" w:hAnsi="Arial" w:cs="Arial"/>
        </w:rPr>
        <w:t>The CBD promotes the conservation of biological diversity, the sustainable use of its components, and the equitable sharing of benefits arising from genetic resources. It provides a global framework for ecosystem and species protection. Thailand, as a Party to the CBD, integrates its principles into national biodiversity strategies, action plans, and coastal ecosystem management frameworks.</w:t>
      </w:r>
    </w:p>
    <w:p w14:paraId="45A67962" w14:textId="77777777" w:rsidR="004A08B6" w:rsidRDefault="008755A5" w:rsidP="00CC7572">
      <w:pPr>
        <w:spacing w:before="120" w:after="120"/>
        <w:rPr>
          <w:rFonts w:ascii="Arial" w:hAnsi="Arial" w:cs="Arial"/>
        </w:rPr>
      </w:pPr>
      <w:r w:rsidRPr="008755A5">
        <w:rPr>
          <w:rFonts w:ascii="Arial" w:hAnsi="Arial" w:cs="Arial"/>
          <w:b/>
          <w:bCs/>
        </w:rPr>
        <w:t>b) The Kunming–Montreal Global Biodiversity Framework (GBF)</w:t>
      </w:r>
    </w:p>
    <w:p w14:paraId="1E8B6FC2" w14:textId="77777777" w:rsidR="008755A5" w:rsidRPr="008755A5" w:rsidRDefault="008755A5" w:rsidP="00CC7572">
      <w:pPr>
        <w:spacing w:before="120" w:after="120"/>
        <w:rPr>
          <w:rFonts w:ascii="Arial" w:hAnsi="Arial" w:cs="Arial"/>
        </w:rPr>
      </w:pPr>
      <w:r w:rsidRPr="008755A5">
        <w:rPr>
          <w:rFonts w:ascii="Arial" w:hAnsi="Arial" w:cs="Arial"/>
        </w:rPr>
        <w:t>Adopted in 2022 under the CBD, the GBF sets global biodiversity targets to 2030, aiming to halt and reverse biodiversity loss. It introduces key goals such as protecting at least 30% of land and sea areas (“30x30 target”), restoring degraded ecosystems, and reducing harmful subsidies. Thailand aligns its biodiversity strategies and marine conservation plans with the GBF to strengthen marine protection and sustainable resource management.</w:t>
      </w:r>
    </w:p>
    <w:p w14:paraId="664B2012" w14:textId="77777777" w:rsidR="004A08B6" w:rsidRDefault="008755A5" w:rsidP="00CC7572">
      <w:pPr>
        <w:spacing w:before="120" w:after="120"/>
        <w:rPr>
          <w:rFonts w:ascii="Arial" w:hAnsi="Arial" w:cs="Arial"/>
        </w:rPr>
      </w:pPr>
      <w:r w:rsidRPr="008755A5">
        <w:rPr>
          <w:rFonts w:ascii="Arial" w:hAnsi="Arial" w:cs="Arial"/>
          <w:b/>
          <w:bCs/>
        </w:rPr>
        <w:t>c)  The Ramsar Convention on Wetlands</w:t>
      </w:r>
    </w:p>
    <w:p w14:paraId="6B1A2E06" w14:textId="77777777" w:rsidR="008755A5" w:rsidRPr="008755A5" w:rsidRDefault="008755A5" w:rsidP="00CC7572">
      <w:pPr>
        <w:spacing w:before="120" w:after="120"/>
        <w:rPr>
          <w:rFonts w:ascii="Arial" w:hAnsi="Arial" w:cs="Arial"/>
        </w:rPr>
      </w:pPr>
      <w:r w:rsidRPr="008755A5">
        <w:rPr>
          <w:rFonts w:ascii="Arial" w:hAnsi="Arial" w:cs="Arial"/>
        </w:rPr>
        <w:t xml:space="preserve">The Ramsar Convention provides an international framework for the conservation and wise use of wetlands. Eleven coastal and marine wetlands in Thailand have been designated as </w:t>
      </w:r>
      <w:r w:rsidRPr="008755A5">
        <w:rPr>
          <w:rFonts w:ascii="Arial" w:hAnsi="Arial" w:cs="Arial"/>
          <w:b/>
          <w:bCs/>
        </w:rPr>
        <w:t>Wetlands of International Importance</w:t>
      </w:r>
      <w:r w:rsidRPr="008755A5">
        <w:rPr>
          <w:rFonts w:ascii="Arial" w:hAnsi="Arial" w:cs="Arial"/>
        </w:rPr>
        <w:t xml:space="preserve">, highlighting the country’s commitment to wetland and coastal ecosystem protection (Appendix xx) </w:t>
      </w:r>
    </w:p>
    <w:p w14:paraId="66649410" w14:textId="77777777" w:rsidR="004A08B6" w:rsidRDefault="008755A5" w:rsidP="00CC7572">
      <w:pPr>
        <w:spacing w:before="120" w:after="120"/>
        <w:rPr>
          <w:rFonts w:ascii="Arial" w:hAnsi="Arial" w:cs="Arial"/>
        </w:rPr>
      </w:pPr>
      <w:r w:rsidRPr="008755A5">
        <w:rPr>
          <w:rFonts w:ascii="Arial" w:hAnsi="Arial" w:cs="Arial"/>
          <w:b/>
          <w:bCs/>
        </w:rPr>
        <w:t>d) The Convention on International Trade in Endangered Species of Wild Fauna and Flora (CITES)</w:t>
      </w:r>
    </w:p>
    <w:p w14:paraId="3B911BA1" w14:textId="77777777" w:rsidR="008755A5" w:rsidRPr="008755A5" w:rsidRDefault="008755A5" w:rsidP="00CC7572">
      <w:pPr>
        <w:spacing w:before="120" w:after="120"/>
        <w:rPr>
          <w:rFonts w:ascii="Arial" w:hAnsi="Arial" w:cs="Arial"/>
        </w:rPr>
      </w:pPr>
      <w:r w:rsidRPr="008755A5">
        <w:rPr>
          <w:rFonts w:ascii="Arial" w:hAnsi="Arial" w:cs="Arial"/>
        </w:rPr>
        <w:t>CITES regulates international trade in wild animals and plants to prevent threats to species survival. Thailand implements its provisions through national legislation and enforcement to combat illegal wildlife trafficking and protect endangered marine species such as corals, seahorses, and marine turtles.</w:t>
      </w:r>
    </w:p>
    <w:p w14:paraId="48DDC5F5" w14:textId="77777777" w:rsidR="004A08B6" w:rsidRDefault="008755A5" w:rsidP="00CC7572">
      <w:pPr>
        <w:spacing w:before="120" w:after="120"/>
        <w:rPr>
          <w:rFonts w:ascii="Arial" w:hAnsi="Arial" w:cs="Arial"/>
        </w:rPr>
      </w:pPr>
      <w:r w:rsidRPr="008755A5">
        <w:rPr>
          <w:rFonts w:ascii="Arial" w:hAnsi="Arial" w:cs="Arial"/>
          <w:b/>
          <w:bCs/>
        </w:rPr>
        <w:t>e) The World Heritage Convention (1972)</w:t>
      </w:r>
    </w:p>
    <w:p w14:paraId="7F001301" w14:textId="77777777" w:rsidR="008755A5" w:rsidRPr="008755A5" w:rsidRDefault="008755A5" w:rsidP="00CC7572">
      <w:pPr>
        <w:spacing w:before="120" w:after="120"/>
        <w:rPr>
          <w:rFonts w:ascii="Arial" w:hAnsi="Arial" w:cs="Arial"/>
        </w:rPr>
      </w:pPr>
      <w:r w:rsidRPr="008755A5">
        <w:rPr>
          <w:rFonts w:ascii="Arial" w:hAnsi="Arial" w:cs="Arial"/>
        </w:rPr>
        <w:t>Administered by UNESCO in 1972, the Convention seeks to identify and preserve cultural and natural heritage sites of outstanding universal value. Thailand collaborates with UNESCO to protect and manage marine and coastal sites that represent biodiversity and cultural significance, such as mangrove and coral reef ecosystems.</w:t>
      </w:r>
    </w:p>
    <w:p w14:paraId="40E606BF" w14:textId="77777777" w:rsidR="004A08B6" w:rsidRDefault="008755A5" w:rsidP="00CC7572">
      <w:pPr>
        <w:spacing w:before="120" w:after="120"/>
        <w:rPr>
          <w:rFonts w:ascii="Arial" w:hAnsi="Arial" w:cs="Arial"/>
        </w:rPr>
      </w:pPr>
      <w:r w:rsidRPr="008755A5">
        <w:rPr>
          <w:rFonts w:ascii="Arial" w:hAnsi="Arial" w:cs="Arial"/>
          <w:b/>
          <w:bCs/>
        </w:rPr>
        <w:t>f)  The Convention on the Conservation of Migratory Species of Wild Animals (CMS, 1979)</w:t>
      </w:r>
    </w:p>
    <w:p w14:paraId="539DB11E" w14:textId="77777777" w:rsidR="008755A5" w:rsidRPr="008755A5" w:rsidRDefault="008755A5" w:rsidP="00CC7572">
      <w:pPr>
        <w:spacing w:before="120" w:after="120"/>
        <w:rPr>
          <w:rFonts w:ascii="Arial" w:hAnsi="Arial" w:cs="Arial"/>
        </w:rPr>
      </w:pPr>
      <w:r w:rsidRPr="008755A5">
        <w:rPr>
          <w:rFonts w:ascii="Arial" w:hAnsi="Arial" w:cs="Arial"/>
        </w:rPr>
        <w:t>The CMS, or Bonn Convention, promotes international cooperation for the conservation of migratory species and their habitats. Thailand, as a Party to CMS, contributes to protecting dugongs, marine turtles, dolphins, and seabirds, and participates in regional initiatives under the IOSEA Marine Turtle MOU and Dugong MOU.</w:t>
      </w:r>
    </w:p>
    <w:p w14:paraId="63A09CAB" w14:textId="77777777" w:rsidR="004A08B6" w:rsidRDefault="004A08B6" w:rsidP="00CC7572">
      <w:pPr>
        <w:spacing w:before="120" w:after="120"/>
        <w:rPr>
          <w:rFonts w:ascii="Arial" w:hAnsi="Arial" w:cs="Arial"/>
          <w:b/>
          <w:bCs/>
          <w:i/>
          <w:iCs/>
          <w:u w:val="single"/>
        </w:rPr>
      </w:pPr>
    </w:p>
    <w:p w14:paraId="23A744FC" w14:textId="77777777" w:rsidR="004A08B6" w:rsidRDefault="004A08B6" w:rsidP="00CC7572">
      <w:pPr>
        <w:spacing w:before="120" w:after="120"/>
        <w:rPr>
          <w:rFonts w:ascii="Arial" w:hAnsi="Arial" w:cs="Arial"/>
          <w:b/>
          <w:bCs/>
          <w:i/>
          <w:iCs/>
          <w:u w:val="single"/>
        </w:rPr>
      </w:pPr>
    </w:p>
    <w:p w14:paraId="630E2A7F" w14:textId="77777777" w:rsidR="008755A5" w:rsidRPr="008755A5" w:rsidRDefault="008755A5" w:rsidP="00CC7572">
      <w:pPr>
        <w:spacing w:before="120" w:after="120"/>
        <w:rPr>
          <w:rFonts w:ascii="Arial" w:hAnsi="Arial" w:cs="Arial"/>
          <w:b/>
          <w:bCs/>
          <w:i/>
          <w:iCs/>
          <w:u w:val="single"/>
        </w:rPr>
      </w:pPr>
      <w:r w:rsidRPr="008755A5">
        <w:rPr>
          <w:rFonts w:ascii="Arial" w:hAnsi="Arial" w:cs="Arial"/>
          <w:b/>
          <w:bCs/>
          <w:i/>
          <w:iCs/>
          <w:u w:val="single"/>
        </w:rPr>
        <w:lastRenderedPageBreak/>
        <w:t>Pollution-related Instruments</w:t>
      </w:r>
    </w:p>
    <w:p w14:paraId="318137C2" w14:textId="77777777" w:rsidR="004A08B6" w:rsidRDefault="008755A5" w:rsidP="00CC7572">
      <w:pPr>
        <w:spacing w:before="120" w:after="120"/>
        <w:rPr>
          <w:rFonts w:ascii="Arial" w:hAnsi="Arial" w:cs="Arial"/>
        </w:rPr>
      </w:pPr>
      <w:r w:rsidRPr="008755A5">
        <w:rPr>
          <w:rFonts w:ascii="Arial" w:hAnsi="Arial" w:cs="Arial"/>
          <w:b/>
          <w:bCs/>
        </w:rPr>
        <w:t>a) United Nations Convention on the Law of the Sea (UNCLOS, 1982)</w:t>
      </w:r>
    </w:p>
    <w:p w14:paraId="4544DD5A" w14:textId="77777777" w:rsidR="008755A5" w:rsidRPr="008755A5" w:rsidRDefault="008755A5" w:rsidP="00CC7572">
      <w:pPr>
        <w:spacing w:before="120" w:after="120"/>
        <w:rPr>
          <w:rFonts w:ascii="Arial" w:hAnsi="Arial" w:cs="Arial"/>
        </w:rPr>
      </w:pPr>
      <w:r w:rsidRPr="008755A5">
        <w:rPr>
          <w:rFonts w:ascii="Arial" w:hAnsi="Arial" w:cs="Arial"/>
        </w:rPr>
        <w:t>UNCLOS establishes the comprehensive legal framework governing all ocean activities. It defines maritime zones (such as territorial sea, EEZ, and continental shelf), regulates navigation and resource use, and promotes marine environmental protection. Thailand implements its provisions through national legislation on fisheries, marine resource management, and maritime jurisdiction.</w:t>
      </w:r>
    </w:p>
    <w:p w14:paraId="7DEC914B" w14:textId="77777777" w:rsidR="004A08B6" w:rsidRDefault="008755A5" w:rsidP="00CC7572">
      <w:pPr>
        <w:spacing w:before="120" w:after="120"/>
        <w:rPr>
          <w:rFonts w:ascii="Arial" w:hAnsi="Arial" w:cs="Arial"/>
        </w:rPr>
      </w:pPr>
      <w:r w:rsidRPr="008755A5">
        <w:rPr>
          <w:rFonts w:ascii="Arial" w:hAnsi="Arial" w:cs="Arial"/>
          <w:b/>
          <w:bCs/>
        </w:rPr>
        <w:t>b)  Convention on the Prevention of Marine Pollution by Dumping of Wastes and Other Matter (London Convention, 1972)</w:t>
      </w:r>
    </w:p>
    <w:p w14:paraId="778EF503" w14:textId="77777777" w:rsidR="008755A5" w:rsidRPr="008755A5" w:rsidRDefault="008755A5" w:rsidP="00CC7572">
      <w:pPr>
        <w:spacing w:before="120" w:after="120"/>
        <w:rPr>
          <w:rFonts w:ascii="Arial" w:hAnsi="Arial" w:cs="Arial"/>
        </w:rPr>
      </w:pPr>
      <w:r w:rsidRPr="008755A5">
        <w:rPr>
          <w:rFonts w:ascii="Arial" w:hAnsi="Arial" w:cs="Arial"/>
        </w:rPr>
        <w:t>This Convention aims to prevent marine pollution caused by waste dumping and establishes a global regulatory framework for controlling harmful discharges. Thailand enforces its principles through national laws governing waste management and pollution prevention.</w:t>
      </w:r>
    </w:p>
    <w:p w14:paraId="425A5D37" w14:textId="77777777" w:rsidR="004A08B6" w:rsidRDefault="008755A5" w:rsidP="00CC7572">
      <w:pPr>
        <w:spacing w:before="120" w:after="120"/>
        <w:rPr>
          <w:rFonts w:ascii="Arial" w:hAnsi="Arial" w:cs="Arial"/>
        </w:rPr>
      </w:pPr>
      <w:r w:rsidRPr="008755A5">
        <w:rPr>
          <w:rFonts w:ascii="Arial" w:hAnsi="Arial" w:cs="Arial"/>
          <w:b/>
          <w:bCs/>
        </w:rPr>
        <w:t>c)  International Convention for the Prevention of Pollution from Ships (MARPOL)</w:t>
      </w:r>
    </w:p>
    <w:p w14:paraId="1FB6DAD4" w14:textId="77777777" w:rsidR="008755A5" w:rsidRPr="008755A5" w:rsidRDefault="008755A5" w:rsidP="00CC7572">
      <w:pPr>
        <w:spacing w:before="120" w:after="120"/>
        <w:rPr>
          <w:rFonts w:ascii="Arial" w:hAnsi="Arial" w:cs="Arial"/>
        </w:rPr>
      </w:pPr>
      <w:r w:rsidRPr="008755A5">
        <w:rPr>
          <w:rFonts w:ascii="Arial" w:hAnsi="Arial" w:cs="Arial"/>
        </w:rPr>
        <w:t>MARPOL serves as the main international treaty addressing ship-based pollution, including oil, chemicals, sewage, garbage, and air emissions. Thailand enforces MARPOL’s six technical annexes to ensure safe shipping, protect coastal and marine environments, and support sustainable maritime transport.</w:t>
      </w:r>
    </w:p>
    <w:p w14:paraId="44F5B44F" w14:textId="77777777" w:rsidR="004A08B6" w:rsidRDefault="008755A5" w:rsidP="00CC7572">
      <w:pPr>
        <w:spacing w:before="120" w:after="120"/>
        <w:rPr>
          <w:rFonts w:ascii="Arial" w:hAnsi="Arial" w:cs="Arial"/>
        </w:rPr>
      </w:pPr>
      <w:r w:rsidRPr="008755A5">
        <w:rPr>
          <w:rFonts w:ascii="Arial" w:hAnsi="Arial" w:cs="Arial"/>
          <w:b/>
          <w:bCs/>
        </w:rPr>
        <w:t>d) Basel Convention on the Control of Transboundary Movements of Hazardous Wastes and Their Disposal (1989)</w:t>
      </w:r>
    </w:p>
    <w:p w14:paraId="21130481" w14:textId="77777777" w:rsidR="008755A5" w:rsidRPr="008755A5" w:rsidRDefault="008755A5" w:rsidP="00CC7572">
      <w:pPr>
        <w:spacing w:before="120" w:after="120"/>
        <w:rPr>
          <w:rFonts w:ascii="Arial" w:hAnsi="Arial" w:cs="Arial"/>
        </w:rPr>
      </w:pPr>
      <w:r w:rsidRPr="008755A5">
        <w:rPr>
          <w:rFonts w:ascii="Arial" w:hAnsi="Arial" w:cs="Arial"/>
        </w:rPr>
        <w:t>The Basel Convention regulates the transboundary movement and disposal of hazardous wastes to prevent illegal dumping and ensure environmentally sound management. Thailand implements strict controls on hazardous waste import, export, and disposal in line with sustainable development objectives.</w:t>
      </w:r>
    </w:p>
    <w:p w14:paraId="71A09F7A" w14:textId="77777777" w:rsidR="004A08B6" w:rsidRDefault="008755A5" w:rsidP="00CC7572">
      <w:pPr>
        <w:spacing w:before="120" w:after="120"/>
        <w:rPr>
          <w:rFonts w:ascii="Arial" w:hAnsi="Arial" w:cs="Arial"/>
        </w:rPr>
      </w:pPr>
      <w:r w:rsidRPr="008755A5">
        <w:rPr>
          <w:rFonts w:ascii="Arial" w:hAnsi="Arial" w:cs="Arial"/>
          <w:b/>
          <w:bCs/>
        </w:rPr>
        <w:t>e) Convention on Oil Pollution Preparedness, Response and Cooperation (OPRC, 1990)</w:t>
      </w:r>
    </w:p>
    <w:p w14:paraId="3A130AA0" w14:textId="77777777" w:rsidR="008755A5" w:rsidRPr="008755A5" w:rsidRDefault="008755A5" w:rsidP="00CC7572">
      <w:pPr>
        <w:spacing w:before="120" w:after="120"/>
        <w:rPr>
          <w:rFonts w:ascii="Arial" w:hAnsi="Arial" w:cs="Arial"/>
        </w:rPr>
      </w:pPr>
      <w:r w:rsidRPr="008755A5">
        <w:rPr>
          <w:rFonts w:ascii="Arial" w:hAnsi="Arial" w:cs="Arial"/>
        </w:rPr>
        <w:t>The OPRC establishes a global framework for preparedness and response to oil spills. Thailand maintains national and regional oil spill contingency plans, trained response units, and cooperative mechanisms to address pollution incidents.</w:t>
      </w:r>
    </w:p>
    <w:p w14:paraId="078B66FB" w14:textId="77777777" w:rsidR="004A08B6" w:rsidRDefault="008755A5" w:rsidP="00CC7572">
      <w:pPr>
        <w:spacing w:before="120" w:after="120"/>
        <w:rPr>
          <w:rFonts w:ascii="Arial" w:hAnsi="Arial" w:cs="Arial"/>
        </w:rPr>
      </w:pPr>
      <w:r w:rsidRPr="008755A5">
        <w:rPr>
          <w:rFonts w:ascii="Arial" w:hAnsi="Arial" w:cs="Arial"/>
          <w:b/>
          <w:bCs/>
        </w:rPr>
        <w:t>f) Rotterdam Convention (1998)</w:t>
      </w:r>
    </w:p>
    <w:p w14:paraId="09FA7045" w14:textId="77777777" w:rsidR="008755A5" w:rsidRPr="008755A5" w:rsidRDefault="008755A5" w:rsidP="00CC7572">
      <w:pPr>
        <w:spacing w:before="120" w:after="120"/>
        <w:rPr>
          <w:rFonts w:ascii="Arial" w:hAnsi="Arial" w:cs="Arial"/>
        </w:rPr>
      </w:pPr>
      <w:r w:rsidRPr="008755A5">
        <w:rPr>
          <w:rFonts w:ascii="Arial" w:hAnsi="Arial" w:cs="Arial"/>
        </w:rPr>
        <w:t>This Convention promotes shared responsibility in the trade of hazardous chemicals and pesticides. Thailand implements the Prior Informed Consent (PIC) procedure to ensure transparency and safe management of chemical substances.</w:t>
      </w:r>
    </w:p>
    <w:p w14:paraId="67B1CCAC" w14:textId="77777777" w:rsidR="004A08B6" w:rsidRDefault="008755A5" w:rsidP="00CC7572">
      <w:pPr>
        <w:spacing w:before="120" w:after="120"/>
        <w:rPr>
          <w:rFonts w:ascii="Arial" w:hAnsi="Arial" w:cs="Arial"/>
        </w:rPr>
      </w:pPr>
      <w:r w:rsidRPr="008755A5">
        <w:rPr>
          <w:rFonts w:ascii="Arial" w:hAnsi="Arial" w:cs="Arial"/>
          <w:b/>
          <w:bCs/>
        </w:rPr>
        <w:t>g)  Stockholm Convention on Persistent Organic Pollutants (2001)</w:t>
      </w:r>
    </w:p>
    <w:p w14:paraId="2B05D8DF" w14:textId="77777777" w:rsidR="008755A5" w:rsidRDefault="008755A5" w:rsidP="00CC7572">
      <w:pPr>
        <w:spacing w:before="120" w:after="120"/>
        <w:rPr>
          <w:rFonts w:ascii="Arial" w:hAnsi="Arial" w:cs="Arial"/>
        </w:rPr>
      </w:pPr>
      <w:r w:rsidRPr="008755A5">
        <w:rPr>
          <w:rFonts w:ascii="Arial" w:hAnsi="Arial" w:cs="Arial"/>
        </w:rPr>
        <w:t>The Stockholm Convention aims to eliminate or restrict persistent organic pollutants (POPs</w:t>
      </w:r>
      <w:r w:rsidRPr="008755A5">
        <w:rPr>
          <w:rFonts w:ascii="Arial" w:hAnsi="Arial" w:cs="Arial"/>
          <w:color w:val="0070C0"/>
        </w:rPr>
        <w:t xml:space="preserve">— </w:t>
      </w:r>
      <w:r w:rsidRPr="008755A5">
        <w:rPr>
          <w:rFonts w:ascii="Arial" w:hAnsi="Arial" w:cs="Arial"/>
        </w:rPr>
        <w:t>toxic chemicals that remain in the environment, accumulate in living organisms, and pose serious risks to humans and wildlife), harmful to human health and ecosystems. Thailand enforces regulations to phase out POPs (DDT, PCBs, and dioxins), manage contaminated sites, and promote safe waste disposal.</w:t>
      </w:r>
    </w:p>
    <w:p w14:paraId="1A5DBC8E" w14:textId="77777777" w:rsidR="004A08B6" w:rsidRPr="008755A5" w:rsidRDefault="004A08B6" w:rsidP="00CC7572">
      <w:pPr>
        <w:spacing w:before="120" w:after="120"/>
        <w:rPr>
          <w:rFonts w:ascii="Arial" w:hAnsi="Arial" w:cs="Arial"/>
        </w:rPr>
      </w:pPr>
    </w:p>
    <w:p w14:paraId="19174963" w14:textId="77777777" w:rsidR="008755A5" w:rsidRPr="008755A5" w:rsidRDefault="008755A5" w:rsidP="00CC7572">
      <w:pPr>
        <w:spacing w:before="120" w:after="120"/>
        <w:rPr>
          <w:rFonts w:ascii="Arial" w:hAnsi="Arial" w:cs="Arial"/>
          <w:b/>
          <w:bCs/>
          <w:i/>
          <w:iCs/>
          <w:u w:val="single"/>
        </w:rPr>
      </w:pPr>
      <w:r w:rsidRPr="008755A5">
        <w:rPr>
          <w:rFonts w:ascii="Arial" w:hAnsi="Arial" w:cs="Arial"/>
          <w:b/>
          <w:bCs/>
          <w:i/>
          <w:iCs/>
          <w:u w:val="single"/>
        </w:rPr>
        <w:lastRenderedPageBreak/>
        <w:t>Climate Change-related Instruments</w:t>
      </w:r>
    </w:p>
    <w:p w14:paraId="2D671E7A" w14:textId="77777777" w:rsidR="004A08B6" w:rsidRDefault="008755A5" w:rsidP="00CC7572">
      <w:pPr>
        <w:spacing w:before="120" w:after="120"/>
        <w:rPr>
          <w:rFonts w:ascii="Arial" w:hAnsi="Arial" w:cs="Arial"/>
        </w:rPr>
      </w:pPr>
      <w:r w:rsidRPr="008755A5">
        <w:rPr>
          <w:rFonts w:ascii="Arial" w:hAnsi="Arial" w:cs="Arial"/>
          <w:b/>
          <w:bCs/>
        </w:rPr>
        <w:t>a)</w:t>
      </w:r>
      <w:r w:rsidR="00CC7572">
        <w:rPr>
          <w:rFonts w:ascii="Arial" w:hAnsi="Arial" w:cs="Arial"/>
          <w:b/>
          <w:bCs/>
        </w:rPr>
        <w:t xml:space="preserve"> </w:t>
      </w:r>
      <w:r w:rsidRPr="008755A5">
        <w:rPr>
          <w:rFonts w:ascii="Arial" w:hAnsi="Arial" w:cs="Arial"/>
          <w:b/>
          <w:bCs/>
        </w:rPr>
        <w:t>United Nations Framework Convention on Climate Change (UNFCCC, 1992)</w:t>
      </w:r>
    </w:p>
    <w:p w14:paraId="6808FB0B" w14:textId="77777777" w:rsidR="008755A5" w:rsidRPr="008755A5" w:rsidRDefault="008755A5" w:rsidP="00CC7572">
      <w:pPr>
        <w:spacing w:before="120" w:after="120"/>
        <w:rPr>
          <w:rFonts w:ascii="Arial" w:hAnsi="Arial" w:cs="Arial"/>
        </w:rPr>
      </w:pPr>
      <w:r w:rsidRPr="008755A5">
        <w:rPr>
          <w:rFonts w:ascii="Arial" w:hAnsi="Arial" w:cs="Arial"/>
        </w:rPr>
        <w:t>The UNFCCC establishes a global framework for addressing climate change through mitigation, adaptation, and climate finance. Thailand integrates its commitments into national policies to reduce greenhouse gas emissions, enhance climate resilience, and protect vulnerable coastal ecosystems from climate-related impacts.</w:t>
      </w:r>
    </w:p>
    <w:p w14:paraId="3B93D533" w14:textId="77777777" w:rsidR="008755A5" w:rsidRPr="008755A5" w:rsidRDefault="008755A5" w:rsidP="00CC7572">
      <w:pPr>
        <w:spacing w:before="120" w:after="120"/>
        <w:jc w:val="thaiDistribute"/>
        <w:rPr>
          <w:rFonts w:ascii="Arial" w:hAnsi="Arial" w:cs="Arial"/>
          <w:color w:val="0070C0"/>
        </w:rPr>
      </w:pPr>
      <w:r w:rsidRPr="008755A5">
        <w:rPr>
          <w:rFonts w:ascii="Arial" w:hAnsi="Arial" w:cs="Arial"/>
          <w:b/>
          <w:bCs/>
        </w:rPr>
        <w:t xml:space="preserve">b)  </w:t>
      </w:r>
      <w:r w:rsidRPr="008755A5">
        <w:rPr>
          <w:rFonts w:ascii="Arial" w:hAnsi="Arial" w:cs="Arial"/>
          <w:b/>
          <w:bCs/>
          <w:color w:val="000000" w:themeColor="text1"/>
        </w:rPr>
        <w:t>Kyoto Protocol to the United Nations Framework Convention on Climate Change (1997</w:t>
      </w:r>
      <w:r w:rsidRPr="008755A5">
        <w:rPr>
          <w:rFonts w:ascii="Arial" w:hAnsi="Arial" w:cs="Arial"/>
          <w:b/>
          <w:bCs/>
          <w:color w:val="0070C0"/>
        </w:rPr>
        <w:t>)</w:t>
      </w:r>
    </w:p>
    <w:p w14:paraId="3166D733" w14:textId="77777777" w:rsidR="008755A5" w:rsidRPr="008755A5" w:rsidRDefault="008755A5" w:rsidP="00CC7572">
      <w:pPr>
        <w:spacing w:before="120" w:after="120"/>
        <w:rPr>
          <w:rFonts w:ascii="Arial" w:hAnsi="Arial" w:cs="Arial"/>
        </w:rPr>
      </w:pPr>
      <w:r w:rsidRPr="008755A5">
        <w:rPr>
          <w:rFonts w:ascii="Arial" w:hAnsi="Arial" w:cs="Arial"/>
        </w:rPr>
        <w:t xml:space="preserve">The Kyoto Protocol strengthens the UNFCCC by setting emission reduction targets for developed countries and introducing mechanisms such as the </w:t>
      </w:r>
      <w:r w:rsidRPr="008755A5">
        <w:rPr>
          <w:rFonts w:ascii="Arial" w:hAnsi="Arial" w:cs="Arial"/>
          <w:b/>
          <w:bCs/>
        </w:rPr>
        <w:t>Clean Development Mechanism (CDM)</w:t>
      </w:r>
      <w:r w:rsidRPr="008755A5">
        <w:rPr>
          <w:rFonts w:ascii="Arial" w:hAnsi="Arial" w:cs="Arial"/>
        </w:rPr>
        <w:t>. Thailand participates in CDM projects supporting renewable energy and low-carbon development.</w:t>
      </w:r>
    </w:p>
    <w:p w14:paraId="515A98EB" w14:textId="77777777" w:rsidR="004A08B6" w:rsidRDefault="008755A5" w:rsidP="00CC7572">
      <w:pPr>
        <w:spacing w:before="120" w:after="120"/>
        <w:rPr>
          <w:rFonts w:ascii="Arial" w:hAnsi="Arial" w:cs="Arial"/>
        </w:rPr>
      </w:pPr>
      <w:r w:rsidRPr="008755A5">
        <w:rPr>
          <w:rFonts w:ascii="Arial" w:hAnsi="Arial" w:cs="Arial"/>
          <w:b/>
          <w:bCs/>
        </w:rPr>
        <w:t>c)  Paris Agreement to the United Nations Framework Convention on Climate Change (2015)</w:t>
      </w:r>
    </w:p>
    <w:p w14:paraId="1BA93D99" w14:textId="77777777" w:rsidR="008755A5" w:rsidRPr="008755A5" w:rsidRDefault="008755A5" w:rsidP="00CC7572">
      <w:pPr>
        <w:spacing w:before="120" w:after="120"/>
        <w:rPr>
          <w:rFonts w:ascii="Arial" w:hAnsi="Arial" w:cs="Arial"/>
        </w:rPr>
      </w:pPr>
      <w:r w:rsidRPr="008755A5">
        <w:rPr>
          <w:rFonts w:ascii="Arial" w:hAnsi="Arial" w:cs="Arial"/>
        </w:rPr>
        <w:t xml:space="preserve">The Paris Agreement aims to limit global warming to well below 2°C and requires Parties to submit </w:t>
      </w:r>
      <w:r w:rsidRPr="008755A5">
        <w:rPr>
          <w:rFonts w:ascii="Arial" w:hAnsi="Arial" w:cs="Arial"/>
          <w:b/>
          <w:bCs/>
        </w:rPr>
        <w:t>Nationally Determined Contributions (NDCs)</w:t>
      </w:r>
      <w:r w:rsidRPr="008755A5">
        <w:rPr>
          <w:rFonts w:ascii="Arial" w:hAnsi="Arial" w:cs="Arial"/>
        </w:rPr>
        <w:t>. Thailand has pledged to reduce emissions, build climate resilience, and promote sustainable, low-carbon coastal development.</w:t>
      </w:r>
    </w:p>
    <w:p w14:paraId="46ACE256" w14:textId="77777777" w:rsidR="004A08B6" w:rsidRDefault="008755A5" w:rsidP="00CC7572">
      <w:pPr>
        <w:spacing w:before="120" w:after="120"/>
        <w:rPr>
          <w:rFonts w:ascii="Arial" w:hAnsi="Arial" w:cs="Arial"/>
        </w:rPr>
      </w:pPr>
      <w:r w:rsidRPr="008755A5">
        <w:rPr>
          <w:rFonts w:ascii="Arial" w:hAnsi="Arial" w:cs="Arial"/>
          <w:b/>
          <w:bCs/>
        </w:rPr>
        <w:t>d) Montreal Protocol (1987)</w:t>
      </w:r>
    </w:p>
    <w:p w14:paraId="7173C937" w14:textId="77777777" w:rsidR="008755A5" w:rsidRPr="008755A5" w:rsidRDefault="008755A5" w:rsidP="00CC7572">
      <w:pPr>
        <w:spacing w:before="120" w:after="120"/>
        <w:rPr>
          <w:rFonts w:ascii="Arial" w:hAnsi="Arial" w:cs="Arial"/>
        </w:rPr>
      </w:pPr>
      <w:r w:rsidRPr="008755A5">
        <w:rPr>
          <w:rFonts w:ascii="Arial" w:hAnsi="Arial" w:cs="Arial"/>
        </w:rPr>
        <w:t>Adopted under the Vienna Convention, the Montreal Protocol seeks to phase out ozone-depleting substances (ODS). Thailand implements ODS elimination measures and promotes alternatives that support both ozone and climate protection.</w:t>
      </w:r>
    </w:p>
    <w:p w14:paraId="01FB4A3B" w14:textId="77777777" w:rsidR="008755A5" w:rsidRPr="008755A5" w:rsidRDefault="008755A5" w:rsidP="00CC7572">
      <w:pPr>
        <w:spacing w:before="120" w:after="120"/>
        <w:rPr>
          <w:rFonts w:ascii="Arial" w:hAnsi="Arial" w:cs="Arial"/>
        </w:rPr>
      </w:pPr>
    </w:p>
    <w:p w14:paraId="205B67AB" w14:textId="77777777" w:rsidR="004A08B6" w:rsidRDefault="008755A5" w:rsidP="00CC7572">
      <w:pPr>
        <w:spacing w:before="120" w:after="120"/>
        <w:rPr>
          <w:rFonts w:ascii="Arial" w:hAnsi="Arial" w:cs="Arial"/>
        </w:rPr>
      </w:pPr>
      <w:r w:rsidRPr="008755A5">
        <w:rPr>
          <w:rFonts w:ascii="Arial" w:hAnsi="Arial" w:cs="Arial"/>
          <w:b/>
          <w:bCs/>
        </w:rPr>
        <w:t>e) United Nations Convention to Combat Desertification (UNCCD, 1994)</w:t>
      </w:r>
    </w:p>
    <w:p w14:paraId="6DA4C15E" w14:textId="77777777" w:rsidR="008755A5" w:rsidRPr="008755A5" w:rsidRDefault="008755A5" w:rsidP="00CC7572">
      <w:pPr>
        <w:spacing w:before="120" w:after="120"/>
        <w:rPr>
          <w:rFonts w:ascii="Arial" w:hAnsi="Arial" w:cs="Arial"/>
        </w:rPr>
      </w:pPr>
      <w:r w:rsidRPr="008755A5">
        <w:rPr>
          <w:rFonts w:ascii="Arial" w:hAnsi="Arial" w:cs="Arial"/>
        </w:rPr>
        <w:t>The UNCCD focuses on combating land degradation and promoting sustainable land and water management. Thailand’s national action plans address soil erosion, land rehabilitation, and drought mitigation, supporting broader climate resilience and sustainable development goals.</w:t>
      </w:r>
    </w:p>
    <w:p w14:paraId="649B3778" w14:textId="77777777" w:rsidR="00CC7572" w:rsidRDefault="00CC7572" w:rsidP="00CC7572">
      <w:pPr>
        <w:spacing w:before="120" w:after="120"/>
        <w:ind w:firstLine="1134"/>
        <w:jc w:val="thaiDistribute"/>
        <w:rPr>
          <w:rFonts w:ascii="Arial" w:hAnsi="Arial" w:cs="Arial"/>
          <w:color w:val="EE0000"/>
        </w:rPr>
      </w:pPr>
      <w:r>
        <w:rPr>
          <w:rFonts w:ascii="Arial" w:hAnsi="Arial" w:cs="Arial"/>
          <w:color w:val="EE0000"/>
        </w:rPr>
        <w:br w:type="page"/>
      </w:r>
    </w:p>
    <w:p w14:paraId="31ABEE68" w14:textId="77777777" w:rsidR="008755A5" w:rsidRDefault="008755A5" w:rsidP="00CC7572">
      <w:pPr>
        <w:spacing w:before="120" w:after="120"/>
        <w:rPr>
          <w:rFonts w:ascii="Arial" w:hAnsi="Arial" w:cs="Arial"/>
          <w:color w:val="EE0000"/>
        </w:rPr>
      </w:pPr>
      <w:r w:rsidRPr="008755A5">
        <w:rPr>
          <w:rFonts w:ascii="Arial" w:hAnsi="Arial" w:cs="Arial"/>
          <w:color w:val="EE0000"/>
        </w:rPr>
        <w:lastRenderedPageBreak/>
        <w:t xml:space="preserve">Annex </w:t>
      </w:r>
      <w:r w:rsidR="00CC7572">
        <w:rPr>
          <w:rFonts w:ascii="Arial" w:hAnsi="Arial" w:cstheme="minorBidi"/>
          <w:color w:val="EE0000"/>
        </w:rPr>
        <w:t>10:</w:t>
      </w:r>
      <w:r w:rsidRPr="008755A5">
        <w:rPr>
          <w:rFonts w:ascii="Arial" w:hAnsi="Arial" w:cs="Arial"/>
          <w:color w:val="EE0000"/>
        </w:rPr>
        <w:t xml:space="preserve"> Regional Legal and Policy Frameworks and Forums </w:t>
      </w:r>
    </w:p>
    <w:p w14:paraId="2BE5D044" w14:textId="77777777" w:rsidR="00CC7572" w:rsidRPr="008755A5" w:rsidRDefault="00CC7572" w:rsidP="00CC7572">
      <w:pPr>
        <w:spacing w:before="120" w:after="120"/>
        <w:rPr>
          <w:rFonts w:ascii="Arial" w:hAnsi="Arial" w:cs="Arial"/>
          <w:color w:val="EE0000"/>
        </w:rPr>
      </w:pPr>
    </w:p>
    <w:p w14:paraId="2A739B4B" w14:textId="77777777" w:rsidR="008755A5" w:rsidRPr="008755A5" w:rsidRDefault="008755A5" w:rsidP="00CC7572">
      <w:pPr>
        <w:spacing w:before="120" w:after="120"/>
        <w:rPr>
          <w:rFonts w:ascii="Arial" w:hAnsi="Arial" w:cs="Arial"/>
          <w:b/>
          <w:bCs/>
        </w:rPr>
      </w:pPr>
      <w:r w:rsidRPr="008755A5">
        <w:rPr>
          <w:rFonts w:ascii="Arial" w:hAnsi="Arial" w:cs="Arial"/>
          <w:b/>
          <w:bCs/>
        </w:rPr>
        <w:t>a) Partnerships in Environmental Management for the Seas of East Asia (PEMSEA)</w:t>
      </w:r>
    </w:p>
    <w:p w14:paraId="301956E0" w14:textId="77777777" w:rsidR="008755A5" w:rsidRPr="008755A5" w:rsidRDefault="008755A5" w:rsidP="00CC7572">
      <w:pPr>
        <w:spacing w:before="120" w:after="120"/>
        <w:rPr>
          <w:rFonts w:ascii="Arial" w:hAnsi="Arial" w:cs="Arial"/>
        </w:rPr>
      </w:pPr>
      <w:r w:rsidRPr="008755A5">
        <w:rPr>
          <w:rFonts w:ascii="Arial" w:hAnsi="Arial" w:cs="Arial"/>
        </w:rPr>
        <w:t>The Partnerships in Environmental Management for the Seas of East Asia (PEMSEA) is a regional partnership that promotes sustainable development and management of coastal and marine areas through the implementation of Integrated Coastal Management (ICM). It serves as a platform for governments and stakeholders to enhance marine governance, pollution control, and climate resilience. Thailand, as a participating country, collaborates with PEMSEA in advancing ICM initiatives, supporting marine spatial planning (MSP), and strengthening capacity building and policy harmonization in line with the Sustainable Development Strategy for the Seas of East Asia (SDS-SEA).</w:t>
      </w:r>
    </w:p>
    <w:p w14:paraId="5726A5EB" w14:textId="77777777" w:rsidR="008755A5" w:rsidRPr="008755A5" w:rsidRDefault="008755A5" w:rsidP="00CC7572">
      <w:pPr>
        <w:spacing w:before="120" w:after="120"/>
        <w:rPr>
          <w:rFonts w:ascii="Arial" w:hAnsi="Arial" w:cs="Arial"/>
          <w:b/>
          <w:bCs/>
        </w:rPr>
      </w:pPr>
      <w:r w:rsidRPr="008755A5">
        <w:rPr>
          <w:rFonts w:ascii="Arial" w:hAnsi="Arial" w:cs="Arial"/>
          <w:b/>
          <w:bCs/>
        </w:rPr>
        <w:t>b) Coral Triangle Initiative on Coral Reefs, Fisheries, and Food Security (CTI–CFF)</w:t>
      </w:r>
    </w:p>
    <w:p w14:paraId="00B7FA59" w14:textId="77777777" w:rsidR="008755A5" w:rsidRPr="008755A5" w:rsidRDefault="008755A5" w:rsidP="00CC7572">
      <w:pPr>
        <w:spacing w:before="120" w:after="120"/>
        <w:rPr>
          <w:rFonts w:ascii="Arial" w:hAnsi="Arial" w:cs="Arial"/>
        </w:rPr>
      </w:pPr>
      <w:r w:rsidRPr="008755A5">
        <w:rPr>
          <w:rFonts w:ascii="Arial" w:hAnsi="Arial" w:cs="Arial"/>
        </w:rPr>
        <w:t>The CTI–CFF is a multilateral partnership among six countries—Indonesia, Malaysia, Papua New Guinea, the Philippines, Solomon Islands, and Timor-Leste—aimed at conserving the world’s most biodiverse marine region, the Coral Triangle. Although Thailand is not a member country, it cooperates regionally through knowledge exchange, capacity building, and marine biodiversity research with CTI–CFF partners. These engagements strengthen Thailand’s contribution to ecosystem-based management, coral reef conservation, and sustainable fisheries in the wider Indo-Pacific region.</w:t>
      </w:r>
    </w:p>
    <w:p w14:paraId="2D0BD0DF" w14:textId="77777777" w:rsidR="008755A5" w:rsidRPr="008755A5" w:rsidRDefault="008755A5" w:rsidP="00CC7572">
      <w:pPr>
        <w:spacing w:before="120" w:after="120"/>
        <w:rPr>
          <w:rFonts w:ascii="Arial" w:hAnsi="Arial" w:cs="Arial"/>
          <w:b/>
          <w:bCs/>
        </w:rPr>
      </w:pPr>
      <w:r w:rsidRPr="008755A5">
        <w:rPr>
          <w:rFonts w:ascii="Arial" w:hAnsi="Arial" w:cs="Arial"/>
          <w:b/>
          <w:bCs/>
        </w:rPr>
        <w:t>c) Indian Ocean Tuna Commission (IOTC)</w:t>
      </w:r>
    </w:p>
    <w:p w14:paraId="3958B8C1" w14:textId="77777777" w:rsidR="008755A5" w:rsidRPr="008755A5" w:rsidRDefault="008755A5" w:rsidP="00CC7572">
      <w:pPr>
        <w:spacing w:before="120" w:after="120"/>
        <w:rPr>
          <w:rFonts w:ascii="Arial" w:hAnsi="Arial" w:cs="Arial"/>
        </w:rPr>
      </w:pPr>
      <w:r w:rsidRPr="008755A5">
        <w:rPr>
          <w:rFonts w:ascii="Arial" w:hAnsi="Arial" w:cs="Arial"/>
        </w:rPr>
        <w:t>The Indian Ocean Tuna Commission (IOTC), established under the Food and Agriculture Organization (FAO), manages and conserves tuna and tuna-like species in the Indian Ocean and adjacent seas. Its objectives are to ensure the sustainable use of tuna resources, facilitate scientific data sharing, and coordinate fisheries management measures among member countries. Thailand, as a member of the IOTC, plays an influential role as one of the world’s leading tuna processing and exporting nations. The government actively participates in scientific research, data reporting, and policy development to promote sustainable tuna harvesting, combat illegal, unreported, and unregulated (IUU) fishing, and strengthen regional food security.</w:t>
      </w:r>
    </w:p>
    <w:p w14:paraId="1BB49CDE" w14:textId="77777777" w:rsidR="008755A5" w:rsidRPr="008755A5" w:rsidRDefault="008755A5" w:rsidP="00CC7572">
      <w:pPr>
        <w:spacing w:before="120" w:after="120"/>
        <w:rPr>
          <w:rFonts w:ascii="Arial" w:hAnsi="Arial" w:cs="Arial"/>
          <w:b/>
          <w:bCs/>
        </w:rPr>
      </w:pPr>
      <w:r w:rsidRPr="008755A5">
        <w:rPr>
          <w:rFonts w:ascii="Arial" w:hAnsi="Arial" w:cs="Arial"/>
          <w:b/>
          <w:bCs/>
        </w:rPr>
        <w:t>d) ASEAN Agreement on the Conservation of Nature and Natural Resources (1985)</w:t>
      </w:r>
    </w:p>
    <w:p w14:paraId="7AF2BD39" w14:textId="77777777" w:rsidR="008755A5" w:rsidRPr="008755A5" w:rsidRDefault="008755A5" w:rsidP="00CC7572">
      <w:pPr>
        <w:spacing w:before="120" w:after="120"/>
        <w:rPr>
          <w:rFonts w:ascii="Arial" w:hAnsi="Arial" w:cs="Arial"/>
        </w:rPr>
      </w:pPr>
      <w:r w:rsidRPr="008755A5">
        <w:rPr>
          <w:rFonts w:ascii="Arial" w:hAnsi="Arial" w:cs="Arial"/>
        </w:rPr>
        <w:t>The ASEAN Agreement on the Conservation of Nature and Natural Resources (1985) is a pioneering regional legal instrument that promotes cooperation among ASEAN member states for the conservation and sustainable use of natural resources. It encompasses ecosystem and species protection, sustainable land and water management, and environmental pollution control. Although not all ASEAN member states have ratified the Agreement, Thailand upholds its principles through national policies on biodiversity conservation, sustainable development, and transboundary environmental cooperation, supporting ASEAN’s broader framework for environmental governance and sustainability.</w:t>
      </w:r>
    </w:p>
    <w:p w14:paraId="4D5225F9" w14:textId="77777777" w:rsidR="008755A5" w:rsidRPr="008755A5" w:rsidRDefault="008755A5" w:rsidP="00CC7572">
      <w:pPr>
        <w:spacing w:before="120" w:after="120"/>
        <w:rPr>
          <w:rFonts w:ascii="Arial" w:hAnsi="Arial" w:cs="Arial"/>
          <w:b/>
          <w:bCs/>
        </w:rPr>
      </w:pPr>
      <w:r w:rsidRPr="008755A5">
        <w:rPr>
          <w:rFonts w:ascii="Arial" w:hAnsi="Arial" w:cs="Arial"/>
          <w:b/>
          <w:bCs/>
        </w:rPr>
        <w:lastRenderedPageBreak/>
        <w:t>e) Regional Plan of Action to Promote Responsible Fishing Practices, including Combating Illegal, Unreported, and Unregulated Fishing (RPOA–IUU)</w:t>
      </w:r>
    </w:p>
    <w:p w14:paraId="63879B72" w14:textId="77777777" w:rsidR="008755A5" w:rsidRPr="008755A5" w:rsidRDefault="008755A5" w:rsidP="00CC7572">
      <w:pPr>
        <w:spacing w:before="120" w:after="120"/>
        <w:rPr>
          <w:rFonts w:ascii="Arial" w:hAnsi="Arial" w:cs="Arial"/>
        </w:rPr>
      </w:pPr>
      <w:r w:rsidRPr="008755A5">
        <w:rPr>
          <w:rFonts w:ascii="Arial" w:hAnsi="Arial" w:cs="Arial"/>
        </w:rPr>
        <w:t>The RPOA–IUU is a voluntary regional initiative established in 2007 by 11 countries in Southeast Asia and the Indian Ocean region to promote responsible fishing practices and strengthen the fight against IUU fishing. Participating countries include Thailand, Indonesia, Malaysia, and the Philippines, among others.</w:t>
      </w:r>
      <w:r w:rsidRPr="008755A5">
        <w:rPr>
          <w:rFonts w:ascii="Arial" w:hAnsi="Arial" w:cs="Arial"/>
        </w:rPr>
        <w:br/>
        <w:t>The plan’s objectives are to:</w:t>
      </w:r>
    </w:p>
    <w:p w14:paraId="64634405" w14:textId="77777777" w:rsidR="008755A5" w:rsidRPr="008755A5" w:rsidRDefault="008755A5" w:rsidP="00CC7572">
      <w:pPr>
        <w:numPr>
          <w:ilvl w:val="0"/>
          <w:numId w:val="1"/>
        </w:numPr>
        <w:spacing w:before="120" w:after="120"/>
        <w:rPr>
          <w:rFonts w:ascii="Arial" w:hAnsi="Arial" w:cs="Arial"/>
        </w:rPr>
      </w:pPr>
      <w:r w:rsidRPr="008755A5">
        <w:rPr>
          <w:rFonts w:ascii="Arial" w:hAnsi="Arial" w:cs="Arial"/>
        </w:rPr>
        <w:t>Enhance monitoring, control, and surveillance (MCS) of fishing activities;</w:t>
      </w:r>
    </w:p>
    <w:p w14:paraId="4F356B54" w14:textId="77777777" w:rsidR="008755A5" w:rsidRPr="008755A5" w:rsidRDefault="008755A5" w:rsidP="00CC7572">
      <w:pPr>
        <w:numPr>
          <w:ilvl w:val="0"/>
          <w:numId w:val="1"/>
        </w:numPr>
        <w:spacing w:before="120" w:after="120"/>
        <w:rPr>
          <w:rFonts w:ascii="Arial" w:hAnsi="Arial" w:cs="Arial"/>
        </w:rPr>
      </w:pPr>
      <w:r w:rsidRPr="008755A5">
        <w:rPr>
          <w:rFonts w:ascii="Arial" w:hAnsi="Arial" w:cs="Arial"/>
        </w:rPr>
        <w:t>Improve information exchange and coordination among countries;</w:t>
      </w:r>
    </w:p>
    <w:p w14:paraId="4F63447D" w14:textId="77777777" w:rsidR="008755A5" w:rsidRPr="008755A5" w:rsidRDefault="008755A5" w:rsidP="00CC7572">
      <w:pPr>
        <w:numPr>
          <w:ilvl w:val="0"/>
          <w:numId w:val="1"/>
        </w:numPr>
        <w:spacing w:before="120" w:after="120"/>
        <w:rPr>
          <w:rFonts w:ascii="Arial" w:hAnsi="Arial" w:cs="Arial"/>
        </w:rPr>
      </w:pPr>
      <w:r w:rsidRPr="008755A5">
        <w:rPr>
          <w:rFonts w:ascii="Arial" w:hAnsi="Arial" w:cs="Arial"/>
        </w:rPr>
        <w:t>Develop national and regional action plans to eliminate IUU fishing; and</w:t>
      </w:r>
    </w:p>
    <w:p w14:paraId="2E475A7C" w14:textId="77777777" w:rsidR="008755A5" w:rsidRDefault="008755A5" w:rsidP="00CC7572">
      <w:pPr>
        <w:numPr>
          <w:ilvl w:val="0"/>
          <w:numId w:val="1"/>
        </w:numPr>
        <w:spacing w:before="120" w:after="120"/>
        <w:rPr>
          <w:rFonts w:ascii="Arial" w:hAnsi="Arial" w:cs="Arial"/>
        </w:rPr>
      </w:pPr>
      <w:r w:rsidRPr="008755A5">
        <w:rPr>
          <w:rFonts w:ascii="Arial" w:hAnsi="Arial" w:cs="Arial"/>
        </w:rPr>
        <w:t>Promote sustainable fisheries management aligned with the FAO Code of Conduct for Responsible Fisheries.</w:t>
      </w:r>
      <w:r w:rsidRPr="008755A5">
        <w:rPr>
          <w:rFonts w:ascii="Arial" w:hAnsi="Arial" w:cs="Arial"/>
        </w:rPr>
        <w:br/>
        <w:t>Thailand actively implements RPOA–IUU measures through improved vessel registration and tracking, legal reforms, and enhanced fisheries enforcement, contributing to the long-term sustainability of marine living resources.</w:t>
      </w:r>
    </w:p>
    <w:p w14:paraId="0267102E" w14:textId="77777777" w:rsidR="00CC7572" w:rsidRDefault="00CC7572">
      <w:pPr>
        <w:spacing w:before="120" w:after="120"/>
        <w:ind w:firstLine="1134"/>
        <w:jc w:val="thaiDistribute"/>
        <w:rPr>
          <w:rFonts w:ascii="Arial" w:hAnsi="Arial" w:cs="Arial"/>
        </w:rPr>
      </w:pPr>
      <w:r>
        <w:rPr>
          <w:rFonts w:ascii="Arial" w:hAnsi="Arial" w:cs="Arial"/>
        </w:rPr>
        <w:br w:type="page"/>
      </w:r>
    </w:p>
    <w:p w14:paraId="46E472FA" w14:textId="77777777" w:rsidR="00CC7572" w:rsidRPr="00CC7572" w:rsidRDefault="00CC7572" w:rsidP="00CC7572">
      <w:pPr>
        <w:rPr>
          <w:rFonts w:ascii="Arial" w:hAnsi="Arial" w:cs="Arial"/>
        </w:rPr>
      </w:pPr>
      <w:r w:rsidRPr="00CC7572">
        <w:rPr>
          <w:rFonts w:ascii="Arial" w:hAnsi="Arial" w:cs="Arial"/>
        </w:rPr>
        <w:lastRenderedPageBreak/>
        <w:t xml:space="preserve">Annex 11: Existing legal instruments and relevance to marine and coastal resources management   </w:t>
      </w:r>
    </w:p>
    <w:tbl>
      <w:tblPr>
        <w:tblStyle w:val="GridTable4"/>
        <w:tblW w:w="9351" w:type="dxa"/>
        <w:tblLook w:val="04A0" w:firstRow="1" w:lastRow="0" w:firstColumn="1" w:lastColumn="0" w:noHBand="0" w:noVBand="1"/>
      </w:tblPr>
      <w:tblGrid>
        <w:gridCol w:w="2972"/>
        <w:gridCol w:w="6379"/>
      </w:tblGrid>
      <w:tr w:rsidR="00CC7572" w:rsidRPr="00CC7572" w14:paraId="27F85A09" w14:textId="77777777" w:rsidTr="00CC7572">
        <w:trPr>
          <w:cnfStyle w:val="100000000000" w:firstRow="1" w:lastRow="0" w:firstColumn="0" w:lastColumn="0" w:oddVBand="0" w:evenVBand="0" w:oddHBand="0" w:evenHBand="0" w:firstRowFirstColumn="0" w:firstRowLastColumn="0" w:lastRowFirstColumn="0" w:lastRowLastColumn="0"/>
          <w:trHeight w:val="290"/>
          <w:tblHeader/>
        </w:trPr>
        <w:tc>
          <w:tcPr>
            <w:cnfStyle w:val="001000000000" w:firstRow="0" w:lastRow="0" w:firstColumn="1" w:lastColumn="0" w:oddVBand="0" w:evenVBand="0" w:oddHBand="0" w:evenHBand="0" w:firstRowFirstColumn="0" w:firstRowLastColumn="0" w:lastRowFirstColumn="0" w:lastRowLastColumn="0"/>
            <w:tcW w:w="2972" w:type="dxa"/>
            <w:hideMark/>
          </w:tcPr>
          <w:p w14:paraId="451BB87D" w14:textId="77777777" w:rsidR="00CC7572" w:rsidRPr="00CC7572" w:rsidRDefault="00CC7572" w:rsidP="008D367E">
            <w:pPr>
              <w:jc w:val="center"/>
              <w:rPr>
                <w:rFonts w:ascii="Arial" w:eastAsia="Times New Roman" w:hAnsi="Arial" w:cs="Arial"/>
                <w:color w:val="E7E6E6" w:themeColor="background2"/>
                <w:lang w:eastAsia="ja-JP"/>
              </w:rPr>
            </w:pPr>
            <w:r w:rsidRPr="00CC7572">
              <w:rPr>
                <w:rFonts w:ascii="Arial" w:eastAsia="Times New Roman" w:hAnsi="Arial" w:cs="Arial"/>
                <w:color w:val="E7E6E6" w:themeColor="background2"/>
                <w:lang w:eastAsia="ja-JP"/>
              </w:rPr>
              <w:t>Legal Documents</w:t>
            </w:r>
          </w:p>
        </w:tc>
        <w:tc>
          <w:tcPr>
            <w:tcW w:w="6379" w:type="dxa"/>
            <w:hideMark/>
          </w:tcPr>
          <w:p w14:paraId="538171D2" w14:textId="77777777" w:rsidR="00CC7572" w:rsidRPr="00CC7572" w:rsidRDefault="00CC7572" w:rsidP="008D367E">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E7E6E6" w:themeColor="background2"/>
                <w:lang w:eastAsia="ja-JP"/>
              </w:rPr>
            </w:pPr>
            <w:r w:rsidRPr="00CC7572">
              <w:rPr>
                <w:rFonts w:ascii="Arial" w:eastAsia="Times New Roman" w:hAnsi="Arial" w:cs="Arial"/>
                <w:color w:val="E7E6E6" w:themeColor="background2"/>
                <w:lang w:eastAsia="ja-JP"/>
              </w:rPr>
              <w:t xml:space="preserve">Relevance to Marine Conservation </w:t>
            </w:r>
          </w:p>
        </w:tc>
      </w:tr>
      <w:tr w:rsidR="00CC7572" w:rsidRPr="00CC7572" w14:paraId="3C469188" w14:textId="77777777" w:rsidTr="00CC7572">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7DA2CF73"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Marine and Coastal Resources Management Act B.E. 2558 (2015)</w:t>
            </w:r>
          </w:p>
        </w:tc>
        <w:tc>
          <w:tcPr>
            <w:tcW w:w="6379" w:type="dxa"/>
            <w:shd w:val="clear" w:color="auto" w:fill="FFFFFF" w:themeFill="background1"/>
            <w:hideMark/>
          </w:tcPr>
          <w:p w14:paraId="69FD7A37" w14:textId="77777777" w:rsidR="00CC7572" w:rsidRPr="00CC7572" w:rsidRDefault="00CC7572" w:rsidP="008D367E">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Empowers the Ministry of Natural Resources and Environment (</w:t>
            </w:r>
            <w:proofErr w:type="spellStart"/>
            <w:r w:rsidRPr="00CC7572">
              <w:rPr>
                <w:rFonts w:ascii="Arial" w:eastAsia="Times New Roman" w:hAnsi="Arial" w:cs="Arial"/>
                <w:color w:val="000000"/>
                <w:lang w:eastAsia="ja-JP"/>
              </w:rPr>
              <w:t>MoNRE</w:t>
            </w:r>
            <w:proofErr w:type="spellEnd"/>
            <w:r w:rsidRPr="00CC7572">
              <w:rPr>
                <w:rFonts w:ascii="Arial" w:eastAsia="Times New Roman" w:hAnsi="Arial" w:cs="Arial"/>
                <w:color w:val="000000"/>
                <w:lang w:eastAsia="ja-JP"/>
              </w:rPr>
              <w:t xml:space="preserve">) to enforce the sustainable management of marine resources, coastal erosion prevention, and public participation. Establishes committees for policy coordination and the demarcation of marine protected areas, essential for the integrated and sustainable management of marine and coastal resources, thereby supporting marine and coastal resources </w:t>
            </w:r>
            <w:proofErr w:type="spellStart"/>
            <w:r w:rsidRPr="00CC7572">
              <w:rPr>
                <w:rFonts w:ascii="Arial" w:eastAsia="Times New Roman" w:hAnsi="Arial" w:cs="Arial"/>
                <w:color w:val="000000"/>
                <w:lang w:eastAsia="ja-JP"/>
              </w:rPr>
              <w:t>consertvation</w:t>
            </w:r>
            <w:proofErr w:type="spellEnd"/>
            <w:r w:rsidRPr="00CC7572">
              <w:rPr>
                <w:rFonts w:ascii="Arial" w:eastAsia="Times New Roman" w:hAnsi="Arial" w:cs="Arial"/>
                <w:color w:val="000000"/>
                <w:lang w:eastAsia="ja-JP"/>
              </w:rPr>
              <w:t>.</w:t>
            </w:r>
          </w:p>
        </w:tc>
      </w:tr>
      <w:tr w:rsidR="00CC7572" w:rsidRPr="00CC7572" w14:paraId="6A4D683E" w14:textId="77777777" w:rsidTr="00CC7572">
        <w:trPr>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7A49EA6A"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National Maritime Interests Protection Act B.E. 2562 (2019)</w:t>
            </w:r>
          </w:p>
        </w:tc>
        <w:tc>
          <w:tcPr>
            <w:tcW w:w="6379" w:type="dxa"/>
            <w:shd w:val="clear" w:color="auto" w:fill="FFFFFF" w:themeFill="background1"/>
            <w:hideMark/>
          </w:tcPr>
          <w:p w14:paraId="00B2E6D0" w14:textId="77777777" w:rsidR="00CC7572" w:rsidRPr="00CC7572" w:rsidRDefault="00CC7572" w:rsidP="008D36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Defines Thailand's maritime interests and zones, empowering the Prime Minister to execute laws. Establishes the National Maritime Interests Protection Policy Committee (MIP) and Thai-MECC to coordinate maritime security and protect national maritime interests. Supports the alignment of biodiversity and ecosystem services with national maritime strategies and security.</w:t>
            </w:r>
          </w:p>
        </w:tc>
      </w:tr>
      <w:tr w:rsidR="00CC7572" w:rsidRPr="00CC7572" w14:paraId="6CC1EC07" w14:textId="77777777" w:rsidTr="00CC7572">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36A4F295"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Royal Ordinance on Fisheries B.E. 2558 (2015), amended 2560 (2017)</w:t>
            </w:r>
          </w:p>
        </w:tc>
        <w:tc>
          <w:tcPr>
            <w:tcW w:w="6379" w:type="dxa"/>
            <w:shd w:val="clear" w:color="auto" w:fill="FFFFFF" w:themeFill="background1"/>
            <w:hideMark/>
          </w:tcPr>
          <w:p w14:paraId="70FB1E2F" w14:textId="77777777" w:rsidR="00CC7572" w:rsidRPr="00CC7572" w:rsidRDefault="00CC7572" w:rsidP="008D367E">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Provides amendments for modernized fisheries management, aligning with sustainable development principles to promote long-term sustainability and support marine conservation</w:t>
            </w:r>
          </w:p>
        </w:tc>
      </w:tr>
      <w:tr w:rsidR="00CC7572" w:rsidRPr="00CC7572" w14:paraId="3366C58E" w14:textId="77777777" w:rsidTr="00CC7572">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6688CB97"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Navigation in Thai Waters Act B.E. 2456 (1913)</w:t>
            </w:r>
          </w:p>
        </w:tc>
        <w:tc>
          <w:tcPr>
            <w:tcW w:w="6379" w:type="dxa"/>
            <w:shd w:val="clear" w:color="auto" w:fill="FFFFFF" w:themeFill="background1"/>
            <w:hideMark/>
          </w:tcPr>
          <w:p w14:paraId="28F75439" w14:textId="77777777" w:rsidR="00CC7572" w:rsidRPr="00CC7572" w:rsidRDefault="00CC7572" w:rsidP="008D36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Governs navigation in Thai waters, ensuring coordination of maritime transport and space use in ways that support marine conservation.</w:t>
            </w:r>
          </w:p>
        </w:tc>
      </w:tr>
      <w:tr w:rsidR="00CC7572" w:rsidRPr="00CC7572" w14:paraId="740AD7A4" w14:textId="77777777" w:rsidTr="00CC7572">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08B5B0EE"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Thai Vessels Act B.E. 2481 (1938), amended B.E. 2561 (2018)</w:t>
            </w:r>
          </w:p>
        </w:tc>
        <w:tc>
          <w:tcPr>
            <w:tcW w:w="6379" w:type="dxa"/>
            <w:shd w:val="clear" w:color="auto" w:fill="FFFFFF" w:themeFill="background1"/>
            <w:hideMark/>
          </w:tcPr>
          <w:p w14:paraId="3D5153DB" w14:textId="77777777" w:rsidR="00CC7572" w:rsidRPr="00CC7572" w:rsidRDefault="00CC7572" w:rsidP="008D367E">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Regulates vessel registration and operations, ensuring the management of vessel activities within designated marine zones to support marine conservation.</w:t>
            </w:r>
          </w:p>
        </w:tc>
      </w:tr>
      <w:tr w:rsidR="00CC7572" w:rsidRPr="00CC7572" w14:paraId="27B2F5CA" w14:textId="77777777" w:rsidTr="00CC7572">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5EFF9BAC"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Petroleum Act B.E. 2514 (1971)</w:t>
            </w:r>
          </w:p>
        </w:tc>
        <w:tc>
          <w:tcPr>
            <w:tcW w:w="6379" w:type="dxa"/>
            <w:shd w:val="clear" w:color="auto" w:fill="FFFFFF" w:themeFill="background1"/>
            <w:hideMark/>
          </w:tcPr>
          <w:p w14:paraId="0F04014F" w14:textId="77777777" w:rsidR="00CC7572" w:rsidRPr="00CC7572" w:rsidRDefault="00CC7572" w:rsidP="008D36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Regulates petroleum exploration and extraction, ensuring a balance between economic use and environmental sustainability to protect biodiversity in marine areas.</w:t>
            </w:r>
          </w:p>
        </w:tc>
      </w:tr>
      <w:tr w:rsidR="00CC7572" w:rsidRPr="00CC7572" w14:paraId="0A7EFF06" w14:textId="77777777" w:rsidTr="00CC7572">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178C01CE"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Minerals Act B.E. 2560 (2017)</w:t>
            </w:r>
          </w:p>
        </w:tc>
        <w:tc>
          <w:tcPr>
            <w:tcW w:w="6379" w:type="dxa"/>
            <w:shd w:val="clear" w:color="auto" w:fill="FFFFFF" w:themeFill="background1"/>
            <w:hideMark/>
          </w:tcPr>
          <w:p w14:paraId="712DF0E2" w14:textId="77777777" w:rsidR="00CC7572" w:rsidRPr="00CC7572" w:rsidRDefault="00CC7572" w:rsidP="008D367E">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Governs mineral resource extraction, ensuring zoning and environmental protection measures that support marine conservation.</w:t>
            </w:r>
          </w:p>
        </w:tc>
      </w:tr>
      <w:tr w:rsidR="00CC7572" w:rsidRPr="00CC7572" w14:paraId="0D95F3A7" w14:textId="77777777" w:rsidTr="00CC7572">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450A3277"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National Security Council Act B.E. 2559 (2016)</w:t>
            </w:r>
          </w:p>
        </w:tc>
        <w:tc>
          <w:tcPr>
            <w:tcW w:w="6379" w:type="dxa"/>
            <w:shd w:val="clear" w:color="auto" w:fill="FFFFFF" w:themeFill="background1"/>
            <w:hideMark/>
          </w:tcPr>
          <w:p w14:paraId="333EDC4B" w14:textId="77777777" w:rsidR="00CC7572" w:rsidRPr="00CC7572" w:rsidRDefault="00CC7572" w:rsidP="008D36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Provides a framework for addressing national security threats, including maritime security, while ensuring the integration of marine conservation with security measures.</w:t>
            </w:r>
          </w:p>
        </w:tc>
      </w:tr>
      <w:tr w:rsidR="00CC7572" w:rsidRPr="00CC7572" w14:paraId="383DF143" w14:textId="77777777" w:rsidTr="00CC7572">
        <w:trPr>
          <w:cnfStyle w:val="000000100000" w:firstRow="0" w:lastRow="0" w:firstColumn="0" w:lastColumn="0" w:oddVBand="0" w:evenVBand="0" w:oddHBand="1" w:evenHBand="0" w:firstRowFirstColumn="0" w:firstRowLastColumn="0" w:lastRowFirstColumn="0" w:lastRowLastColumn="0"/>
          <w:trHeight w:val="796"/>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4CB10F4E"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Enhancement and Conservation of National Environmental Quality Act B.E. 2535 (1992), amended 2561 (2018)</w:t>
            </w:r>
          </w:p>
        </w:tc>
        <w:tc>
          <w:tcPr>
            <w:tcW w:w="6379" w:type="dxa"/>
            <w:shd w:val="clear" w:color="auto" w:fill="FFFFFF" w:themeFill="background1"/>
            <w:hideMark/>
          </w:tcPr>
          <w:p w14:paraId="3FA501AC" w14:textId="77777777" w:rsidR="00CC7572" w:rsidRPr="00CC7572" w:rsidRDefault="00CC7572" w:rsidP="008D367E">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Prescribes measures for environmental conservation and pollution control, supporting biodiversity by promoting the sustainable use of marine and coastal environments.</w:t>
            </w:r>
          </w:p>
        </w:tc>
      </w:tr>
      <w:tr w:rsidR="00CC7572" w:rsidRPr="00CC7572" w14:paraId="79B69593" w14:textId="77777777" w:rsidTr="00CC7572">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3B5D5FA5"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National Park Act B.E. 2562 (2019)</w:t>
            </w:r>
          </w:p>
        </w:tc>
        <w:tc>
          <w:tcPr>
            <w:tcW w:w="6379" w:type="dxa"/>
            <w:shd w:val="clear" w:color="auto" w:fill="FFFFFF" w:themeFill="background1"/>
            <w:hideMark/>
          </w:tcPr>
          <w:p w14:paraId="082B21A6" w14:textId="77777777" w:rsidR="00CC7572" w:rsidRPr="00CC7572" w:rsidRDefault="00CC7572" w:rsidP="008D36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 xml:space="preserve">Governs protected areas and biodiversity conservation, facilitating the integration of marine protected areas into </w:t>
            </w:r>
            <w:r w:rsidRPr="00CC7572">
              <w:rPr>
                <w:rFonts w:ascii="Arial" w:eastAsia="Times New Roman" w:hAnsi="Arial" w:cs="Arial"/>
                <w:color w:val="000000"/>
                <w:lang w:eastAsia="ja-JP"/>
              </w:rPr>
              <w:lastRenderedPageBreak/>
              <w:t>broader conservation efforts and ecosystem sustainability, thereby supporting marine conservation.</w:t>
            </w:r>
          </w:p>
        </w:tc>
      </w:tr>
      <w:tr w:rsidR="00CC7572" w:rsidRPr="00CC7572" w14:paraId="5FCC1C4C" w14:textId="77777777" w:rsidTr="00CC7572">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6C95120D"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lastRenderedPageBreak/>
              <w:t>Local Government Organization Act B.E. 2542 (1999)</w:t>
            </w:r>
          </w:p>
        </w:tc>
        <w:tc>
          <w:tcPr>
            <w:tcW w:w="6379" w:type="dxa"/>
            <w:shd w:val="clear" w:color="auto" w:fill="FFFFFF" w:themeFill="background1"/>
            <w:hideMark/>
          </w:tcPr>
          <w:p w14:paraId="2DE25B0F" w14:textId="77777777" w:rsidR="00CC7572" w:rsidRPr="00CC7572" w:rsidRDefault="00CC7572" w:rsidP="008D367E">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Defines the roles of local governments in resource management, ensuring participatory and decentralized implementation that supports marine conservation.</w:t>
            </w:r>
          </w:p>
        </w:tc>
      </w:tr>
      <w:tr w:rsidR="00CC7572" w:rsidRPr="00CC7572" w14:paraId="51EFB49A" w14:textId="77777777" w:rsidTr="00CC7572">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3466853F"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National Tourism Policy Act B.E. 2546 (2003)</w:t>
            </w:r>
          </w:p>
        </w:tc>
        <w:tc>
          <w:tcPr>
            <w:tcW w:w="6379" w:type="dxa"/>
            <w:shd w:val="clear" w:color="auto" w:fill="FFFFFF" w:themeFill="background1"/>
            <w:hideMark/>
          </w:tcPr>
          <w:p w14:paraId="5C12A278" w14:textId="77777777" w:rsidR="00CC7572" w:rsidRPr="00CC7572" w:rsidRDefault="00CC7572" w:rsidP="008D367E">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Regulates tourism development, ensuring a balance between tourism growth and marine conservation through environmental and spatial considerations.</w:t>
            </w:r>
          </w:p>
        </w:tc>
      </w:tr>
      <w:tr w:rsidR="00CC7572" w:rsidRPr="00CC7572" w14:paraId="60F8FEE8" w14:textId="77777777" w:rsidTr="00CC7572">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73F05E12" w14:textId="77777777" w:rsidR="00CC7572" w:rsidRPr="00CC7572" w:rsidRDefault="00CC7572" w:rsidP="008D367E">
            <w:pPr>
              <w:rPr>
                <w:rFonts w:ascii="Arial" w:eastAsia="Times New Roman" w:hAnsi="Arial" w:cs="Arial"/>
                <w:b w:val="0"/>
                <w:bCs w:val="0"/>
                <w:color w:val="000000"/>
                <w:lang w:eastAsia="ja-JP"/>
              </w:rPr>
            </w:pPr>
            <w:r w:rsidRPr="00CC7572">
              <w:rPr>
                <w:rFonts w:ascii="Arial" w:eastAsia="Times New Roman" w:hAnsi="Arial" w:cs="Arial"/>
                <w:b w:val="0"/>
                <w:bCs w:val="0"/>
                <w:color w:val="000000"/>
                <w:lang w:eastAsia="ja-JP"/>
              </w:rPr>
              <w:t>National Economic and Social Development Board Act B.E. 2521 (1978)</w:t>
            </w:r>
          </w:p>
        </w:tc>
        <w:tc>
          <w:tcPr>
            <w:tcW w:w="6379" w:type="dxa"/>
            <w:shd w:val="clear" w:color="auto" w:fill="FFFFFF" w:themeFill="background1"/>
            <w:hideMark/>
          </w:tcPr>
          <w:p w14:paraId="6755C87B" w14:textId="77777777" w:rsidR="00CC7572" w:rsidRPr="00CC7572" w:rsidRDefault="00CC7572" w:rsidP="008D367E">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Establishes strategic development frameworks that include both economic and environmental goals, supporting the integration of marine biodiversity into national development strategies</w:t>
            </w:r>
          </w:p>
        </w:tc>
      </w:tr>
      <w:tr w:rsidR="00CC7572" w:rsidRPr="00CC7572" w14:paraId="36A0C526" w14:textId="77777777" w:rsidTr="00CC7572">
        <w:trPr>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tcPr>
          <w:p w14:paraId="4B57FD85" w14:textId="77777777" w:rsidR="00CC7572" w:rsidRPr="00CC7572" w:rsidRDefault="00CC7572" w:rsidP="008D367E">
            <w:pPr>
              <w:rPr>
                <w:rStyle w:val="rynqvb"/>
                <w:rFonts w:ascii="Arial" w:hAnsi="Arial" w:cs="Arial"/>
                <w:b w:val="0"/>
                <w:bCs w:val="0"/>
              </w:rPr>
            </w:pPr>
            <w:bookmarkStart w:id="0" w:name="_Hlk126400264"/>
            <w:r w:rsidRPr="00CC7572">
              <w:rPr>
                <w:rStyle w:val="rynqvb"/>
                <w:rFonts w:ascii="Arial" w:hAnsi="Arial" w:cs="Arial"/>
                <w:b w:val="0"/>
                <w:bCs w:val="0"/>
              </w:rPr>
              <w:t xml:space="preserve">Regulation of the Prime Minister's Office on Conservation and Utilization of Biodiversity (2020) </w:t>
            </w:r>
            <w:bookmarkEnd w:id="0"/>
          </w:p>
        </w:tc>
        <w:tc>
          <w:tcPr>
            <w:tcW w:w="6379" w:type="dxa"/>
            <w:shd w:val="clear" w:color="auto" w:fill="FFFFFF" w:themeFill="background1"/>
          </w:tcPr>
          <w:p w14:paraId="09A5BF19" w14:textId="77777777" w:rsidR="00CC7572" w:rsidRPr="00CC7572" w:rsidRDefault="00CC7572" w:rsidP="008D367E">
            <w:pPr>
              <w:jc w:val="both"/>
              <w:cnfStyle w:val="000000000000" w:firstRow="0" w:lastRow="0" w:firstColumn="0" w:lastColumn="0" w:oddVBand="0" w:evenVBand="0" w:oddHBand="0" w:evenHBand="0" w:firstRowFirstColumn="0" w:firstRowLastColumn="0" w:lastRowFirstColumn="0" w:lastRowLastColumn="0"/>
              <w:rPr>
                <w:rStyle w:val="jlqj4b"/>
                <w:rFonts w:ascii="Arial" w:hAnsi="Arial" w:cs="Arial"/>
              </w:rPr>
            </w:pPr>
            <w:r w:rsidRPr="00CC7572">
              <w:rPr>
                <w:rFonts w:ascii="Arial" w:hAnsi="Arial" w:cs="Arial"/>
              </w:rPr>
              <w:t>Establishes the National Biodiversity Conservation Committee (NBC) to oversee national biodiversity policy, including approving management plans, regulatory measures, and frameworks on access to biological resources, benefit-sharing, biosafety, and technology transfer. Four subcommittees support its work: biodiversity law, integrated biodiversity management, academic and technical affairs, and international cooperation. These governance structures provide a critical foundation for advancing marine and coastal biodiversity conservation.</w:t>
            </w:r>
          </w:p>
        </w:tc>
      </w:tr>
      <w:tr w:rsidR="00CC7572" w:rsidRPr="00CC7572" w14:paraId="74BD82FC" w14:textId="77777777" w:rsidTr="00CC7572">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tcPr>
          <w:p w14:paraId="50B81CF1" w14:textId="77777777" w:rsidR="00CC7572" w:rsidRPr="00CC7572" w:rsidRDefault="00CC7572" w:rsidP="008D367E">
            <w:pPr>
              <w:rPr>
                <w:rFonts w:ascii="Arial" w:eastAsia="Times New Roman" w:hAnsi="Arial" w:cs="Arial"/>
                <w:b w:val="0"/>
                <w:bCs w:val="0"/>
                <w:color w:val="000000"/>
                <w:lang w:eastAsia="ja-JP"/>
              </w:rPr>
            </w:pPr>
            <w:r w:rsidRPr="00CC7572">
              <w:rPr>
                <w:rStyle w:val="rynqvb"/>
                <w:rFonts w:ascii="Arial" w:hAnsi="Arial" w:cs="Arial"/>
                <w:b w:val="0"/>
                <w:bCs w:val="0"/>
              </w:rPr>
              <w:t>Draft National Biodiversity Act</w:t>
            </w:r>
          </w:p>
        </w:tc>
        <w:tc>
          <w:tcPr>
            <w:tcW w:w="6379" w:type="dxa"/>
            <w:shd w:val="clear" w:color="auto" w:fill="FFFFFF" w:themeFill="background1"/>
          </w:tcPr>
          <w:p w14:paraId="423B3719" w14:textId="77777777" w:rsidR="00CC7572" w:rsidRPr="00CC7572" w:rsidRDefault="00CC7572" w:rsidP="008D367E">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CC7572">
              <w:rPr>
                <w:rFonts w:ascii="Arial" w:hAnsi="Arial" w:cs="Arial"/>
              </w:rPr>
              <w:t>Establishes the National Biodiversity Conservation Committee (NBCC) and defines biodiversity management across Thailand’s territory, EEZ, high seas, and continental shelf in line with international law. It introduces a national biodiversity plan and allows for biodiversity protection zones, providing a strong legal framework to support marine and coastal conservation.</w:t>
            </w:r>
          </w:p>
        </w:tc>
      </w:tr>
      <w:tr w:rsidR="00CC7572" w:rsidRPr="00CC7572" w14:paraId="4B96B162" w14:textId="77777777" w:rsidTr="00CC7572">
        <w:trPr>
          <w:trHeight w:val="405"/>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tcPr>
          <w:p w14:paraId="2556F3A3" w14:textId="77777777" w:rsidR="00CC7572" w:rsidRPr="00CC7572" w:rsidRDefault="00CC7572" w:rsidP="008D367E">
            <w:pPr>
              <w:rPr>
                <w:rStyle w:val="rynqvb"/>
                <w:rFonts w:ascii="Arial" w:hAnsi="Arial" w:cs="Arial"/>
                <w:b w:val="0"/>
                <w:bCs w:val="0"/>
              </w:rPr>
            </w:pPr>
            <w:r w:rsidRPr="00CC7572">
              <w:rPr>
                <w:rStyle w:val="rynqvb"/>
                <w:rFonts w:ascii="Arial" w:hAnsi="Arial" w:cs="Arial"/>
                <w:b w:val="0"/>
                <w:bCs w:val="0"/>
              </w:rPr>
              <w:t xml:space="preserve">Draft Climate Change Act </w:t>
            </w:r>
          </w:p>
        </w:tc>
        <w:tc>
          <w:tcPr>
            <w:tcW w:w="6379" w:type="dxa"/>
            <w:shd w:val="clear" w:color="auto" w:fill="FFFFFF" w:themeFill="background1"/>
          </w:tcPr>
          <w:p w14:paraId="13CD71E2" w14:textId="77777777" w:rsidR="00CC7572" w:rsidRPr="00CC7572" w:rsidRDefault="00CC7572" w:rsidP="008D367E">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Establishes the National Climate Change Policy Committee (NCCP) to lead climate policy and strategy. It mandates a National Climate Change Master Plan, updated every five years, along with action plans for greenhouse gas reduction and climate adaptation. These frameworks are essential for addressing climate risks to marine and coastal biodiversity, ensuring resilience and ecosystem-based adaptation</w:t>
            </w:r>
          </w:p>
        </w:tc>
      </w:tr>
      <w:tr w:rsidR="00CC7572" w:rsidRPr="00CC7572" w14:paraId="5BD09762" w14:textId="77777777" w:rsidTr="00CC7572">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tcPr>
          <w:p w14:paraId="6F1FE4F9" w14:textId="77777777" w:rsidR="00CC7572" w:rsidRPr="00CC7572" w:rsidRDefault="00CC7572" w:rsidP="008D367E">
            <w:pPr>
              <w:rPr>
                <w:rStyle w:val="rynqvb"/>
                <w:rFonts w:ascii="Arial" w:hAnsi="Arial" w:cs="Arial"/>
                <w:b w:val="0"/>
                <w:bCs w:val="0"/>
              </w:rPr>
            </w:pPr>
            <w:r w:rsidRPr="00CC7572">
              <w:rPr>
                <w:rFonts w:ascii="Arial" w:hAnsi="Arial" w:cs="Arial"/>
                <w:b w:val="0"/>
                <w:bCs w:val="0"/>
              </w:rPr>
              <w:t xml:space="preserve">Protection and Promotion of Ethnic Groups' Way of Life Act B.E. 2568 (2025) </w:t>
            </w:r>
          </w:p>
        </w:tc>
        <w:tc>
          <w:tcPr>
            <w:tcW w:w="6379" w:type="dxa"/>
            <w:shd w:val="clear" w:color="auto" w:fill="FFFFFF" w:themeFill="background1"/>
          </w:tcPr>
          <w:p w14:paraId="35A025A2" w14:textId="77777777" w:rsidR="00CC7572" w:rsidRPr="00CC7572" w:rsidRDefault="00CC7572" w:rsidP="008D367E">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lang w:eastAsia="ja-JP"/>
              </w:rPr>
            </w:pPr>
            <w:r w:rsidRPr="00CC7572">
              <w:rPr>
                <w:rFonts w:ascii="Arial" w:eastAsia="Times New Roman" w:hAnsi="Arial" w:cs="Arial"/>
                <w:color w:val="000000"/>
                <w:lang w:eastAsia="ja-JP"/>
              </w:rPr>
              <w:t>Supports the designation of areas to preserve ethnic cultures, promote sustainable natural resource use, and strengthen communities through traditional knowledge and customs. This approach is highly relevant to marine conservation, especially in coastal areas where ethnic communities rely on and steward marine ecosystems through customary practices.</w:t>
            </w:r>
          </w:p>
        </w:tc>
      </w:tr>
    </w:tbl>
    <w:p w14:paraId="6C4C7B24" w14:textId="77777777" w:rsidR="00CC7572" w:rsidRDefault="00CC7572" w:rsidP="00CC7572">
      <w:pPr>
        <w:rPr>
          <w:rFonts w:ascii="Arial" w:hAnsi="Arial" w:cs="Arial"/>
        </w:rPr>
      </w:pPr>
    </w:p>
    <w:p w14:paraId="4D1D0D89" w14:textId="77777777" w:rsidR="00CC7572" w:rsidRDefault="00CC7572" w:rsidP="00CC7572">
      <w:pPr>
        <w:spacing w:before="120" w:after="120"/>
        <w:rPr>
          <w:rFonts w:ascii="Arial" w:hAnsi="Arial" w:cs="Arial"/>
          <w:b/>
          <w:bCs/>
        </w:rPr>
      </w:pPr>
      <w:r w:rsidRPr="00CC7572">
        <w:rPr>
          <w:rFonts w:ascii="Arial" w:hAnsi="Arial" w:cs="Arial"/>
          <w:b/>
          <w:bCs/>
          <w:color w:val="EE0000"/>
        </w:rPr>
        <w:lastRenderedPageBreak/>
        <w:t>Annex 1</w:t>
      </w:r>
      <w:r>
        <w:rPr>
          <w:rFonts w:ascii="Arial" w:hAnsi="Arial" w:cs="Arial"/>
          <w:b/>
          <w:bCs/>
          <w:color w:val="EE0000"/>
        </w:rPr>
        <w:t xml:space="preserve">2: </w:t>
      </w:r>
      <w:r w:rsidRPr="00CC7572">
        <w:rPr>
          <w:rFonts w:ascii="Arial" w:hAnsi="Arial" w:cs="Arial"/>
          <w:b/>
          <w:bCs/>
        </w:rPr>
        <w:t xml:space="preserve">Policy and plan relevant to marine and coastal resources in Thailand. </w:t>
      </w:r>
    </w:p>
    <w:p w14:paraId="6E9D2B8A" w14:textId="77777777" w:rsidR="00CC7572" w:rsidRPr="00CC7572" w:rsidRDefault="00CC7572" w:rsidP="00CC7572">
      <w:pPr>
        <w:spacing w:before="120" w:after="120"/>
        <w:rPr>
          <w:rFonts w:ascii="Arial" w:hAnsi="Arial" w:cs="Arial"/>
          <w:b/>
          <w:bCs/>
        </w:rPr>
      </w:pPr>
    </w:p>
    <w:p w14:paraId="1E9C471E" w14:textId="77777777" w:rsidR="00CC7572" w:rsidRPr="00CC7572" w:rsidRDefault="00CC7572" w:rsidP="00CC7572">
      <w:pPr>
        <w:spacing w:before="120" w:after="120"/>
        <w:rPr>
          <w:rFonts w:ascii="Arial" w:hAnsi="Arial" w:cs="Arial"/>
          <w:b/>
          <w:bCs/>
        </w:rPr>
      </w:pPr>
      <w:r w:rsidRPr="00CC7572">
        <w:rPr>
          <w:rFonts w:ascii="Arial" w:hAnsi="Arial" w:cs="Arial"/>
          <w:b/>
          <w:bCs/>
        </w:rPr>
        <w:t>a) Thailand’s 2030 Agenda and Sufficiency Economy Philosophy (SEP)</w:t>
      </w:r>
    </w:p>
    <w:p w14:paraId="6C6118A5" w14:textId="77777777" w:rsidR="00CC7572" w:rsidRPr="00CC7572" w:rsidRDefault="00CC7572" w:rsidP="00CC7572">
      <w:pPr>
        <w:spacing w:before="120" w:after="120"/>
        <w:rPr>
          <w:rFonts w:ascii="Arial" w:hAnsi="Arial" w:cs="Arial"/>
        </w:rPr>
      </w:pPr>
      <w:r w:rsidRPr="00CC7572">
        <w:rPr>
          <w:rFonts w:ascii="Arial" w:hAnsi="Arial" w:cs="Arial"/>
        </w:rPr>
        <w:t>Thailand’s 2030 Agenda and Sufficiency Economy Philosophy (SEP) are foundational to the country’s sustainable development efforts. Every government agency is required to integrate SEP into its missions, plans, and policies, thereby promoting a sustainable development approach. The Agenda includes 5 goals and 18 targets directly related to biodiversity management, ranking them among the top 30 national priorities.</w:t>
      </w:r>
    </w:p>
    <w:p w14:paraId="63FB6E78" w14:textId="77777777" w:rsidR="00CC7572" w:rsidRPr="00CC7572" w:rsidRDefault="00CC7572" w:rsidP="00CC7572">
      <w:pPr>
        <w:spacing w:before="120" w:after="120"/>
        <w:rPr>
          <w:rFonts w:ascii="Arial" w:hAnsi="Arial" w:cs="Arial"/>
          <w:b/>
          <w:bCs/>
        </w:rPr>
      </w:pPr>
      <w:r w:rsidRPr="00CC7572">
        <w:rPr>
          <w:rFonts w:ascii="Arial" w:hAnsi="Arial" w:cs="Arial"/>
          <w:b/>
          <w:bCs/>
        </w:rPr>
        <w:t>b) The 20-Year National Strategy (2017-2036)</w:t>
      </w:r>
    </w:p>
    <w:p w14:paraId="3FC9ED9A" w14:textId="77777777" w:rsidR="00CC7572" w:rsidRPr="00CC7572" w:rsidRDefault="00CC7572" w:rsidP="00CC7572">
      <w:pPr>
        <w:spacing w:before="120" w:after="120"/>
        <w:rPr>
          <w:rFonts w:ascii="Arial" w:hAnsi="Arial" w:cs="Arial"/>
        </w:rPr>
      </w:pPr>
      <w:r w:rsidRPr="00CC7572">
        <w:rPr>
          <w:rFonts w:ascii="Arial" w:hAnsi="Arial" w:cs="Arial"/>
        </w:rPr>
        <w:t>The 20-Year National Strategy (2017-2036) is Thailand's first long-term national strategy, aimed at securing the country’s sustainability, prosperity, and security in line with SEP. Strategy 5: Eco-Friendly Development and Growth focuses on the conservation and preservation of natural resources and the environment, while promoting balanced utilization and sustainable economic growth.</w:t>
      </w:r>
    </w:p>
    <w:p w14:paraId="40ACF806" w14:textId="77777777" w:rsidR="00CC7572" w:rsidRPr="00CC7572" w:rsidRDefault="00CC7572" w:rsidP="00CC7572">
      <w:pPr>
        <w:spacing w:before="120" w:after="120"/>
        <w:rPr>
          <w:rFonts w:ascii="Arial" w:hAnsi="Arial" w:cs="Arial"/>
          <w:b/>
          <w:bCs/>
        </w:rPr>
      </w:pPr>
      <w:r w:rsidRPr="00CC7572">
        <w:rPr>
          <w:rFonts w:ascii="Arial" w:hAnsi="Arial" w:cs="Arial"/>
          <w:b/>
          <w:bCs/>
        </w:rPr>
        <w:t>c) The 13th National Economic and Social Development Plan (NESDP: 2023-2027)</w:t>
      </w:r>
    </w:p>
    <w:p w14:paraId="46B3D82B" w14:textId="77777777" w:rsidR="00CC7572" w:rsidRPr="00CC7572" w:rsidRDefault="00CC7572" w:rsidP="00CC7572">
      <w:pPr>
        <w:spacing w:before="120" w:after="120"/>
        <w:rPr>
          <w:rFonts w:ascii="Arial" w:hAnsi="Arial" w:cs="Arial"/>
        </w:rPr>
      </w:pPr>
      <w:r w:rsidRPr="00CC7572">
        <w:rPr>
          <w:rFonts w:ascii="Arial" w:hAnsi="Arial" w:cs="Arial"/>
        </w:rPr>
        <w:t>Aligned with the 20-Year National Strategy, the NESDP (2023-2027) is a medium-term development framework for Thailand. It incorporates the SDGs, resilience, and SEP, focusing on structural reforms, policy adjustments, and mechanisms to create a society that nurtures human potential while keeping pace with global dynamics. The NESDP comprises thirteen benchmarks, categorized into four areas:</w:t>
      </w:r>
    </w:p>
    <w:p w14:paraId="7C78C93A" w14:textId="77777777" w:rsidR="00CC7572" w:rsidRPr="00CC7572" w:rsidRDefault="00CC7572" w:rsidP="00CC7572">
      <w:pPr>
        <w:numPr>
          <w:ilvl w:val="0"/>
          <w:numId w:val="2"/>
        </w:numPr>
        <w:spacing w:before="120" w:after="120"/>
        <w:rPr>
          <w:rFonts w:ascii="Arial" w:hAnsi="Arial" w:cs="Arial"/>
        </w:rPr>
      </w:pPr>
      <w:r w:rsidRPr="00CC7572">
        <w:rPr>
          <w:rFonts w:ascii="Arial" w:hAnsi="Arial" w:cs="Arial"/>
        </w:rPr>
        <w:t>Production and service sectors.</w:t>
      </w:r>
    </w:p>
    <w:p w14:paraId="40CCAD95" w14:textId="77777777" w:rsidR="00CC7572" w:rsidRPr="00CC7572" w:rsidRDefault="00CC7572" w:rsidP="00CC7572">
      <w:pPr>
        <w:numPr>
          <w:ilvl w:val="0"/>
          <w:numId w:val="2"/>
        </w:numPr>
        <w:spacing w:before="120" w:after="120"/>
        <w:rPr>
          <w:rFonts w:ascii="Arial" w:hAnsi="Arial" w:cs="Arial"/>
        </w:rPr>
      </w:pPr>
      <w:r w:rsidRPr="00CC7572">
        <w:rPr>
          <w:rFonts w:ascii="Arial" w:hAnsi="Arial" w:cs="Arial"/>
        </w:rPr>
        <w:t>Economic and social opportunity and equality.</w:t>
      </w:r>
    </w:p>
    <w:p w14:paraId="072BFC2F" w14:textId="77777777" w:rsidR="00CC7572" w:rsidRPr="00CC7572" w:rsidRDefault="00CC7572" w:rsidP="00CC7572">
      <w:pPr>
        <w:numPr>
          <w:ilvl w:val="0"/>
          <w:numId w:val="2"/>
        </w:numPr>
        <w:spacing w:before="120" w:after="120"/>
        <w:rPr>
          <w:rFonts w:ascii="Arial" w:hAnsi="Arial" w:cs="Arial"/>
        </w:rPr>
      </w:pPr>
      <w:r w:rsidRPr="00CC7572">
        <w:rPr>
          <w:rFonts w:ascii="Arial" w:hAnsi="Arial" w:cs="Arial"/>
        </w:rPr>
        <w:t>Environmental sustainability and natural resource management.</w:t>
      </w:r>
    </w:p>
    <w:p w14:paraId="3D763C64" w14:textId="77777777" w:rsidR="00CC7572" w:rsidRPr="00CC7572" w:rsidRDefault="00CC7572" w:rsidP="00CC7572">
      <w:pPr>
        <w:numPr>
          <w:ilvl w:val="0"/>
          <w:numId w:val="2"/>
        </w:numPr>
        <w:spacing w:before="120" w:after="120"/>
        <w:rPr>
          <w:rFonts w:ascii="Arial" w:hAnsi="Arial" w:cs="Arial"/>
        </w:rPr>
      </w:pPr>
      <w:r w:rsidRPr="00CC7572">
        <w:rPr>
          <w:rFonts w:ascii="Arial" w:hAnsi="Arial" w:cs="Arial"/>
        </w:rPr>
        <w:t>National transformation, supported by capable human resources and effective governance.</w:t>
      </w:r>
    </w:p>
    <w:p w14:paraId="7BF78D55" w14:textId="77777777" w:rsidR="00CC7572" w:rsidRPr="00CC7572" w:rsidRDefault="00CC7572" w:rsidP="00CC7572">
      <w:pPr>
        <w:spacing w:before="120" w:after="120"/>
        <w:rPr>
          <w:rFonts w:ascii="Arial" w:hAnsi="Arial" w:cs="Arial"/>
        </w:rPr>
      </w:pPr>
      <w:r w:rsidRPr="00CC7572">
        <w:rPr>
          <w:rFonts w:ascii="Arial" w:hAnsi="Arial" w:cs="Arial"/>
        </w:rPr>
        <w:t>Milestones related to biodiversity and sustainability include:</w:t>
      </w:r>
    </w:p>
    <w:p w14:paraId="62F6013E" w14:textId="77777777" w:rsidR="00CC7572" w:rsidRPr="00CC7572" w:rsidRDefault="00CC7572" w:rsidP="00CC7572">
      <w:pPr>
        <w:numPr>
          <w:ilvl w:val="0"/>
          <w:numId w:val="3"/>
        </w:numPr>
        <w:spacing w:before="120" w:after="120"/>
        <w:rPr>
          <w:rFonts w:ascii="Arial" w:hAnsi="Arial" w:cs="Arial"/>
        </w:rPr>
      </w:pPr>
      <w:r w:rsidRPr="00CC7572">
        <w:rPr>
          <w:rFonts w:ascii="Arial" w:hAnsi="Arial" w:cs="Arial"/>
        </w:rPr>
        <w:t>Establishing Thailand as a sustainable tourism destination.</w:t>
      </w:r>
    </w:p>
    <w:p w14:paraId="129AA209" w14:textId="77777777" w:rsidR="00CC7572" w:rsidRPr="00CC7572" w:rsidRDefault="00CC7572" w:rsidP="00CC7572">
      <w:pPr>
        <w:numPr>
          <w:ilvl w:val="0"/>
          <w:numId w:val="3"/>
        </w:numPr>
        <w:spacing w:before="120" w:after="120"/>
        <w:rPr>
          <w:rFonts w:ascii="Arial" w:hAnsi="Arial" w:cs="Arial"/>
        </w:rPr>
      </w:pPr>
      <w:r w:rsidRPr="00CC7572">
        <w:rPr>
          <w:rFonts w:ascii="Arial" w:hAnsi="Arial" w:cs="Arial"/>
        </w:rPr>
        <w:t>Transitioning to a low-carbon society with a circular economy.</w:t>
      </w:r>
    </w:p>
    <w:p w14:paraId="5146E612" w14:textId="77777777" w:rsidR="00CC7572" w:rsidRPr="00CC7572" w:rsidRDefault="00CC7572" w:rsidP="00CC7572">
      <w:pPr>
        <w:numPr>
          <w:ilvl w:val="0"/>
          <w:numId w:val="3"/>
        </w:numPr>
        <w:spacing w:before="120" w:after="120"/>
        <w:rPr>
          <w:rFonts w:ascii="Arial" w:hAnsi="Arial" w:cs="Arial"/>
        </w:rPr>
      </w:pPr>
      <w:r w:rsidRPr="00CC7572">
        <w:rPr>
          <w:rFonts w:ascii="Arial" w:hAnsi="Arial" w:cs="Arial"/>
        </w:rPr>
        <w:t>Reducing vulnerability to natural disasters and climate change.</w:t>
      </w:r>
    </w:p>
    <w:p w14:paraId="27F52039" w14:textId="77777777" w:rsidR="00CC7572" w:rsidRPr="00CC7572" w:rsidRDefault="00CC7572" w:rsidP="00CC7572">
      <w:pPr>
        <w:spacing w:before="120" w:after="120"/>
        <w:rPr>
          <w:rFonts w:ascii="Arial" w:hAnsi="Arial" w:cs="Arial"/>
          <w:b/>
          <w:bCs/>
        </w:rPr>
      </w:pPr>
      <w:r w:rsidRPr="00CC7572">
        <w:rPr>
          <w:rFonts w:ascii="Arial" w:hAnsi="Arial" w:cs="Arial"/>
          <w:b/>
          <w:bCs/>
        </w:rPr>
        <w:t>d) The National Environmental Quality Management Plan (2023-2027)</w:t>
      </w:r>
    </w:p>
    <w:p w14:paraId="01E202D4" w14:textId="77777777" w:rsidR="00CC7572" w:rsidRPr="00CC7572" w:rsidRDefault="00CC7572" w:rsidP="00CC7572">
      <w:pPr>
        <w:spacing w:before="120" w:after="120"/>
        <w:rPr>
          <w:rFonts w:ascii="Arial" w:hAnsi="Arial" w:cs="Arial"/>
        </w:rPr>
      </w:pPr>
      <w:r w:rsidRPr="00CC7572">
        <w:rPr>
          <w:rFonts w:ascii="Arial" w:hAnsi="Arial" w:cs="Arial"/>
        </w:rPr>
        <w:t>Similar to the NESDP, Thailand’s Environmental Quality Management Plan (2023-2027) aims to establish an environmentally friendly society by conserving, restoring, and utilizing natural resources equitably. The Royal Gazette (2021) published this five-year plan, which outlines twelve guiding principles for environmental and resource regulation, including:</w:t>
      </w:r>
    </w:p>
    <w:p w14:paraId="56932381"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Sustainable development.</w:t>
      </w:r>
    </w:p>
    <w:p w14:paraId="65C5F750"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Ecosystem approach.</w:t>
      </w:r>
    </w:p>
    <w:p w14:paraId="76AD94AC"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Precautionary principle.</w:t>
      </w:r>
    </w:p>
    <w:p w14:paraId="7C2D77CD"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lastRenderedPageBreak/>
        <w:t>Extended producer responsibility.</w:t>
      </w:r>
    </w:p>
    <w:p w14:paraId="7759F445"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Polluters pay principle.</w:t>
      </w:r>
    </w:p>
    <w:p w14:paraId="50FD048F"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Beneficiaries pay principle.</w:t>
      </w:r>
    </w:p>
    <w:p w14:paraId="15A4C7C8"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Public-private partnerships.</w:t>
      </w:r>
    </w:p>
    <w:p w14:paraId="6D90F15C"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Resource efficiency.</w:t>
      </w:r>
    </w:p>
    <w:p w14:paraId="6C884EFB"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Good governance.</w:t>
      </w:r>
    </w:p>
    <w:p w14:paraId="444AD710"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Human rights.</w:t>
      </w:r>
    </w:p>
    <w:p w14:paraId="06295F9A"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Integration.</w:t>
      </w:r>
    </w:p>
    <w:p w14:paraId="7C4541CD" w14:textId="77777777" w:rsidR="00CC7572" w:rsidRPr="00CC7572" w:rsidRDefault="00CC7572" w:rsidP="00CC7572">
      <w:pPr>
        <w:numPr>
          <w:ilvl w:val="0"/>
          <w:numId w:val="4"/>
        </w:numPr>
        <w:spacing w:before="120" w:after="120"/>
        <w:rPr>
          <w:rFonts w:ascii="Arial" w:hAnsi="Arial" w:cs="Arial"/>
        </w:rPr>
      </w:pPr>
      <w:r w:rsidRPr="00CC7572">
        <w:rPr>
          <w:rFonts w:ascii="Arial" w:hAnsi="Arial" w:cs="Arial"/>
        </w:rPr>
        <w:t>Environmental justice.</w:t>
      </w:r>
    </w:p>
    <w:p w14:paraId="07FA51C8" w14:textId="77777777" w:rsidR="00CC7572" w:rsidRPr="00CC7572" w:rsidRDefault="00CC7572" w:rsidP="00CC7572">
      <w:pPr>
        <w:spacing w:before="120" w:after="120"/>
        <w:rPr>
          <w:rFonts w:ascii="Arial" w:hAnsi="Arial" w:cs="Arial"/>
        </w:rPr>
      </w:pPr>
      <w:r w:rsidRPr="00CC7572">
        <w:rPr>
          <w:rFonts w:ascii="Arial" w:hAnsi="Arial" w:cs="Arial"/>
        </w:rPr>
        <w:t>The plan also promotes five strategic goals to optimize sustainable marine resource use, including:</w:t>
      </w:r>
    </w:p>
    <w:p w14:paraId="29202652" w14:textId="77777777" w:rsidR="00CC7572" w:rsidRPr="00CC7572" w:rsidRDefault="00CC7572" w:rsidP="00CC7572">
      <w:pPr>
        <w:numPr>
          <w:ilvl w:val="0"/>
          <w:numId w:val="5"/>
        </w:numPr>
        <w:spacing w:before="120" w:after="120"/>
        <w:rPr>
          <w:rFonts w:ascii="Arial" w:hAnsi="Arial" w:cs="Arial"/>
        </w:rPr>
      </w:pPr>
      <w:r w:rsidRPr="00CC7572">
        <w:rPr>
          <w:rFonts w:ascii="Arial" w:hAnsi="Arial" w:cs="Arial"/>
        </w:rPr>
        <w:t>Managing biodiversity and terrestrial resources to maintain balance.</w:t>
      </w:r>
    </w:p>
    <w:p w14:paraId="516AE843" w14:textId="77777777" w:rsidR="00CC7572" w:rsidRPr="00CC7572" w:rsidRDefault="00CC7572" w:rsidP="00CC7572">
      <w:pPr>
        <w:numPr>
          <w:ilvl w:val="0"/>
          <w:numId w:val="5"/>
        </w:numPr>
        <w:spacing w:before="120" w:after="120"/>
        <w:rPr>
          <w:rFonts w:ascii="Arial" w:hAnsi="Arial" w:cs="Arial"/>
        </w:rPr>
      </w:pPr>
      <w:r w:rsidRPr="00CC7572">
        <w:rPr>
          <w:rFonts w:ascii="Arial" w:hAnsi="Arial" w:cs="Arial"/>
        </w:rPr>
        <w:t>Restoring and conserving marine ecosystems.</w:t>
      </w:r>
    </w:p>
    <w:p w14:paraId="0D5D2F54" w14:textId="77777777" w:rsidR="00CC7572" w:rsidRPr="00CC7572" w:rsidRDefault="00CC7572" w:rsidP="00CC7572">
      <w:pPr>
        <w:numPr>
          <w:ilvl w:val="0"/>
          <w:numId w:val="5"/>
        </w:numPr>
        <w:spacing w:before="120" w:after="120"/>
        <w:rPr>
          <w:rFonts w:ascii="Arial" w:hAnsi="Arial" w:cs="Arial"/>
        </w:rPr>
      </w:pPr>
      <w:r w:rsidRPr="00CC7572">
        <w:rPr>
          <w:rFonts w:ascii="Arial" w:hAnsi="Arial" w:cs="Arial"/>
        </w:rPr>
        <w:t>Establishing a climate-friendly society.</w:t>
      </w:r>
    </w:p>
    <w:p w14:paraId="4AED6CF3" w14:textId="77777777" w:rsidR="00CC7572" w:rsidRPr="00CC7572" w:rsidRDefault="00CC7572" w:rsidP="00CC7572">
      <w:pPr>
        <w:numPr>
          <w:ilvl w:val="0"/>
          <w:numId w:val="5"/>
        </w:numPr>
        <w:spacing w:before="120" w:after="120"/>
        <w:rPr>
          <w:rFonts w:ascii="Arial" w:hAnsi="Arial" w:cs="Arial"/>
        </w:rPr>
      </w:pPr>
      <w:r w:rsidRPr="00CC7572">
        <w:rPr>
          <w:rFonts w:ascii="Arial" w:hAnsi="Arial" w:cs="Arial"/>
        </w:rPr>
        <w:t>Controlling urban pollution.</w:t>
      </w:r>
    </w:p>
    <w:p w14:paraId="11799267" w14:textId="77777777" w:rsidR="00CC7572" w:rsidRPr="00CC7572" w:rsidRDefault="00CC7572" w:rsidP="00CC7572">
      <w:pPr>
        <w:numPr>
          <w:ilvl w:val="0"/>
          <w:numId w:val="5"/>
        </w:numPr>
        <w:spacing w:before="120" w:after="120"/>
        <w:rPr>
          <w:rFonts w:ascii="Arial" w:hAnsi="Arial" w:cs="Arial"/>
        </w:rPr>
      </w:pPr>
      <w:r w:rsidRPr="00CC7572">
        <w:rPr>
          <w:rFonts w:ascii="Arial" w:hAnsi="Arial" w:cs="Arial"/>
        </w:rPr>
        <w:t>Modernizing natural resource management practices.</w:t>
      </w:r>
    </w:p>
    <w:p w14:paraId="7FF23103" w14:textId="77777777" w:rsidR="00CC7572" w:rsidRPr="00CC7572" w:rsidRDefault="00CC7572" w:rsidP="00CC7572">
      <w:pPr>
        <w:spacing w:before="120" w:after="120"/>
        <w:rPr>
          <w:rFonts w:ascii="Arial" w:hAnsi="Arial" w:cs="Arial"/>
          <w:b/>
          <w:bCs/>
        </w:rPr>
      </w:pPr>
      <w:r w:rsidRPr="00CC7572">
        <w:rPr>
          <w:rFonts w:ascii="Arial" w:hAnsi="Arial" w:cs="Arial"/>
          <w:b/>
          <w:bCs/>
        </w:rPr>
        <w:t>e) The Climate Change Master Plan (2015-2050)</w:t>
      </w:r>
    </w:p>
    <w:p w14:paraId="094F37C1" w14:textId="77777777" w:rsidR="00CC7572" w:rsidRPr="00CC7572" w:rsidRDefault="00CC7572" w:rsidP="00CC7572">
      <w:pPr>
        <w:spacing w:before="120" w:after="120"/>
        <w:rPr>
          <w:rFonts w:ascii="Arial" w:hAnsi="Arial" w:cs="Arial"/>
        </w:rPr>
      </w:pPr>
      <w:r w:rsidRPr="00CC7572">
        <w:rPr>
          <w:rFonts w:ascii="Arial" w:hAnsi="Arial" w:cs="Arial"/>
        </w:rPr>
        <w:t>The Climate Change Master Plan (2015-2050) addresses critical climate change issues, focusing on adaptation, reducing emissions, and promoting low-emission growth. It includes three main areas of action:</w:t>
      </w:r>
    </w:p>
    <w:p w14:paraId="3F1A9DBD" w14:textId="77777777" w:rsidR="00CC7572" w:rsidRPr="00CC7572" w:rsidRDefault="00CC7572" w:rsidP="00CC7572">
      <w:pPr>
        <w:numPr>
          <w:ilvl w:val="0"/>
          <w:numId w:val="6"/>
        </w:numPr>
        <w:spacing w:before="120" w:after="120"/>
        <w:rPr>
          <w:rFonts w:ascii="Arial" w:hAnsi="Arial" w:cs="Arial"/>
        </w:rPr>
      </w:pPr>
      <w:r w:rsidRPr="00CC7572">
        <w:rPr>
          <w:rFonts w:ascii="Arial" w:hAnsi="Arial" w:cs="Arial"/>
        </w:rPr>
        <w:t>Adapting to the impacts of climate change.</w:t>
      </w:r>
    </w:p>
    <w:p w14:paraId="7B221F18" w14:textId="77777777" w:rsidR="00CC7572" w:rsidRPr="00CC7572" w:rsidRDefault="00CC7572" w:rsidP="00CC7572">
      <w:pPr>
        <w:numPr>
          <w:ilvl w:val="0"/>
          <w:numId w:val="6"/>
        </w:numPr>
        <w:spacing w:before="120" w:after="120"/>
        <w:rPr>
          <w:rFonts w:ascii="Arial" w:hAnsi="Arial" w:cs="Arial"/>
        </w:rPr>
      </w:pPr>
      <w:r w:rsidRPr="00CC7572">
        <w:rPr>
          <w:rFonts w:ascii="Arial" w:hAnsi="Arial" w:cs="Arial"/>
        </w:rPr>
        <w:t>Reducing greenhouse gas emissions and promoting low-carbon growth.</w:t>
      </w:r>
    </w:p>
    <w:p w14:paraId="670FC7D7" w14:textId="77777777" w:rsidR="00CC7572" w:rsidRPr="00CC7572" w:rsidRDefault="00CC7572" w:rsidP="00CC7572">
      <w:pPr>
        <w:numPr>
          <w:ilvl w:val="0"/>
          <w:numId w:val="6"/>
        </w:numPr>
        <w:spacing w:before="120" w:after="120"/>
        <w:rPr>
          <w:rFonts w:ascii="Arial" w:hAnsi="Arial" w:cs="Arial"/>
        </w:rPr>
      </w:pPr>
      <w:r w:rsidRPr="00CC7572">
        <w:rPr>
          <w:rFonts w:ascii="Arial" w:hAnsi="Arial" w:cs="Arial"/>
        </w:rPr>
        <w:t>Building institutional capacity.</w:t>
      </w:r>
    </w:p>
    <w:p w14:paraId="63726123" w14:textId="77777777" w:rsidR="00CC7572" w:rsidRPr="00CC7572" w:rsidRDefault="00CC7572" w:rsidP="00CC7572">
      <w:pPr>
        <w:spacing w:before="120" w:after="120"/>
        <w:rPr>
          <w:rFonts w:ascii="Arial" w:hAnsi="Arial" w:cs="Arial"/>
        </w:rPr>
      </w:pPr>
      <w:r w:rsidRPr="00CC7572">
        <w:rPr>
          <w:rFonts w:ascii="Arial" w:hAnsi="Arial" w:cs="Arial"/>
        </w:rPr>
        <w:t>The plan proposes measures to mitigate coastal erosion, including changes to coastal land use patterns and expanding biodiversity conservation areas as part of short- and medium-term goals.</w:t>
      </w:r>
    </w:p>
    <w:p w14:paraId="36057A58" w14:textId="77777777" w:rsidR="00CC7572" w:rsidRPr="00CC7572" w:rsidRDefault="00CC7572" w:rsidP="00CC7572">
      <w:pPr>
        <w:spacing w:before="120" w:after="120"/>
        <w:rPr>
          <w:rFonts w:ascii="Arial" w:hAnsi="Arial" w:cs="Arial"/>
          <w:b/>
          <w:bCs/>
        </w:rPr>
      </w:pPr>
      <w:r w:rsidRPr="00CC7572">
        <w:rPr>
          <w:rFonts w:ascii="Arial" w:hAnsi="Arial" w:cs="Arial"/>
          <w:b/>
          <w:bCs/>
        </w:rPr>
        <w:t>f) Thailand’s National Adaptation Plan (NAP)</w:t>
      </w:r>
    </w:p>
    <w:p w14:paraId="0B335AC3" w14:textId="77777777" w:rsidR="00CC7572" w:rsidRPr="00CC7572" w:rsidRDefault="00CC7572" w:rsidP="00CC7572">
      <w:pPr>
        <w:spacing w:before="120" w:after="120"/>
        <w:rPr>
          <w:rFonts w:ascii="Arial" w:hAnsi="Arial" w:cs="Arial"/>
        </w:rPr>
      </w:pPr>
      <w:r w:rsidRPr="00CC7572">
        <w:rPr>
          <w:rFonts w:ascii="Arial" w:hAnsi="Arial" w:cs="Arial"/>
        </w:rPr>
        <w:t xml:space="preserve">Thailand’s National Adaptation Plan (NAP) provides a framework for climate change adaptation, aiming to build resilience, reduce vulnerabilities, and increase adaptive capacity. The NAP aligns with Thailand’s broader national frameworks, including the National Strategy </w:t>
      </w:r>
      <w:r w:rsidRPr="00CC7572">
        <w:rPr>
          <w:rFonts w:ascii="Arial" w:hAnsi="Arial" w:cs="Arial"/>
          <w:cs/>
        </w:rPr>
        <w:t>(</w:t>
      </w:r>
      <w:r w:rsidRPr="00CC7572">
        <w:rPr>
          <w:rFonts w:ascii="Arial" w:hAnsi="Arial" w:cs="Arial"/>
        </w:rPr>
        <w:t>2018</w:t>
      </w:r>
      <w:r w:rsidRPr="00CC7572">
        <w:rPr>
          <w:rFonts w:ascii="Arial" w:hAnsi="Arial" w:cs="Arial"/>
          <w:cs/>
        </w:rPr>
        <w:t>-</w:t>
      </w:r>
      <w:r w:rsidRPr="00CC7572">
        <w:rPr>
          <w:rFonts w:ascii="Arial" w:hAnsi="Arial" w:cs="Arial"/>
        </w:rPr>
        <w:t>2037</w:t>
      </w:r>
      <w:r w:rsidRPr="00CC7572">
        <w:rPr>
          <w:rFonts w:ascii="Arial" w:hAnsi="Arial" w:cs="Arial"/>
          <w:cs/>
        </w:rPr>
        <w:t>)</w:t>
      </w:r>
      <w:r w:rsidRPr="00CC7572">
        <w:rPr>
          <w:rFonts w:ascii="Arial" w:hAnsi="Arial" w:cs="Arial"/>
        </w:rPr>
        <w:t xml:space="preserve">, the Master Plan under the National Strategy, the National Economic and Social Development Plans, and the Climate Change Master Plan </w:t>
      </w:r>
      <w:r w:rsidRPr="00CC7572">
        <w:rPr>
          <w:rFonts w:ascii="Arial" w:hAnsi="Arial" w:cs="Arial"/>
          <w:cs/>
        </w:rPr>
        <w:t>(</w:t>
      </w:r>
      <w:r w:rsidRPr="00CC7572">
        <w:rPr>
          <w:rFonts w:ascii="Arial" w:hAnsi="Arial" w:cs="Arial"/>
        </w:rPr>
        <w:t>2015</w:t>
      </w:r>
      <w:r w:rsidRPr="00CC7572">
        <w:rPr>
          <w:rFonts w:ascii="Arial" w:hAnsi="Arial" w:cs="Arial"/>
          <w:cs/>
        </w:rPr>
        <w:t>-</w:t>
      </w:r>
      <w:r w:rsidRPr="00CC7572">
        <w:rPr>
          <w:rFonts w:ascii="Arial" w:hAnsi="Arial" w:cs="Arial"/>
        </w:rPr>
        <w:t>2050</w:t>
      </w:r>
      <w:r w:rsidRPr="00CC7572">
        <w:rPr>
          <w:rFonts w:ascii="Arial" w:hAnsi="Arial" w:cs="Arial"/>
          <w:cs/>
        </w:rPr>
        <w:t xml:space="preserve">). </w:t>
      </w:r>
      <w:r w:rsidRPr="00CC7572">
        <w:rPr>
          <w:rFonts w:ascii="Arial" w:hAnsi="Arial" w:cs="Arial"/>
        </w:rPr>
        <w:t xml:space="preserve"> It addresses six key sectors: 1) Water resource management; 2) Agriculture and food security; 3)</w:t>
      </w:r>
      <w:r>
        <w:rPr>
          <w:rFonts w:ascii="Arial" w:hAnsi="Arial" w:cs="Arial"/>
        </w:rPr>
        <w:t xml:space="preserve"> </w:t>
      </w:r>
      <w:r w:rsidRPr="00CC7572">
        <w:rPr>
          <w:rFonts w:ascii="Arial" w:hAnsi="Arial" w:cs="Arial"/>
        </w:rPr>
        <w:t>Tourism; 4) Public health; 5)</w:t>
      </w:r>
      <w:r>
        <w:rPr>
          <w:rFonts w:ascii="Arial" w:hAnsi="Arial" w:cs="Arial"/>
        </w:rPr>
        <w:t xml:space="preserve"> </w:t>
      </w:r>
      <w:r w:rsidRPr="00CC7572">
        <w:rPr>
          <w:rFonts w:ascii="Arial" w:hAnsi="Arial" w:cs="Arial"/>
        </w:rPr>
        <w:t>Natural resource management; and 6) Human settlements and security.</w:t>
      </w:r>
    </w:p>
    <w:p w14:paraId="4C2DA7AE" w14:textId="77777777" w:rsidR="00CC7572" w:rsidRPr="00CC7572" w:rsidRDefault="00CC7572" w:rsidP="00CC7572">
      <w:pPr>
        <w:spacing w:before="120" w:after="120"/>
        <w:rPr>
          <w:rFonts w:ascii="Arial" w:hAnsi="Arial" w:cs="Arial"/>
        </w:rPr>
      </w:pPr>
      <w:r w:rsidRPr="00CC7572">
        <w:rPr>
          <w:rFonts w:ascii="Arial" w:hAnsi="Arial" w:cs="Arial"/>
        </w:rPr>
        <w:lastRenderedPageBreak/>
        <w:t>The NAP employs strategies to enhance resilience across these sectors, ensuring alignment with sustainable development principles.</w:t>
      </w:r>
    </w:p>
    <w:p w14:paraId="0E86AAEF" w14:textId="77777777" w:rsidR="00CC7572" w:rsidRPr="00CC7572" w:rsidRDefault="00CC7572" w:rsidP="00CC7572">
      <w:pPr>
        <w:shd w:val="clear" w:color="auto" w:fill="FFFFFF"/>
        <w:spacing w:before="120" w:after="120"/>
        <w:jc w:val="both"/>
        <w:rPr>
          <w:rFonts w:ascii="Arial" w:eastAsia="Verdana" w:hAnsi="Arial" w:cs="Arial"/>
        </w:rPr>
      </w:pPr>
      <w:r w:rsidRPr="00CC7572">
        <w:rPr>
          <w:rFonts w:ascii="Arial" w:eastAsia="Verdana" w:hAnsi="Arial" w:cs="Arial"/>
        </w:rPr>
        <w:t>Thailand's National Adaptation Plan (NAP) presents several different areas of focus that interact with coastal communities and sustain the health of these communities in the face of climate change (</w:t>
      </w:r>
      <w:r w:rsidRPr="00CC7572">
        <w:rPr>
          <w:rFonts w:ascii="Arial" w:hAnsi="Arial" w:cs="Arial"/>
        </w:rPr>
        <w:t>Department of Climate Change and Environment</w:t>
      </w:r>
      <w:r w:rsidRPr="00CC7572">
        <w:rPr>
          <w:rFonts w:ascii="Arial" w:eastAsia="Verdana" w:hAnsi="Arial" w:cs="Arial"/>
        </w:rPr>
        <w:t>, 2023). Thailand states that it seeks to achieve the following goals, through the NAP, by 2037</w:t>
      </w:r>
    </w:p>
    <w:p w14:paraId="5F585BCE" w14:textId="77777777" w:rsidR="00CC7572" w:rsidRPr="00CC7572" w:rsidRDefault="00CC7572" w:rsidP="00CC7572">
      <w:pPr>
        <w:numPr>
          <w:ilvl w:val="0"/>
          <w:numId w:val="7"/>
        </w:numPr>
        <w:shd w:val="clear" w:color="auto" w:fill="FFFFFF"/>
        <w:spacing w:before="120" w:after="120"/>
        <w:jc w:val="both"/>
        <w:rPr>
          <w:rFonts w:ascii="Arial" w:eastAsia="Verdana" w:hAnsi="Arial" w:cs="Arial"/>
        </w:rPr>
      </w:pPr>
      <w:r w:rsidRPr="00CC7572">
        <w:rPr>
          <w:rFonts w:ascii="Arial" w:eastAsia="Verdana" w:hAnsi="Arial" w:cs="Arial"/>
        </w:rPr>
        <w:t>2023-2027: Build a basis and instruments for policymaking and mainstreaming.</w:t>
      </w:r>
    </w:p>
    <w:p w14:paraId="5BC6C487" w14:textId="77777777" w:rsidR="00CC7572" w:rsidRPr="00CC7572" w:rsidRDefault="00CC7572" w:rsidP="00CC7572">
      <w:pPr>
        <w:numPr>
          <w:ilvl w:val="0"/>
          <w:numId w:val="7"/>
        </w:numPr>
        <w:shd w:val="clear" w:color="auto" w:fill="FFFFFF"/>
        <w:spacing w:before="120" w:after="120"/>
        <w:jc w:val="both"/>
        <w:rPr>
          <w:rFonts w:ascii="Arial" w:eastAsia="Verdana" w:hAnsi="Arial" w:cs="Arial"/>
        </w:rPr>
      </w:pPr>
      <w:r w:rsidRPr="00CC7572">
        <w:rPr>
          <w:rFonts w:ascii="Arial" w:eastAsia="Verdana" w:hAnsi="Arial" w:cs="Arial"/>
        </w:rPr>
        <w:t>2028-2032: Strengthen policy instruments and mainstreaming across the priority sectors</w:t>
      </w:r>
    </w:p>
    <w:p w14:paraId="736E4EF3" w14:textId="77777777" w:rsidR="00CC7572" w:rsidRPr="00CC7572" w:rsidRDefault="00CC7572" w:rsidP="00CC7572">
      <w:pPr>
        <w:numPr>
          <w:ilvl w:val="0"/>
          <w:numId w:val="7"/>
        </w:numPr>
        <w:shd w:val="clear" w:color="auto" w:fill="FFFFFF"/>
        <w:spacing w:before="120" w:after="120"/>
        <w:jc w:val="both"/>
        <w:rPr>
          <w:rFonts w:ascii="Arial" w:eastAsia="Verdana" w:hAnsi="Arial" w:cs="Arial"/>
        </w:rPr>
      </w:pPr>
      <w:r w:rsidRPr="00CC7572">
        <w:rPr>
          <w:rFonts w:ascii="Arial" w:eastAsia="Verdana" w:hAnsi="Arial" w:cs="Arial"/>
        </w:rPr>
        <w:t>2033-2037: Ensure climate resilience in the country’s development actions</w:t>
      </w:r>
    </w:p>
    <w:p w14:paraId="69D7AD4C" w14:textId="77777777" w:rsidR="00CC7572" w:rsidRPr="00CC7572" w:rsidRDefault="00CC7572" w:rsidP="00CC7572">
      <w:pPr>
        <w:shd w:val="clear" w:color="auto" w:fill="FFFFFF"/>
        <w:spacing w:before="120" w:after="120"/>
        <w:jc w:val="both"/>
        <w:rPr>
          <w:rFonts w:ascii="Arial" w:eastAsia="Verdana" w:hAnsi="Arial" w:cs="Arial"/>
        </w:rPr>
      </w:pPr>
      <w:r w:rsidRPr="00CC7572">
        <w:rPr>
          <w:rFonts w:ascii="Arial" w:eastAsia="Verdana" w:hAnsi="Arial" w:cs="Arial"/>
        </w:rPr>
        <w:t xml:space="preserve">Table 1 presents the strategic directions, priority actions, and anticipated outcomes related to the management of marine and coastal ecosystems as outlined in Thailand’s </w:t>
      </w:r>
      <w:r w:rsidRPr="00CC7572">
        <w:rPr>
          <w:rFonts w:ascii="Arial" w:eastAsia="Verdana" w:hAnsi="Arial" w:cs="Arial"/>
          <w:b/>
          <w:bCs/>
        </w:rPr>
        <w:t>National Adaptation Plan (NAP) 2023</w:t>
      </w:r>
      <w:r w:rsidRPr="00CC7572">
        <w:rPr>
          <w:rFonts w:ascii="Arial" w:eastAsia="Verdana" w:hAnsi="Arial" w:cs="Arial"/>
        </w:rPr>
        <w:t>. The focus is on building ecosystem resilience, reducing vulnerability to climate change, and integrating biodiversity and ecosystem services into national development.</w:t>
      </w:r>
    </w:p>
    <w:p w14:paraId="1220218A" w14:textId="77777777" w:rsidR="00CC7572" w:rsidRPr="00CC7572" w:rsidRDefault="00CC7572" w:rsidP="00CC7572">
      <w:pPr>
        <w:rPr>
          <w:rFonts w:ascii="Arial" w:eastAsia="Verdana" w:hAnsi="Arial" w:cs="Arial"/>
        </w:rPr>
      </w:pPr>
    </w:p>
    <w:p w14:paraId="75B3784E" w14:textId="77777777" w:rsidR="00CC7572" w:rsidRPr="00CC7572" w:rsidRDefault="00CC7572" w:rsidP="00CC7572">
      <w:pPr>
        <w:shd w:val="clear" w:color="auto" w:fill="FFFFFF"/>
        <w:spacing w:after="240" w:line="276" w:lineRule="auto"/>
        <w:jc w:val="both"/>
        <w:rPr>
          <w:rFonts w:ascii="Arial" w:eastAsia="Verdana" w:hAnsi="Arial" w:cs="Arial"/>
        </w:rPr>
      </w:pPr>
      <w:r w:rsidRPr="00CC7572">
        <w:rPr>
          <w:rFonts w:ascii="Arial" w:eastAsia="Verdana" w:hAnsi="Arial" w:cs="Arial"/>
        </w:rPr>
        <w:t>Table 1 Strategic Guidelines and Expected Outcomes for Marine and Coastal Ecosystem Management under Thailand’s National Adaptation Plan (NAP), 2023</w:t>
      </w:r>
    </w:p>
    <w:tbl>
      <w:tblPr>
        <w:tblStyle w:val="TableGrid"/>
        <w:tblW w:w="0" w:type="auto"/>
        <w:tblLook w:val="04A0" w:firstRow="1" w:lastRow="0" w:firstColumn="1" w:lastColumn="0" w:noHBand="0" w:noVBand="1"/>
      </w:tblPr>
      <w:tblGrid>
        <w:gridCol w:w="4815"/>
        <w:gridCol w:w="4508"/>
      </w:tblGrid>
      <w:tr w:rsidR="00CC7572" w:rsidRPr="00CC7572" w14:paraId="7A6E4A11" w14:textId="77777777" w:rsidTr="004F496B">
        <w:trPr>
          <w:tblHeader/>
        </w:trPr>
        <w:tc>
          <w:tcPr>
            <w:tcW w:w="4815" w:type="dxa"/>
          </w:tcPr>
          <w:p w14:paraId="011B4BFD" w14:textId="77777777" w:rsidR="00CC7572" w:rsidRPr="00CC7572" w:rsidRDefault="00CC7572" w:rsidP="004F496B">
            <w:pPr>
              <w:rPr>
                <w:rFonts w:ascii="Arial" w:eastAsia="Verdana" w:hAnsi="Arial" w:cs="Arial"/>
              </w:rPr>
            </w:pPr>
            <w:r w:rsidRPr="00CC7572">
              <w:rPr>
                <w:rFonts w:ascii="Arial" w:eastAsia="Verdana" w:hAnsi="Arial" w:cs="Arial"/>
              </w:rPr>
              <w:t xml:space="preserve">Guideline/ Measures </w:t>
            </w:r>
          </w:p>
        </w:tc>
        <w:tc>
          <w:tcPr>
            <w:tcW w:w="4508" w:type="dxa"/>
          </w:tcPr>
          <w:p w14:paraId="0F3EE1EF" w14:textId="77777777" w:rsidR="00CC7572" w:rsidRPr="00CC7572" w:rsidRDefault="00CC7572" w:rsidP="004F496B">
            <w:pPr>
              <w:rPr>
                <w:rFonts w:ascii="Arial" w:eastAsia="Verdana" w:hAnsi="Arial" w:cs="Arial"/>
              </w:rPr>
            </w:pPr>
            <w:r w:rsidRPr="00CC7572">
              <w:rPr>
                <w:rFonts w:ascii="Arial" w:eastAsia="Verdana" w:hAnsi="Arial" w:cs="Arial"/>
              </w:rPr>
              <w:t xml:space="preserve">Output </w:t>
            </w:r>
          </w:p>
        </w:tc>
      </w:tr>
      <w:tr w:rsidR="00CC7572" w:rsidRPr="00CC7572" w14:paraId="6CED1FEC" w14:textId="77777777" w:rsidTr="00CC7572">
        <w:tc>
          <w:tcPr>
            <w:tcW w:w="4815" w:type="dxa"/>
          </w:tcPr>
          <w:p w14:paraId="741C5503" w14:textId="77777777" w:rsidR="00CC7572" w:rsidRPr="00CC7572" w:rsidRDefault="00CC7572" w:rsidP="004F496B">
            <w:pPr>
              <w:rPr>
                <w:rFonts w:ascii="Arial" w:eastAsia="Verdana" w:hAnsi="Arial" w:cs="Arial"/>
              </w:rPr>
            </w:pPr>
            <w:r w:rsidRPr="00CC7572">
              <w:rPr>
                <w:rFonts w:ascii="Arial" w:eastAsia="Verdana" w:hAnsi="Arial" w:cs="Arial"/>
              </w:rPr>
              <w:t>1) Conserve and protect marine and coastal</w:t>
            </w:r>
            <w:r w:rsidR="004F496B">
              <w:rPr>
                <w:rFonts w:ascii="Arial" w:eastAsia="Verdana" w:hAnsi="Arial" w:cs="Arial"/>
              </w:rPr>
              <w:t xml:space="preserve"> </w:t>
            </w:r>
            <w:r w:rsidRPr="00CC7572">
              <w:rPr>
                <w:rFonts w:ascii="Arial" w:eastAsia="Verdana" w:hAnsi="Arial" w:cs="Arial"/>
              </w:rPr>
              <w:t>resources, including increasing and rehabilitating mangrove areas for an ecological balance through a participatory approach.</w:t>
            </w:r>
          </w:p>
        </w:tc>
        <w:tc>
          <w:tcPr>
            <w:tcW w:w="4508" w:type="dxa"/>
          </w:tcPr>
          <w:p w14:paraId="7DF64CCC" w14:textId="77777777" w:rsidR="00CC7572" w:rsidRPr="00CC7572" w:rsidRDefault="00CC7572" w:rsidP="004F496B">
            <w:pPr>
              <w:rPr>
                <w:rFonts w:ascii="Arial" w:eastAsia="Verdana" w:hAnsi="Arial" w:cs="Arial"/>
              </w:rPr>
            </w:pPr>
            <w:r w:rsidRPr="00CC7572">
              <w:rPr>
                <w:rFonts w:ascii="Arial" w:eastAsia="Verdana" w:hAnsi="Arial" w:cs="Arial"/>
              </w:rPr>
              <w:t>Specific measures for the conservation and</w:t>
            </w:r>
            <w:r w:rsidR="004F496B">
              <w:rPr>
                <w:rFonts w:ascii="Arial" w:eastAsia="Verdana" w:hAnsi="Arial" w:cs="Arial"/>
              </w:rPr>
              <w:t xml:space="preserve"> </w:t>
            </w:r>
            <w:r w:rsidRPr="00CC7572">
              <w:rPr>
                <w:rFonts w:ascii="Arial" w:eastAsia="Verdana" w:hAnsi="Arial" w:cs="Arial"/>
              </w:rPr>
              <w:t>rehabilitation of marine and coastal resources</w:t>
            </w:r>
            <w:r w:rsidR="004F496B">
              <w:rPr>
                <w:rFonts w:ascii="Arial" w:eastAsia="Verdana" w:hAnsi="Arial" w:cs="Arial"/>
              </w:rPr>
              <w:t xml:space="preserve"> </w:t>
            </w:r>
            <w:r w:rsidRPr="00CC7572">
              <w:rPr>
                <w:rFonts w:ascii="Arial" w:eastAsia="Verdana" w:hAnsi="Arial" w:cs="Arial"/>
              </w:rPr>
              <w:t>in each marine and coastal community are</w:t>
            </w:r>
            <w:r w:rsidR="004F496B">
              <w:rPr>
                <w:rFonts w:ascii="Arial" w:eastAsia="Verdana" w:hAnsi="Arial" w:cs="Arial"/>
              </w:rPr>
              <w:t xml:space="preserve"> </w:t>
            </w:r>
            <w:r w:rsidRPr="00CC7572">
              <w:rPr>
                <w:rFonts w:ascii="Arial" w:eastAsia="Verdana" w:hAnsi="Arial" w:cs="Arial"/>
              </w:rPr>
              <w:t>developed with public participation, and integrated into the strategic plan of the area with effective implementation.</w:t>
            </w:r>
          </w:p>
        </w:tc>
      </w:tr>
      <w:tr w:rsidR="00CC7572" w:rsidRPr="00CC7572" w14:paraId="23FAC5FF" w14:textId="77777777" w:rsidTr="00CC7572">
        <w:tc>
          <w:tcPr>
            <w:tcW w:w="4815" w:type="dxa"/>
          </w:tcPr>
          <w:p w14:paraId="5FEE9DA3" w14:textId="77777777" w:rsidR="00CC7572" w:rsidRPr="00CC7572" w:rsidRDefault="00CC7572" w:rsidP="004F496B">
            <w:pPr>
              <w:rPr>
                <w:rFonts w:ascii="Arial" w:eastAsia="Verdana" w:hAnsi="Arial" w:cs="Arial"/>
              </w:rPr>
            </w:pPr>
            <w:r w:rsidRPr="00CC7572">
              <w:rPr>
                <w:rFonts w:ascii="Arial" w:eastAsia="Verdana" w:hAnsi="Arial" w:cs="Arial"/>
              </w:rPr>
              <w:t>2)  Support the conservation of endemic and</w:t>
            </w:r>
            <w:r w:rsidR="004F496B">
              <w:rPr>
                <w:rFonts w:ascii="Arial" w:eastAsia="Verdana" w:hAnsi="Arial" w:cs="Arial"/>
              </w:rPr>
              <w:t xml:space="preserve"> </w:t>
            </w:r>
            <w:r w:rsidRPr="00CC7572">
              <w:rPr>
                <w:rFonts w:ascii="Arial" w:eastAsia="Verdana" w:hAnsi="Arial" w:cs="Arial"/>
              </w:rPr>
              <w:t>endangered species in marine and coastal</w:t>
            </w:r>
            <w:r w:rsidR="004F496B">
              <w:rPr>
                <w:rFonts w:ascii="Arial" w:eastAsia="Verdana" w:hAnsi="Arial" w:cs="Arial"/>
              </w:rPr>
              <w:t xml:space="preserve"> </w:t>
            </w:r>
            <w:r w:rsidRPr="00CC7572">
              <w:rPr>
                <w:rFonts w:ascii="Arial" w:eastAsia="Verdana" w:hAnsi="Arial" w:cs="Arial"/>
              </w:rPr>
              <w:t>ecosystems affected by climate change, as</w:t>
            </w:r>
            <w:r w:rsidR="004F496B">
              <w:rPr>
                <w:rFonts w:ascii="Arial" w:eastAsia="Verdana" w:hAnsi="Arial" w:cs="Arial"/>
              </w:rPr>
              <w:t xml:space="preserve"> </w:t>
            </w:r>
            <w:r w:rsidRPr="00CC7572">
              <w:rPr>
                <w:rFonts w:ascii="Arial" w:eastAsia="Verdana" w:hAnsi="Arial" w:cs="Arial"/>
              </w:rPr>
              <w:t>well as prevent invasive alien species, which</w:t>
            </w:r>
            <w:r w:rsidR="004F496B">
              <w:rPr>
                <w:rFonts w:ascii="Arial" w:eastAsia="Verdana" w:hAnsi="Arial" w:cs="Arial"/>
              </w:rPr>
              <w:t xml:space="preserve"> </w:t>
            </w:r>
            <w:r w:rsidRPr="00CC7572">
              <w:rPr>
                <w:rFonts w:ascii="Arial" w:eastAsia="Verdana" w:hAnsi="Arial" w:cs="Arial"/>
              </w:rPr>
              <w:t>could become widespread due to the changing climatic conditions.</w:t>
            </w:r>
          </w:p>
        </w:tc>
        <w:tc>
          <w:tcPr>
            <w:tcW w:w="4508" w:type="dxa"/>
          </w:tcPr>
          <w:p w14:paraId="60226E9F" w14:textId="77777777" w:rsidR="00CC7572" w:rsidRPr="00CC7572" w:rsidRDefault="00CC7572" w:rsidP="004F496B">
            <w:pPr>
              <w:rPr>
                <w:rFonts w:ascii="Arial" w:eastAsia="Verdana" w:hAnsi="Arial" w:cs="Arial"/>
              </w:rPr>
            </w:pPr>
            <w:r w:rsidRPr="00CC7572">
              <w:rPr>
                <w:rFonts w:ascii="Arial" w:eastAsia="Verdana" w:hAnsi="Arial" w:cs="Arial"/>
              </w:rPr>
              <w:t>Research on breeding rare or endangered</w:t>
            </w:r>
            <w:r w:rsidR="004F496B">
              <w:rPr>
                <w:rFonts w:ascii="Arial" w:eastAsia="Verdana" w:hAnsi="Arial" w:cs="Arial"/>
              </w:rPr>
              <w:t xml:space="preserve"> </w:t>
            </w:r>
            <w:r w:rsidRPr="00CC7572">
              <w:rPr>
                <w:rFonts w:ascii="Arial" w:eastAsia="Verdana" w:hAnsi="Arial" w:cs="Arial"/>
              </w:rPr>
              <w:t>species are available, and regulations and</w:t>
            </w:r>
            <w:r w:rsidR="004F496B">
              <w:rPr>
                <w:rFonts w:ascii="Arial" w:eastAsia="Verdana" w:hAnsi="Arial" w:cs="Arial"/>
              </w:rPr>
              <w:t xml:space="preserve"> </w:t>
            </w:r>
            <w:r w:rsidRPr="00CC7572">
              <w:rPr>
                <w:rFonts w:ascii="Arial" w:eastAsia="Verdana" w:hAnsi="Arial" w:cs="Arial"/>
              </w:rPr>
              <w:t>measures for conserving and protecting</w:t>
            </w:r>
            <w:r w:rsidR="004F496B">
              <w:rPr>
                <w:rFonts w:ascii="Arial" w:eastAsia="Verdana" w:hAnsi="Arial" w:cs="Arial"/>
              </w:rPr>
              <w:t xml:space="preserve"> </w:t>
            </w:r>
            <w:r w:rsidRPr="00CC7572">
              <w:rPr>
                <w:rFonts w:ascii="Arial" w:eastAsia="Verdana" w:hAnsi="Arial" w:cs="Arial"/>
              </w:rPr>
              <w:t>biodiversity resources in marine and coastal</w:t>
            </w:r>
            <w:r w:rsidR="004F496B">
              <w:rPr>
                <w:rFonts w:ascii="Arial" w:eastAsia="Verdana" w:hAnsi="Arial" w:cs="Arial"/>
              </w:rPr>
              <w:t xml:space="preserve"> </w:t>
            </w:r>
            <w:r w:rsidRPr="00CC7572">
              <w:rPr>
                <w:rFonts w:ascii="Arial" w:eastAsia="Verdana" w:hAnsi="Arial" w:cs="Arial"/>
              </w:rPr>
              <w:t>ecosystems, especially threatened species, are in place.</w:t>
            </w:r>
          </w:p>
        </w:tc>
      </w:tr>
      <w:tr w:rsidR="00CC7572" w:rsidRPr="00CC7572" w14:paraId="53A48AAD" w14:textId="77777777" w:rsidTr="00CC7572">
        <w:tc>
          <w:tcPr>
            <w:tcW w:w="4815" w:type="dxa"/>
          </w:tcPr>
          <w:p w14:paraId="668A8141" w14:textId="77777777" w:rsidR="00CC7572" w:rsidRPr="00CC7572" w:rsidRDefault="00CC7572" w:rsidP="004F496B">
            <w:pPr>
              <w:rPr>
                <w:rFonts w:ascii="Arial" w:eastAsia="Verdana" w:hAnsi="Arial" w:cs="Arial"/>
              </w:rPr>
            </w:pPr>
            <w:r w:rsidRPr="00CC7572">
              <w:rPr>
                <w:rFonts w:ascii="Arial" w:eastAsia="Verdana" w:hAnsi="Arial" w:cs="Arial"/>
              </w:rPr>
              <w:t>(3) Expedite the designation of the EPAs in</w:t>
            </w:r>
            <w:r w:rsidR="004F496B">
              <w:rPr>
                <w:rFonts w:ascii="Arial" w:eastAsia="Verdana" w:hAnsi="Arial" w:cs="Arial"/>
              </w:rPr>
              <w:t xml:space="preserve"> </w:t>
            </w:r>
            <w:r w:rsidRPr="00CC7572">
              <w:rPr>
                <w:rFonts w:ascii="Arial" w:eastAsia="Verdana" w:hAnsi="Arial" w:cs="Arial"/>
              </w:rPr>
              <w:t>marine and coastal areas with fragile ecosystems and threats to biodiversity resources, which are outside the PAs.</w:t>
            </w:r>
          </w:p>
        </w:tc>
        <w:tc>
          <w:tcPr>
            <w:tcW w:w="4508" w:type="dxa"/>
          </w:tcPr>
          <w:p w14:paraId="6A8D8E9A" w14:textId="77777777" w:rsidR="00CC7572" w:rsidRPr="00CC7572" w:rsidRDefault="00CC7572" w:rsidP="004F496B">
            <w:pPr>
              <w:rPr>
                <w:rFonts w:ascii="Arial" w:eastAsia="Verdana" w:hAnsi="Arial" w:cs="Arial"/>
              </w:rPr>
            </w:pPr>
            <w:r w:rsidRPr="00CC7572">
              <w:rPr>
                <w:rFonts w:ascii="Arial" w:eastAsia="Verdana" w:hAnsi="Arial" w:cs="Arial"/>
              </w:rPr>
              <w:t>Marine and coastal areas with fragile ecosystems and threats to biodiversity resources are designated as EPAs.</w:t>
            </w:r>
          </w:p>
        </w:tc>
      </w:tr>
      <w:tr w:rsidR="00CC7572" w:rsidRPr="00CC7572" w14:paraId="3970A92E" w14:textId="77777777" w:rsidTr="00CC7572">
        <w:tc>
          <w:tcPr>
            <w:tcW w:w="4815" w:type="dxa"/>
          </w:tcPr>
          <w:p w14:paraId="6A68FBCB" w14:textId="77777777" w:rsidR="00CC7572" w:rsidRPr="00CC7572" w:rsidRDefault="00CC7572" w:rsidP="004F496B">
            <w:pPr>
              <w:rPr>
                <w:rFonts w:ascii="Arial" w:eastAsia="Verdana" w:hAnsi="Arial" w:cs="Arial"/>
              </w:rPr>
            </w:pPr>
            <w:r w:rsidRPr="00CC7572">
              <w:rPr>
                <w:rFonts w:ascii="Arial" w:eastAsia="Verdana" w:hAnsi="Arial" w:cs="Arial"/>
              </w:rPr>
              <w:t>4) Assessment of Thailand’s Ocean Health</w:t>
            </w:r>
            <w:r w:rsidR="004F496B">
              <w:rPr>
                <w:rFonts w:ascii="Arial" w:eastAsia="Verdana" w:hAnsi="Arial" w:cs="Arial"/>
              </w:rPr>
              <w:t xml:space="preserve"> </w:t>
            </w:r>
            <w:r w:rsidRPr="00CC7572">
              <w:rPr>
                <w:rFonts w:ascii="Arial" w:eastAsia="Verdana" w:hAnsi="Arial" w:cs="Arial"/>
              </w:rPr>
              <w:t>Index and development of surveillance and</w:t>
            </w:r>
            <w:r w:rsidR="004F496B">
              <w:rPr>
                <w:rFonts w:ascii="Arial" w:eastAsia="Verdana" w:hAnsi="Arial" w:cs="Arial"/>
              </w:rPr>
              <w:t xml:space="preserve"> </w:t>
            </w:r>
            <w:r w:rsidRPr="00CC7572">
              <w:rPr>
                <w:rFonts w:ascii="Arial" w:eastAsia="Verdana" w:hAnsi="Arial" w:cs="Arial"/>
              </w:rPr>
              <w:t>monitoring systems for changes to seawater as a result of climate change factors.</w:t>
            </w:r>
          </w:p>
        </w:tc>
        <w:tc>
          <w:tcPr>
            <w:tcW w:w="4508" w:type="dxa"/>
          </w:tcPr>
          <w:p w14:paraId="589078A1" w14:textId="77777777" w:rsidR="00CC7572" w:rsidRPr="00CC7572" w:rsidRDefault="00CC7572" w:rsidP="004F496B">
            <w:pPr>
              <w:rPr>
                <w:rFonts w:ascii="Arial" w:eastAsia="Verdana" w:hAnsi="Arial" w:cs="Arial"/>
              </w:rPr>
            </w:pPr>
            <w:r w:rsidRPr="00CC7572">
              <w:rPr>
                <w:rFonts w:ascii="Arial" w:eastAsia="Verdana" w:hAnsi="Arial" w:cs="Arial"/>
              </w:rPr>
              <w:t>Surveillance and monitoring systems for changes to seawater as a result of climate change factors are developed.</w:t>
            </w:r>
          </w:p>
        </w:tc>
      </w:tr>
      <w:tr w:rsidR="00CC7572" w:rsidRPr="00CC7572" w14:paraId="60D94515" w14:textId="77777777" w:rsidTr="00CC7572">
        <w:tc>
          <w:tcPr>
            <w:tcW w:w="4815" w:type="dxa"/>
          </w:tcPr>
          <w:p w14:paraId="32172ABF" w14:textId="77777777" w:rsidR="00CC7572" w:rsidRPr="00CC7572" w:rsidRDefault="00CC7572" w:rsidP="004F496B">
            <w:pPr>
              <w:rPr>
                <w:rFonts w:ascii="Arial" w:eastAsia="Verdana" w:hAnsi="Arial" w:cs="Arial"/>
              </w:rPr>
            </w:pPr>
            <w:r w:rsidRPr="00CC7572">
              <w:rPr>
                <w:rFonts w:ascii="Arial" w:eastAsia="Verdana" w:hAnsi="Arial" w:cs="Arial"/>
              </w:rPr>
              <w:lastRenderedPageBreak/>
              <w:t>(5) Prepare an integrated plan for coastal zone management across the country to reduce the impact of coastal erosion through a participatory approach.</w:t>
            </w:r>
          </w:p>
        </w:tc>
        <w:tc>
          <w:tcPr>
            <w:tcW w:w="4508" w:type="dxa"/>
          </w:tcPr>
          <w:p w14:paraId="3DCF9D7B" w14:textId="77777777" w:rsidR="00CC7572" w:rsidRPr="00CC7572" w:rsidRDefault="00CC7572" w:rsidP="004F496B">
            <w:pPr>
              <w:rPr>
                <w:rFonts w:ascii="Arial" w:eastAsia="Verdana" w:hAnsi="Arial" w:cs="Arial"/>
              </w:rPr>
            </w:pPr>
            <w:r w:rsidRPr="00CC7572">
              <w:rPr>
                <w:rFonts w:ascii="Arial" w:eastAsia="Verdana" w:hAnsi="Arial" w:cs="Arial"/>
                <w:color w:val="FF0000"/>
              </w:rPr>
              <w:t xml:space="preserve">Integrated plans </w:t>
            </w:r>
            <w:r w:rsidRPr="00CC7572">
              <w:rPr>
                <w:rFonts w:ascii="Arial" w:eastAsia="Verdana" w:hAnsi="Arial" w:cs="Arial"/>
              </w:rPr>
              <w:t>for coastal zone management are developed comprising protection, restoration, or rehabilitation measures of coastal areas across the country, and mainstreamed into the area-based strategic plan in each locality with effective implementation.</w:t>
            </w:r>
          </w:p>
        </w:tc>
      </w:tr>
      <w:tr w:rsidR="00CC7572" w:rsidRPr="00CC7572" w14:paraId="5812818F" w14:textId="77777777" w:rsidTr="00CC7572">
        <w:tc>
          <w:tcPr>
            <w:tcW w:w="4815" w:type="dxa"/>
          </w:tcPr>
          <w:p w14:paraId="0A3C28D3" w14:textId="77777777" w:rsidR="00CC7572" w:rsidRPr="00CC7572" w:rsidRDefault="00CC7572" w:rsidP="004F496B">
            <w:pPr>
              <w:rPr>
                <w:rFonts w:ascii="Arial" w:eastAsia="Verdana" w:hAnsi="Arial" w:cs="Arial"/>
              </w:rPr>
            </w:pPr>
            <w:r w:rsidRPr="00CC7572">
              <w:rPr>
                <w:rFonts w:ascii="Arial" w:eastAsia="Verdana" w:hAnsi="Arial" w:cs="Arial"/>
              </w:rPr>
              <w:t>(6) Strengthen the capacity of coastal areas</w:t>
            </w:r>
            <w:r w:rsidR="004F496B">
              <w:rPr>
                <w:rFonts w:ascii="Arial" w:eastAsia="Verdana" w:hAnsi="Arial" w:cs="Arial"/>
              </w:rPr>
              <w:t xml:space="preserve"> </w:t>
            </w:r>
            <w:r w:rsidRPr="00CC7572">
              <w:rPr>
                <w:rFonts w:ascii="Arial" w:eastAsia="Verdana" w:hAnsi="Arial" w:cs="Arial"/>
              </w:rPr>
              <w:t>to respond to and prevent the impact of storm</w:t>
            </w:r>
            <w:r w:rsidR="004F496B">
              <w:rPr>
                <w:rFonts w:ascii="Arial" w:eastAsia="Verdana" w:hAnsi="Arial" w:cs="Arial"/>
              </w:rPr>
              <w:t xml:space="preserve"> </w:t>
            </w:r>
            <w:r w:rsidRPr="00CC7572">
              <w:rPr>
                <w:rFonts w:ascii="Arial" w:eastAsia="Verdana" w:hAnsi="Arial" w:cs="Arial"/>
              </w:rPr>
              <w:t>surges.</w:t>
            </w:r>
          </w:p>
        </w:tc>
        <w:tc>
          <w:tcPr>
            <w:tcW w:w="4508" w:type="dxa"/>
          </w:tcPr>
          <w:p w14:paraId="40F6D33C" w14:textId="77777777" w:rsidR="00CC7572" w:rsidRPr="00CC7572" w:rsidRDefault="00CC7572" w:rsidP="004F496B">
            <w:pPr>
              <w:rPr>
                <w:rFonts w:ascii="Arial" w:eastAsia="Verdana" w:hAnsi="Arial" w:cs="Arial"/>
              </w:rPr>
            </w:pPr>
            <w:r w:rsidRPr="00CC7572">
              <w:rPr>
                <w:rFonts w:ascii="Arial" w:eastAsia="Verdana" w:hAnsi="Arial" w:cs="Arial"/>
              </w:rPr>
              <w:t>Plans to mitigate the impact, establish evacuation routes in the event of storm surges in coastal areas are developed, and response manuals and drills are produced and conducted.</w:t>
            </w:r>
          </w:p>
        </w:tc>
      </w:tr>
      <w:tr w:rsidR="00CC7572" w:rsidRPr="00CC7572" w14:paraId="067244B2" w14:textId="77777777" w:rsidTr="00CC7572">
        <w:tc>
          <w:tcPr>
            <w:tcW w:w="4815" w:type="dxa"/>
          </w:tcPr>
          <w:p w14:paraId="59011FD7" w14:textId="77777777" w:rsidR="00CC7572" w:rsidRPr="00CC7572" w:rsidRDefault="00CC7572" w:rsidP="004F496B">
            <w:pPr>
              <w:rPr>
                <w:rFonts w:ascii="Arial" w:eastAsia="Verdana" w:hAnsi="Arial" w:cs="Arial"/>
              </w:rPr>
            </w:pPr>
            <w:r w:rsidRPr="00CC7572">
              <w:rPr>
                <w:rFonts w:ascii="Arial" w:eastAsia="Verdana" w:hAnsi="Arial" w:cs="Arial"/>
              </w:rPr>
              <w:t>(7) Enable networks of people organizations,</w:t>
            </w:r>
            <w:r w:rsidR="004F496B">
              <w:rPr>
                <w:rFonts w:ascii="Arial" w:eastAsia="Verdana" w:hAnsi="Arial" w:cs="Arial"/>
              </w:rPr>
              <w:t xml:space="preserve"> </w:t>
            </w:r>
            <w:r w:rsidRPr="00CC7572">
              <w:rPr>
                <w:rFonts w:ascii="Arial" w:eastAsia="Verdana" w:hAnsi="Arial" w:cs="Arial"/>
              </w:rPr>
              <w:t>community-based organizations, and LAOs</w:t>
            </w:r>
            <w:r w:rsidR="004F496B">
              <w:rPr>
                <w:rFonts w:ascii="Arial" w:eastAsia="Verdana" w:hAnsi="Arial" w:cs="Arial"/>
              </w:rPr>
              <w:t xml:space="preserve"> </w:t>
            </w:r>
            <w:r w:rsidRPr="00CC7572">
              <w:rPr>
                <w:rFonts w:ascii="Arial" w:eastAsia="Verdana" w:hAnsi="Arial" w:cs="Arial"/>
              </w:rPr>
              <w:t>along the coastal zones to conserve and</w:t>
            </w:r>
            <w:r w:rsidR="004F496B">
              <w:rPr>
                <w:rFonts w:ascii="Arial" w:eastAsia="Verdana" w:hAnsi="Arial" w:cs="Arial"/>
              </w:rPr>
              <w:t xml:space="preserve"> </w:t>
            </w:r>
            <w:r w:rsidRPr="00CC7572">
              <w:rPr>
                <w:rFonts w:ascii="Arial" w:eastAsia="Verdana" w:hAnsi="Arial" w:cs="Arial"/>
              </w:rPr>
              <w:t>rehabilitate marine and coastal resources.</w:t>
            </w:r>
          </w:p>
        </w:tc>
        <w:tc>
          <w:tcPr>
            <w:tcW w:w="4508" w:type="dxa"/>
          </w:tcPr>
          <w:p w14:paraId="1B2F7398" w14:textId="77777777" w:rsidR="00CC7572" w:rsidRPr="00CC7572" w:rsidRDefault="00CC7572" w:rsidP="004F496B">
            <w:pPr>
              <w:rPr>
                <w:rFonts w:ascii="Arial" w:eastAsia="Verdana" w:hAnsi="Arial" w:cs="Arial"/>
              </w:rPr>
            </w:pPr>
            <w:r w:rsidRPr="00CC7572">
              <w:rPr>
                <w:rFonts w:ascii="Arial" w:eastAsia="Verdana" w:hAnsi="Arial" w:cs="Arial"/>
              </w:rPr>
              <w:t>Networks of people organizations, community-based organizations, and LAOs collaborate to develop measures on nature-based coastal restoration and participate in regulating the utilization of mangrove areas.</w:t>
            </w:r>
          </w:p>
        </w:tc>
      </w:tr>
    </w:tbl>
    <w:p w14:paraId="68C21629" w14:textId="77777777" w:rsidR="00CC7572" w:rsidRPr="00CC7572" w:rsidRDefault="00CC7572" w:rsidP="004F496B">
      <w:pPr>
        <w:shd w:val="clear" w:color="auto" w:fill="FFFFFF"/>
        <w:spacing w:before="120" w:after="120"/>
        <w:jc w:val="both"/>
        <w:rPr>
          <w:rFonts w:ascii="Arial" w:eastAsia="Verdana" w:hAnsi="Arial" w:cs="Arial"/>
        </w:rPr>
      </w:pPr>
      <w:r w:rsidRPr="00CC7572">
        <w:rPr>
          <w:rFonts w:ascii="Arial" w:eastAsia="Verdana" w:hAnsi="Arial" w:cs="Arial"/>
        </w:rPr>
        <w:t xml:space="preserve">EPAs: Environmental Protected Areas; LAO: Local Administrative Organizations; PA: Protected Areas  </w:t>
      </w:r>
    </w:p>
    <w:p w14:paraId="78D91741" w14:textId="77777777" w:rsidR="00CC7572" w:rsidRPr="00CC7572" w:rsidRDefault="00CC7572" w:rsidP="004F496B">
      <w:pPr>
        <w:spacing w:before="120" w:after="120"/>
        <w:rPr>
          <w:rFonts w:ascii="Arial" w:hAnsi="Arial" w:cs="Arial"/>
        </w:rPr>
      </w:pPr>
      <w:r w:rsidRPr="00CC7572">
        <w:rPr>
          <w:rFonts w:ascii="Arial" w:hAnsi="Arial" w:cs="Arial"/>
        </w:rPr>
        <w:t>To achieve the goals outlined in Thailand’s National Adaptation Plan (NAP), the implementation of both sector-specific and cross-cutting measures is essential to ensure a synergistic and integrated approach to climate adaptation. These cross-cutting measures include the development of comprehensive databases, research, and technological innovations related to climate change adaptation. Additionally, the establishment of enabling mechanisms—such as regulatory frameworks, financial instruments, capacity-building programs, and incentives—is crucial. Strengthening the capacity, knowledge, and awareness of government officials and relevant stakeholders, including youth and the business sector, is also vital to foster a deeper understanding of climate risks and to empower all sectors to take effective adaptation actions.</w:t>
      </w:r>
    </w:p>
    <w:p w14:paraId="3B5E1C30" w14:textId="77777777" w:rsidR="00CC7572" w:rsidRPr="00CC7572" w:rsidRDefault="00CC7572" w:rsidP="004F496B">
      <w:pPr>
        <w:spacing w:before="120" w:after="120"/>
        <w:rPr>
          <w:rFonts w:ascii="Arial" w:hAnsi="Arial" w:cs="Arial"/>
          <w:b/>
          <w:bCs/>
        </w:rPr>
      </w:pPr>
      <w:r w:rsidRPr="00CC7572">
        <w:rPr>
          <w:rFonts w:ascii="Arial" w:hAnsi="Arial" w:cs="Arial"/>
          <w:b/>
          <w:bCs/>
        </w:rPr>
        <w:t>g) The National Biodiversity Strategy and Action Plans (NBSAPs)</w:t>
      </w:r>
    </w:p>
    <w:p w14:paraId="246C35C8" w14:textId="77777777" w:rsidR="00CC7572" w:rsidRPr="00CC7572" w:rsidRDefault="00CC7572" w:rsidP="004F496B">
      <w:pPr>
        <w:spacing w:before="120" w:after="120"/>
        <w:jc w:val="both"/>
        <w:rPr>
          <w:rFonts w:ascii="Arial" w:hAnsi="Arial" w:cs="Arial"/>
        </w:rPr>
      </w:pPr>
      <w:r w:rsidRPr="00CC7572">
        <w:rPr>
          <w:rFonts w:ascii="Arial" w:hAnsi="Arial" w:cs="Arial"/>
        </w:rPr>
        <w:t>Building on previous biodiversity plans (ONEP 2015: ONEP 2017) such as the Master Plan for Integrated Biodiversity Management (2015-2021) and the Biodiversity Management Action Plan (2017-2021), Thailand is currently finalizing the National Biodiversity Strategy and Action Plans (NBSAPs) for 2023-2027, alongside a Long-term Biodiversity Strategy (2024-2050). The NBSAP framework follows three primary principles: the</w:t>
      </w:r>
      <w:r w:rsidR="004F496B">
        <w:rPr>
          <w:rFonts w:ascii="Arial" w:hAnsi="Arial" w:cs="Arial"/>
        </w:rPr>
        <w:t xml:space="preserve"> </w:t>
      </w:r>
      <w:r w:rsidRPr="00CC7572">
        <w:rPr>
          <w:rFonts w:ascii="Arial" w:hAnsi="Arial" w:cs="Arial"/>
        </w:rPr>
        <w:t>Sufficiency Economy Philosophy, urgency and challenge, and transformational change. It introduces new approaches and modifications to earlier plans, offering eight key guidelines:</w:t>
      </w:r>
    </w:p>
    <w:p w14:paraId="6657F30D" w14:textId="77777777" w:rsidR="00CC7572" w:rsidRPr="00CC7572" w:rsidRDefault="00CC7572" w:rsidP="004F496B">
      <w:pPr>
        <w:numPr>
          <w:ilvl w:val="0"/>
          <w:numId w:val="8"/>
        </w:numPr>
        <w:spacing w:before="120" w:after="120"/>
        <w:rPr>
          <w:rFonts w:ascii="Arial" w:hAnsi="Arial" w:cs="Arial"/>
        </w:rPr>
      </w:pPr>
      <w:r w:rsidRPr="00CC7572">
        <w:rPr>
          <w:rFonts w:ascii="Arial" w:hAnsi="Arial" w:cs="Arial"/>
        </w:rPr>
        <w:t>A collaborative approach across all sectors of society.</w:t>
      </w:r>
    </w:p>
    <w:p w14:paraId="571418CE" w14:textId="77777777" w:rsidR="00CC7572" w:rsidRPr="00CC7572" w:rsidRDefault="00CC7572" w:rsidP="004F496B">
      <w:pPr>
        <w:numPr>
          <w:ilvl w:val="0"/>
          <w:numId w:val="8"/>
        </w:numPr>
        <w:spacing w:before="120" w:after="120"/>
        <w:rPr>
          <w:rFonts w:ascii="Arial" w:hAnsi="Arial" w:cs="Arial"/>
        </w:rPr>
      </w:pPr>
      <w:r w:rsidRPr="00CC7572">
        <w:rPr>
          <w:rFonts w:ascii="Arial" w:hAnsi="Arial" w:cs="Arial"/>
        </w:rPr>
        <w:t>Guidelines for achieving national biodiversity goals suited to the local context.</w:t>
      </w:r>
    </w:p>
    <w:p w14:paraId="390883EF" w14:textId="77777777" w:rsidR="00CC7572" w:rsidRPr="00CC7572" w:rsidRDefault="00CC7572" w:rsidP="004F496B">
      <w:pPr>
        <w:numPr>
          <w:ilvl w:val="0"/>
          <w:numId w:val="8"/>
        </w:numPr>
        <w:spacing w:before="120" w:after="120"/>
        <w:rPr>
          <w:rFonts w:ascii="Arial" w:hAnsi="Arial" w:cs="Arial"/>
        </w:rPr>
      </w:pPr>
      <w:r w:rsidRPr="00CC7572">
        <w:rPr>
          <w:rFonts w:ascii="Arial" w:hAnsi="Arial" w:cs="Arial"/>
        </w:rPr>
        <w:t>Balancing conservation with sustainable use.</w:t>
      </w:r>
    </w:p>
    <w:p w14:paraId="16BA2D49" w14:textId="77777777" w:rsidR="00CC7572" w:rsidRPr="00CC7572" w:rsidRDefault="00CC7572" w:rsidP="004F496B">
      <w:pPr>
        <w:numPr>
          <w:ilvl w:val="0"/>
          <w:numId w:val="8"/>
        </w:numPr>
        <w:spacing w:before="120" w:after="120"/>
        <w:rPr>
          <w:rFonts w:ascii="Arial" w:hAnsi="Arial" w:cs="Arial"/>
        </w:rPr>
      </w:pPr>
      <w:r w:rsidRPr="00CC7572">
        <w:rPr>
          <w:rFonts w:ascii="Arial" w:hAnsi="Arial" w:cs="Arial"/>
        </w:rPr>
        <w:lastRenderedPageBreak/>
        <w:t>Integrated ecosystem management and spatial planning.</w:t>
      </w:r>
    </w:p>
    <w:p w14:paraId="7F680B9A" w14:textId="77777777" w:rsidR="00CC7572" w:rsidRPr="00CC7572" w:rsidRDefault="00CC7572" w:rsidP="004F496B">
      <w:pPr>
        <w:numPr>
          <w:ilvl w:val="0"/>
          <w:numId w:val="8"/>
        </w:numPr>
        <w:spacing w:before="120" w:after="120"/>
        <w:rPr>
          <w:rFonts w:ascii="Arial" w:hAnsi="Arial" w:cs="Arial"/>
        </w:rPr>
      </w:pPr>
      <w:r w:rsidRPr="00CC7572">
        <w:rPr>
          <w:rFonts w:ascii="Arial" w:hAnsi="Arial" w:cs="Arial"/>
        </w:rPr>
        <w:t>Protecting the rights of stakeholders, with a focus on gender, youth, and vulnerable groups.</w:t>
      </w:r>
    </w:p>
    <w:p w14:paraId="55921B17" w14:textId="77777777" w:rsidR="00CC7572" w:rsidRPr="00CC7572" w:rsidRDefault="00CC7572" w:rsidP="004F496B">
      <w:pPr>
        <w:numPr>
          <w:ilvl w:val="0"/>
          <w:numId w:val="8"/>
        </w:numPr>
        <w:spacing w:before="120" w:after="120"/>
        <w:rPr>
          <w:rFonts w:ascii="Arial" w:hAnsi="Arial" w:cs="Arial"/>
        </w:rPr>
      </w:pPr>
      <w:r w:rsidRPr="00CC7572">
        <w:rPr>
          <w:rFonts w:ascii="Arial" w:hAnsi="Arial" w:cs="Arial"/>
        </w:rPr>
        <w:t>Cooperation in implementing relevant international conventions.</w:t>
      </w:r>
    </w:p>
    <w:p w14:paraId="61261CD7" w14:textId="77777777" w:rsidR="00CC7572" w:rsidRPr="00CC7572" w:rsidRDefault="00CC7572" w:rsidP="004F496B">
      <w:pPr>
        <w:numPr>
          <w:ilvl w:val="0"/>
          <w:numId w:val="8"/>
        </w:numPr>
        <w:spacing w:before="120" w:after="120"/>
        <w:rPr>
          <w:rFonts w:ascii="Arial" w:hAnsi="Arial" w:cs="Arial"/>
        </w:rPr>
      </w:pPr>
      <w:r w:rsidRPr="00CC7572">
        <w:rPr>
          <w:rFonts w:ascii="Arial" w:hAnsi="Arial" w:cs="Arial"/>
        </w:rPr>
        <w:t>Raising awareness and promoting education on biodiversity.</w:t>
      </w:r>
    </w:p>
    <w:p w14:paraId="0E2D5BFE" w14:textId="77777777" w:rsidR="00CC7572" w:rsidRPr="00CC7572" w:rsidRDefault="00CC7572" w:rsidP="004F496B">
      <w:pPr>
        <w:numPr>
          <w:ilvl w:val="0"/>
          <w:numId w:val="8"/>
        </w:numPr>
        <w:spacing w:before="120" w:after="120"/>
        <w:rPr>
          <w:rFonts w:ascii="Arial" w:hAnsi="Arial" w:cs="Arial"/>
        </w:rPr>
      </w:pPr>
      <w:r w:rsidRPr="00CC7572">
        <w:rPr>
          <w:rFonts w:ascii="Arial" w:hAnsi="Arial" w:cs="Arial"/>
        </w:rPr>
        <w:t>Establishing financial mechanisms and securing additional funding sources.</w:t>
      </w:r>
    </w:p>
    <w:p w14:paraId="7D2EEAB9" w14:textId="77777777" w:rsidR="00CC7572" w:rsidRPr="00CC7572" w:rsidRDefault="00CC7572" w:rsidP="004F496B">
      <w:pPr>
        <w:spacing w:before="120" w:after="120"/>
        <w:rPr>
          <w:rFonts w:ascii="Arial" w:hAnsi="Arial" w:cs="Arial"/>
        </w:rPr>
      </w:pPr>
      <w:r w:rsidRPr="00CC7572">
        <w:rPr>
          <w:rFonts w:ascii="Arial" w:hAnsi="Arial" w:cs="Arial"/>
        </w:rPr>
        <w:t>The NBSAPs focus on three core strategies, each with specific goals, detailed in Table 2.</w:t>
      </w:r>
    </w:p>
    <w:p w14:paraId="0BEFB80B" w14:textId="77777777" w:rsidR="00CC7572" w:rsidRPr="00CC7572" w:rsidRDefault="00CC7572" w:rsidP="004F496B">
      <w:pPr>
        <w:spacing w:before="120" w:after="120"/>
        <w:jc w:val="both"/>
        <w:rPr>
          <w:rFonts w:ascii="Arial" w:hAnsi="Arial" w:cs="Arial"/>
        </w:rPr>
      </w:pPr>
      <w:r w:rsidRPr="00CC7572">
        <w:rPr>
          <w:rFonts w:ascii="Arial" w:hAnsi="Arial" w:cs="Arial"/>
        </w:rPr>
        <w:t>Moreover, ONEP (2024a) emphasizes that the success of the NBSAPs (2023-2027) relies on a robust implementation framework that integrates national biodiversity targets across all sectors. The four key mechanisms for success include:</w:t>
      </w:r>
    </w:p>
    <w:p w14:paraId="067422CA" w14:textId="77777777" w:rsidR="00CC7572" w:rsidRPr="00CC7572" w:rsidRDefault="00CC7572" w:rsidP="004F496B">
      <w:pPr>
        <w:numPr>
          <w:ilvl w:val="0"/>
          <w:numId w:val="9"/>
        </w:numPr>
        <w:spacing w:before="120" w:after="120"/>
        <w:rPr>
          <w:rFonts w:ascii="Arial" w:hAnsi="Arial" w:cs="Arial"/>
        </w:rPr>
      </w:pPr>
      <w:r w:rsidRPr="00CC7572">
        <w:rPr>
          <w:rFonts w:ascii="Arial" w:hAnsi="Arial" w:cs="Arial"/>
        </w:rPr>
        <w:t>Integrating sectoral plans.</w:t>
      </w:r>
    </w:p>
    <w:p w14:paraId="306759FA" w14:textId="77777777" w:rsidR="00CC7572" w:rsidRPr="00CC7572" w:rsidRDefault="00CC7572" w:rsidP="004F496B">
      <w:pPr>
        <w:numPr>
          <w:ilvl w:val="0"/>
          <w:numId w:val="9"/>
        </w:numPr>
        <w:spacing w:before="120" w:after="120"/>
        <w:rPr>
          <w:rFonts w:ascii="Arial" w:hAnsi="Arial" w:cs="Arial"/>
        </w:rPr>
      </w:pPr>
      <w:r w:rsidRPr="00CC7572">
        <w:rPr>
          <w:rFonts w:ascii="Arial" w:hAnsi="Arial" w:cs="Arial"/>
        </w:rPr>
        <w:t>Increasing stakeholder participation and awareness.</w:t>
      </w:r>
    </w:p>
    <w:p w14:paraId="07F3A750" w14:textId="77777777" w:rsidR="00CC7572" w:rsidRPr="00CC7572" w:rsidRDefault="00CC7572" w:rsidP="004F496B">
      <w:pPr>
        <w:numPr>
          <w:ilvl w:val="0"/>
          <w:numId w:val="9"/>
        </w:numPr>
        <w:spacing w:before="120" w:after="120"/>
        <w:rPr>
          <w:rFonts w:ascii="Arial" w:hAnsi="Arial" w:cs="Arial"/>
        </w:rPr>
      </w:pPr>
      <w:r w:rsidRPr="00CC7572">
        <w:rPr>
          <w:rFonts w:ascii="Arial" w:hAnsi="Arial" w:cs="Arial"/>
        </w:rPr>
        <w:t>Leveraging financial and capital mechanisms to support implementation.</w:t>
      </w:r>
    </w:p>
    <w:p w14:paraId="29665339" w14:textId="77777777" w:rsidR="00CC7572" w:rsidRPr="00CC7572" w:rsidRDefault="00CC7572" w:rsidP="004F496B">
      <w:pPr>
        <w:numPr>
          <w:ilvl w:val="0"/>
          <w:numId w:val="9"/>
        </w:numPr>
        <w:spacing w:before="120" w:after="120"/>
        <w:rPr>
          <w:rFonts w:ascii="Arial" w:hAnsi="Arial" w:cs="Arial"/>
        </w:rPr>
      </w:pPr>
      <w:r w:rsidRPr="00CC7572">
        <w:rPr>
          <w:rFonts w:ascii="Arial" w:hAnsi="Arial" w:cs="Arial"/>
        </w:rPr>
        <w:t>Monitoring and assessing plan execution.</w:t>
      </w:r>
    </w:p>
    <w:p w14:paraId="55937D29" w14:textId="77777777" w:rsidR="00CC7572" w:rsidRPr="00CC7572" w:rsidRDefault="00CC7572" w:rsidP="00CC7572">
      <w:pPr>
        <w:rPr>
          <w:rFonts w:ascii="Arial" w:hAnsi="Arial" w:cs="Arial"/>
        </w:rPr>
      </w:pPr>
      <w:r w:rsidRPr="00CC7572">
        <w:rPr>
          <w:rFonts w:ascii="Arial" w:hAnsi="Arial" w:cs="Arial"/>
        </w:rPr>
        <w:t xml:space="preserve">Table 2: Three strategies and its targets under the NBSAPs </w:t>
      </w:r>
    </w:p>
    <w:tbl>
      <w:tblPr>
        <w:tblStyle w:val="TableGrid"/>
        <w:tblW w:w="9351" w:type="dxa"/>
        <w:tblLook w:val="04A0" w:firstRow="1" w:lastRow="0" w:firstColumn="1" w:lastColumn="0" w:noHBand="0" w:noVBand="1"/>
      </w:tblPr>
      <w:tblGrid>
        <w:gridCol w:w="4673"/>
        <w:gridCol w:w="4678"/>
      </w:tblGrid>
      <w:tr w:rsidR="004F496B" w:rsidRPr="00CC7572" w14:paraId="623C2E67" w14:textId="77777777" w:rsidTr="004F496B">
        <w:trPr>
          <w:tblHeader/>
        </w:trPr>
        <w:tc>
          <w:tcPr>
            <w:tcW w:w="4673" w:type="dxa"/>
          </w:tcPr>
          <w:p w14:paraId="1635645D" w14:textId="77777777" w:rsidR="004F496B" w:rsidRPr="00CC7572" w:rsidRDefault="004F496B" w:rsidP="004F496B">
            <w:pPr>
              <w:jc w:val="center"/>
              <w:rPr>
                <w:rFonts w:ascii="Arial" w:hAnsi="Arial" w:cs="Arial"/>
                <w:b/>
                <w:bCs/>
                <w:lang w:val="en"/>
              </w:rPr>
            </w:pPr>
            <w:r w:rsidRPr="00CC7572">
              <w:rPr>
                <w:rFonts w:ascii="Arial" w:hAnsi="Arial" w:cs="Arial"/>
                <w:b/>
                <w:bCs/>
                <w:lang w:val="en"/>
              </w:rPr>
              <w:t>Strategy</w:t>
            </w:r>
          </w:p>
        </w:tc>
        <w:tc>
          <w:tcPr>
            <w:tcW w:w="4678" w:type="dxa"/>
          </w:tcPr>
          <w:p w14:paraId="19580ECB" w14:textId="77777777" w:rsidR="004F496B" w:rsidRPr="004F496B" w:rsidRDefault="004F496B" w:rsidP="004F496B">
            <w:pPr>
              <w:jc w:val="center"/>
              <w:rPr>
                <w:rFonts w:ascii="Arial" w:hAnsi="Arial" w:cs="Arial"/>
                <w:b/>
                <w:bCs/>
                <w:lang w:val="en"/>
              </w:rPr>
            </w:pPr>
            <w:r w:rsidRPr="004F496B">
              <w:rPr>
                <w:rFonts w:ascii="Arial" w:hAnsi="Arial" w:cs="Arial"/>
                <w:b/>
                <w:bCs/>
                <w:lang w:val="en"/>
              </w:rPr>
              <w:t>Targets</w:t>
            </w:r>
          </w:p>
        </w:tc>
      </w:tr>
      <w:tr w:rsidR="00CC7572" w:rsidRPr="00CC7572" w14:paraId="0C3AAA3C" w14:textId="77777777" w:rsidTr="004F496B">
        <w:tc>
          <w:tcPr>
            <w:tcW w:w="4673" w:type="dxa"/>
          </w:tcPr>
          <w:p w14:paraId="39CD0926" w14:textId="77777777" w:rsidR="00CC7572" w:rsidRPr="00CC7572" w:rsidRDefault="00CC7572" w:rsidP="008D367E">
            <w:pPr>
              <w:rPr>
                <w:rFonts w:ascii="Arial" w:hAnsi="Arial" w:cs="Arial"/>
                <w:lang w:val="en"/>
              </w:rPr>
            </w:pPr>
            <w:r w:rsidRPr="00CC7572">
              <w:rPr>
                <w:rFonts w:ascii="Arial" w:hAnsi="Arial" w:cs="Arial"/>
                <w:b/>
                <w:bCs/>
                <w:lang w:val="en"/>
              </w:rPr>
              <w:t>Strategy 1</w:t>
            </w:r>
            <w:r w:rsidRPr="00CC7572">
              <w:rPr>
                <w:rFonts w:ascii="Arial" w:hAnsi="Arial" w:cs="Arial"/>
                <w:lang w:val="en"/>
              </w:rPr>
              <w:t xml:space="preserve">: Strengthen conservation efforts by increasing the protection of important habitats and species through improving management practices, expanding protected areas and developing measures to protect threatened species. The strategy aims to increase protected areas by at </w:t>
            </w:r>
            <w:r w:rsidRPr="00CC7572">
              <w:rPr>
                <w:rFonts w:ascii="Arial" w:hAnsi="Arial" w:cs="Arial"/>
                <w:color w:val="FF0000"/>
                <w:lang w:val="en"/>
              </w:rPr>
              <w:t xml:space="preserve">least 30 percent </w:t>
            </w:r>
            <w:r w:rsidRPr="00CC7572">
              <w:rPr>
                <w:rFonts w:ascii="Arial" w:hAnsi="Arial" w:cs="Arial"/>
                <w:lang w:val="en"/>
              </w:rPr>
              <w:t xml:space="preserve">of the country's total area by 2030 and to enhance conservation of important habitats and species at risk of extinction.  </w:t>
            </w:r>
          </w:p>
        </w:tc>
        <w:tc>
          <w:tcPr>
            <w:tcW w:w="4678" w:type="dxa"/>
          </w:tcPr>
          <w:p w14:paraId="09E4C795" w14:textId="77777777" w:rsidR="00CC7572" w:rsidRPr="00CC7572" w:rsidRDefault="00CC7572" w:rsidP="008D367E">
            <w:pPr>
              <w:rPr>
                <w:rFonts w:ascii="Arial" w:hAnsi="Arial" w:cs="Arial"/>
                <w:lang w:val="en"/>
              </w:rPr>
            </w:pPr>
            <w:r w:rsidRPr="00CC7572">
              <w:rPr>
                <w:rFonts w:ascii="Arial" w:hAnsi="Arial" w:cs="Arial"/>
                <w:lang w:val="en"/>
              </w:rPr>
              <w:t xml:space="preserve">Four targets under strategy 1 include the following. </w:t>
            </w:r>
          </w:p>
          <w:p w14:paraId="28C94B43" w14:textId="77777777" w:rsidR="00CC7572" w:rsidRPr="00CC7572" w:rsidRDefault="00CC7572" w:rsidP="008D367E">
            <w:pPr>
              <w:rPr>
                <w:rFonts w:ascii="Arial" w:hAnsi="Arial" w:cs="Arial"/>
                <w:lang w:val="en"/>
              </w:rPr>
            </w:pPr>
            <w:r w:rsidRPr="00CC7572">
              <w:rPr>
                <w:rFonts w:ascii="Arial" w:hAnsi="Arial" w:cs="Arial"/>
                <w:lang w:val="en"/>
              </w:rPr>
              <w:t xml:space="preserve">1) </w:t>
            </w:r>
            <w:r w:rsidRPr="00CC7572">
              <w:rPr>
                <w:rFonts w:ascii="Arial" w:hAnsi="Arial" w:cs="Arial"/>
                <w:u w:val="single"/>
                <w:lang w:val="en"/>
              </w:rPr>
              <w:t>Goal 1:</w:t>
            </w:r>
            <w:r w:rsidRPr="00CC7572">
              <w:rPr>
                <w:rFonts w:ascii="Arial" w:hAnsi="Arial" w:cs="Arial"/>
                <w:lang w:val="en"/>
              </w:rPr>
              <w:t xml:space="preserve"> To reduce the loss of important biodiversity areas through effective spatial planning; </w:t>
            </w:r>
          </w:p>
          <w:p w14:paraId="4D5922A7" w14:textId="77777777" w:rsidR="00CC7572" w:rsidRPr="00CC7572" w:rsidRDefault="00CC7572" w:rsidP="008D367E">
            <w:pPr>
              <w:rPr>
                <w:rFonts w:ascii="Arial" w:hAnsi="Arial" w:cs="Arial"/>
                <w:lang w:val="en"/>
              </w:rPr>
            </w:pPr>
            <w:r w:rsidRPr="00CC7572">
              <w:rPr>
                <w:rFonts w:ascii="Arial" w:hAnsi="Arial" w:cs="Arial"/>
                <w:lang w:val="en"/>
              </w:rPr>
              <w:t xml:space="preserve">2)  </w:t>
            </w:r>
            <w:r w:rsidRPr="00CC7572">
              <w:rPr>
                <w:rFonts w:ascii="Arial" w:hAnsi="Arial" w:cs="Arial"/>
                <w:u w:val="single"/>
                <w:lang w:val="en"/>
              </w:rPr>
              <w:t>Goal 2</w:t>
            </w:r>
            <w:r w:rsidRPr="00CC7572">
              <w:rPr>
                <w:rFonts w:ascii="Arial" w:hAnsi="Arial" w:cs="Arial"/>
                <w:lang w:val="en"/>
              </w:rPr>
              <w:t xml:space="preserve">: To increase the protection of important biodiversity areas and restore degraded ecosystems to ensure that natural areas remain healthy and can support species conservation, by increasing the area of ​​conservation for biodiversity outside protected areas </w:t>
            </w:r>
            <w:r w:rsidRPr="00CC7572">
              <w:rPr>
                <w:rFonts w:ascii="Arial" w:hAnsi="Arial" w:cs="Arial"/>
                <w:color w:val="FF0000"/>
                <w:lang w:val="en"/>
              </w:rPr>
              <w:t xml:space="preserve">(OECMs) </w:t>
            </w:r>
            <w:r w:rsidRPr="00CC7572">
              <w:rPr>
                <w:rFonts w:ascii="Arial" w:hAnsi="Arial" w:cs="Arial"/>
                <w:lang w:val="en"/>
              </w:rPr>
              <w:t xml:space="preserve">and establishing appropriate rehabilitation and management measures; </w:t>
            </w:r>
          </w:p>
          <w:p w14:paraId="6F934E49" w14:textId="77777777" w:rsidR="00CC7572" w:rsidRPr="00CC7572" w:rsidRDefault="00CC7572" w:rsidP="008D367E">
            <w:pPr>
              <w:rPr>
                <w:rFonts w:ascii="Arial" w:hAnsi="Arial" w:cs="Arial"/>
                <w:lang w:val="en"/>
              </w:rPr>
            </w:pPr>
            <w:r w:rsidRPr="00CC7572">
              <w:rPr>
                <w:rFonts w:ascii="Arial" w:hAnsi="Arial" w:cs="Arial"/>
                <w:lang w:val="en"/>
              </w:rPr>
              <w:t xml:space="preserve">3) </w:t>
            </w:r>
            <w:r w:rsidRPr="00CC7572">
              <w:rPr>
                <w:rFonts w:ascii="Arial" w:hAnsi="Arial" w:cs="Arial"/>
                <w:u w:val="single"/>
                <w:lang w:val="en"/>
              </w:rPr>
              <w:t>Goal 3</w:t>
            </w:r>
            <w:r w:rsidRPr="00CC7572">
              <w:rPr>
                <w:rFonts w:ascii="Arial" w:hAnsi="Arial" w:cs="Arial"/>
                <w:lang w:val="en"/>
              </w:rPr>
              <w:t xml:space="preserve">: To enhance the conservation status of threatened species, by establishing appropriate protection and management measures; and </w:t>
            </w:r>
          </w:p>
          <w:p w14:paraId="012F3CC3" w14:textId="77777777" w:rsidR="00CC7572" w:rsidRPr="00CC7572" w:rsidRDefault="00CC7572" w:rsidP="008D367E">
            <w:pPr>
              <w:rPr>
                <w:rFonts w:ascii="Arial" w:hAnsi="Arial" w:cs="Arial"/>
                <w:lang w:val="en"/>
              </w:rPr>
            </w:pPr>
            <w:r w:rsidRPr="00CC7572">
              <w:rPr>
                <w:rFonts w:ascii="Arial" w:hAnsi="Arial" w:cs="Arial"/>
                <w:lang w:val="en"/>
              </w:rPr>
              <w:t xml:space="preserve">4) </w:t>
            </w:r>
            <w:r w:rsidRPr="00CC7572">
              <w:rPr>
                <w:rFonts w:ascii="Arial" w:hAnsi="Arial" w:cs="Arial"/>
                <w:u w:val="single"/>
                <w:lang w:val="en"/>
              </w:rPr>
              <w:t>Goal 4</w:t>
            </w:r>
            <w:r w:rsidRPr="00CC7572">
              <w:rPr>
                <w:rFonts w:ascii="Arial" w:hAnsi="Arial" w:cs="Arial"/>
                <w:lang w:val="en"/>
              </w:rPr>
              <w:t>: To enhance the resilience of ecosystems to climate change and pollution, by developing appropriate adaptation and management measures</w:t>
            </w:r>
            <w:r w:rsidR="004F496B">
              <w:rPr>
                <w:rFonts w:ascii="Arial" w:hAnsi="Arial" w:cs="Arial"/>
                <w:lang w:val="en"/>
              </w:rPr>
              <w:br/>
            </w:r>
          </w:p>
        </w:tc>
      </w:tr>
      <w:tr w:rsidR="00CC7572" w:rsidRPr="00CC7572" w14:paraId="6840D767" w14:textId="77777777" w:rsidTr="004F496B">
        <w:tc>
          <w:tcPr>
            <w:tcW w:w="4673" w:type="dxa"/>
          </w:tcPr>
          <w:p w14:paraId="41A1656A" w14:textId="77777777" w:rsidR="00CC7572" w:rsidRPr="00CC7572" w:rsidRDefault="00CC7572" w:rsidP="008D367E">
            <w:pPr>
              <w:rPr>
                <w:rFonts w:ascii="Arial" w:hAnsi="Arial" w:cs="Arial"/>
                <w:lang w:val="en"/>
              </w:rPr>
            </w:pPr>
            <w:r w:rsidRPr="00CC7572">
              <w:rPr>
                <w:rFonts w:ascii="Arial" w:hAnsi="Arial" w:cs="Arial"/>
                <w:b/>
                <w:bCs/>
                <w:lang w:val="en"/>
              </w:rPr>
              <w:lastRenderedPageBreak/>
              <w:t>Strategy 2</w:t>
            </w:r>
            <w:r w:rsidRPr="00CC7572">
              <w:rPr>
                <w:rFonts w:ascii="Arial" w:hAnsi="Arial" w:cs="Arial"/>
                <w:lang w:val="en"/>
              </w:rPr>
              <w:t xml:space="preserve">: </w:t>
            </w:r>
            <w:r w:rsidRPr="00CC7572">
              <w:rPr>
                <w:rFonts w:ascii="Arial" w:hAnsi="Arial" w:cs="Arial"/>
              </w:rPr>
              <w:t xml:space="preserve">Promote sustainable use of biodiversity resources in a way that is fair and beneficial to local communities, including the sustainable management of agricultural, forestry, tourism, and fisheries areas to ensure balanced and non-destructive use. The strategy aims </w:t>
            </w:r>
            <w:r w:rsidRPr="00CC7572">
              <w:rPr>
                <w:rFonts w:ascii="Arial" w:hAnsi="Arial" w:cs="Arial"/>
                <w:lang w:val="en"/>
              </w:rPr>
              <w:t xml:space="preserve">to increase the value and income of local communities from goods and services from biological resources, enforce regulations on access and benefit-sharing, and promote sustainable agriculture and sustainable forest management so that natural resources are used in a balanced and sustainable manner.  </w:t>
            </w:r>
          </w:p>
          <w:p w14:paraId="67BC5987" w14:textId="77777777" w:rsidR="00CC7572" w:rsidRPr="00CC7572" w:rsidRDefault="00CC7572" w:rsidP="008D367E">
            <w:pPr>
              <w:rPr>
                <w:rFonts w:ascii="Arial" w:hAnsi="Arial" w:cs="Arial"/>
                <w:lang w:val="en"/>
              </w:rPr>
            </w:pPr>
          </w:p>
        </w:tc>
        <w:tc>
          <w:tcPr>
            <w:tcW w:w="4678" w:type="dxa"/>
          </w:tcPr>
          <w:p w14:paraId="3FC37340" w14:textId="77777777" w:rsidR="00CC7572" w:rsidRPr="00CC7572" w:rsidRDefault="00CC7572" w:rsidP="008D367E">
            <w:pPr>
              <w:rPr>
                <w:rFonts w:ascii="Arial" w:hAnsi="Arial" w:cs="Arial"/>
              </w:rPr>
            </w:pPr>
            <w:r w:rsidRPr="00CC7572">
              <w:rPr>
                <w:rFonts w:ascii="Arial" w:hAnsi="Arial" w:cs="Arial"/>
              </w:rPr>
              <w:t xml:space="preserve">Three targets under strategy 2 include the following.  </w:t>
            </w:r>
          </w:p>
          <w:p w14:paraId="4829249C" w14:textId="77777777" w:rsidR="00CC7572" w:rsidRPr="00CC7572" w:rsidRDefault="00CC7572" w:rsidP="008D367E">
            <w:pPr>
              <w:rPr>
                <w:rFonts w:ascii="Arial" w:hAnsi="Arial" w:cs="Arial"/>
                <w:lang w:val="en"/>
              </w:rPr>
            </w:pPr>
            <w:r w:rsidRPr="00CC7572">
              <w:rPr>
                <w:rFonts w:ascii="Arial" w:hAnsi="Arial" w:cs="Arial"/>
              </w:rPr>
              <w:t xml:space="preserve">1) </w:t>
            </w:r>
            <w:r w:rsidRPr="00CC7572">
              <w:rPr>
                <w:rFonts w:ascii="Arial" w:hAnsi="Arial" w:cs="Arial"/>
                <w:u w:val="single"/>
                <w:lang w:val="en"/>
              </w:rPr>
              <w:t>Goal 5</w:t>
            </w:r>
            <w:r w:rsidRPr="00CC7572">
              <w:rPr>
                <w:rFonts w:ascii="Arial" w:hAnsi="Arial" w:cs="Arial"/>
                <w:lang w:val="en"/>
              </w:rPr>
              <w:t>: To increase the value and income of local communities from the bioresource base, by promoting a bio</w:t>
            </w:r>
            <w:r w:rsidR="004F496B">
              <w:rPr>
                <w:rFonts w:ascii="Arial" w:hAnsi="Arial" w:cs="Arial"/>
                <w:lang w:val="en"/>
              </w:rPr>
              <w:t>-</w:t>
            </w:r>
            <w:r w:rsidRPr="00CC7572">
              <w:rPr>
                <w:rFonts w:ascii="Arial" w:hAnsi="Arial" w:cs="Arial"/>
                <w:lang w:val="en"/>
              </w:rPr>
              <w:t xml:space="preserve">economy; </w:t>
            </w:r>
          </w:p>
          <w:p w14:paraId="6D6E3DA6" w14:textId="77777777" w:rsidR="00CC7572" w:rsidRPr="00CC7572" w:rsidRDefault="00CC7572" w:rsidP="008D367E">
            <w:pPr>
              <w:rPr>
                <w:rFonts w:ascii="Arial" w:hAnsi="Arial" w:cs="Arial"/>
              </w:rPr>
            </w:pPr>
            <w:r w:rsidRPr="00CC7572">
              <w:rPr>
                <w:rFonts w:ascii="Arial" w:hAnsi="Arial" w:cs="Arial"/>
                <w:lang w:val="en"/>
              </w:rPr>
              <w:t xml:space="preserve">2) </w:t>
            </w:r>
            <w:r w:rsidRPr="00CC7572">
              <w:rPr>
                <w:rFonts w:ascii="Arial" w:hAnsi="Arial" w:cs="Arial"/>
                <w:u w:val="single"/>
                <w:lang w:val="en"/>
              </w:rPr>
              <w:t>Goal 6:</w:t>
            </w:r>
            <w:r w:rsidRPr="00CC7572">
              <w:rPr>
                <w:rFonts w:ascii="Arial" w:hAnsi="Arial" w:cs="Arial"/>
                <w:lang w:val="en"/>
              </w:rPr>
              <w:t xml:space="preserve"> To improve the sustainable management of production and service sectors, including tourism, by establishing appropriate management measures, promoting sustainable agriculture, forestry, resource management, fisheries and tourism; </w:t>
            </w:r>
            <w:r w:rsidRPr="00CC7572">
              <w:rPr>
                <w:rFonts w:ascii="Arial" w:hAnsi="Arial" w:cs="Arial"/>
              </w:rPr>
              <w:t xml:space="preserve">and </w:t>
            </w:r>
          </w:p>
          <w:p w14:paraId="3940065C" w14:textId="77777777" w:rsidR="00CC7572" w:rsidRPr="00CC7572" w:rsidRDefault="00CC7572" w:rsidP="008D367E">
            <w:pPr>
              <w:rPr>
                <w:rFonts w:ascii="Arial" w:hAnsi="Arial" w:cs="Arial"/>
              </w:rPr>
            </w:pPr>
            <w:r w:rsidRPr="00CC7572">
              <w:rPr>
                <w:rFonts w:ascii="Arial" w:hAnsi="Arial" w:cs="Arial"/>
              </w:rPr>
              <w:t xml:space="preserve">3) </w:t>
            </w:r>
            <w:r w:rsidRPr="00CC7572">
              <w:rPr>
                <w:rFonts w:ascii="Arial" w:hAnsi="Arial" w:cs="Arial"/>
                <w:u w:val="single"/>
                <w:lang w:val="en"/>
              </w:rPr>
              <w:t>Goal 7</w:t>
            </w:r>
            <w:r w:rsidRPr="00CC7572">
              <w:rPr>
                <w:rFonts w:ascii="Arial" w:hAnsi="Arial" w:cs="Arial"/>
                <w:lang w:val="en"/>
              </w:rPr>
              <w:t>: To establish mechanisms for access and benefit-sharing from genetic resources, by promoting the implementation of mechanisms and regulations for access and benefit-sharing.</w:t>
            </w:r>
          </w:p>
        </w:tc>
      </w:tr>
      <w:tr w:rsidR="00CC7572" w:rsidRPr="00CC7572" w14:paraId="27FDC5CF" w14:textId="77777777" w:rsidTr="004F496B">
        <w:tc>
          <w:tcPr>
            <w:tcW w:w="4673" w:type="dxa"/>
          </w:tcPr>
          <w:p w14:paraId="1A947E69" w14:textId="77777777" w:rsidR="00CC7572" w:rsidRPr="00CC7572" w:rsidRDefault="00CC7572" w:rsidP="008D367E">
            <w:pPr>
              <w:rPr>
                <w:rFonts w:ascii="Arial" w:hAnsi="Arial" w:cs="Arial"/>
                <w:lang w:val="en"/>
              </w:rPr>
            </w:pPr>
            <w:r w:rsidRPr="00CC7572">
              <w:rPr>
                <w:rFonts w:ascii="Arial" w:hAnsi="Arial" w:cs="Arial"/>
                <w:b/>
                <w:bCs/>
                <w:lang w:val="en"/>
              </w:rPr>
              <w:t>Strategy 3</w:t>
            </w:r>
            <w:r w:rsidRPr="00CC7572">
              <w:rPr>
                <w:rFonts w:ascii="Arial" w:hAnsi="Arial" w:cs="Arial"/>
                <w:lang w:val="en"/>
              </w:rPr>
              <w:t xml:space="preserve">: </w:t>
            </w:r>
            <w:r w:rsidRPr="00CC7572">
              <w:rPr>
                <w:rFonts w:ascii="Arial" w:hAnsi="Arial" w:cs="Arial"/>
              </w:rPr>
              <w:t xml:space="preserve">Integrate the importance of biodiversity into national and sectoral policies, planning processes, and development projects, by incorporating biodiversity into policies and plans in all development. Strategy 3 </w:t>
            </w:r>
            <w:r w:rsidRPr="00CC7572">
              <w:rPr>
                <w:rFonts w:ascii="Arial" w:hAnsi="Arial" w:cs="Arial"/>
                <w:lang w:val="en"/>
              </w:rPr>
              <w:t>aims to focuses on integrating biodiversity into policies and plans of all sectors by promoting the establishment of at least five local biodiversity management plans and the disclosure of information on biodiversity of not less than 20 percent, which will enable national development and planning to coordinate and promote biodiversity conservation effectively.</w:t>
            </w:r>
          </w:p>
          <w:p w14:paraId="4DC23C83" w14:textId="77777777" w:rsidR="00CC7572" w:rsidRPr="00CC7572" w:rsidRDefault="00CC7572" w:rsidP="008D367E">
            <w:pPr>
              <w:rPr>
                <w:rFonts w:ascii="Arial" w:hAnsi="Arial" w:cs="Arial"/>
                <w:lang w:val="en"/>
              </w:rPr>
            </w:pPr>
          </w:p>
        </w:tc>
        <w:tc>
          <w:tcPr>
            <w:tcW w:w="4678" w:type="dxa"/>
          </w:tcPr>
          <w:p w14:paraId="2F985A89"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rPr>
              <w:t xml:space="preserve">Four targets under strategy 3 include the following.   </w:t>
            </w:r>
          </w:p>
          <w:p w14:paraId="02D617A9"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lang w:val="en"/>
              </w:rPr>
              <w:t xml:space="preserve">1) </w:t>
            </w:r>
            <w:r w:rsidRPr="00CC7572">
              <w:rPr>
                <w:rFonts w:ascii="Arial" w:hAnsi="Arial" w:cs="Arial"/>
                <w:sz w:val="24"/>
                <w:szCs w:val="24"/>
                <w:u w:val="single"/>
                <w:lang w:val="en"/>
              </w:rPr>
              <w:t>Goal 8</w:t>
            </w:r>
            <w:r w:rsidRPr="00CC7572">
              <w:rPr>
                <w:rFonts w:ascii="Arial" w:hAnsi="Arial" w:cs="Arial"/>
                <w:sz w:val="24"/>
                <w:szCs w:val="24"/>
                <w:lang w:val="en"/>
              </w:rPr>
              <w:t xml:space="preserve">: To integrate biodiversity into the operations of all sectors, by developing guidelines for integrating biodiversity management into the operations of various sectors and developing local biodiversity management plans; </w:t>
            </w:r>
          </w:p>
          <w:p w14:paraId="6A56525C"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lang w:val="en"/>
              </w:rPr>
              <w:t xml:space="preserve">2) </w:t>
            </w:r>
            <w:r w:rsidRPr="00CC7572">
              <w:rPr>
                <w:rFonts w:ascii="Arial" w:hAnsi="Arial" w:cs="Arial"/>
                <w:sz w:val="24"/>
                <w:szCs w:val="24"/>
                <w:u w:val="single"/>
                <w:lang w:val="en"/>
              </w:rPr>
              <w:t>Goal 9</w:t>
            </w:r>
            <w:r w:rsidRPr="00CC7572">
              <w:rPr>
                <w:rFonts w:ascii="Arial" w:hAnsi="Arial" w:cs="Arial"/>
                <w:sz w:val="24"/>
                <w:szCs w:val="24"/>
                <w:lang w:val="en"/>
              </w:rPr>
              <w:t xml:space="preserve">: To mobilize </w:t>
            </w:r>
            <w:r w:rsidRPr="00CC7572">
              <w:rPr>
                <w:rFonts w:ascii="Arial" w:hAnsi="Arial" w:cs="Arial"/>
                <w:color w:val="FF0000"/>
                <w:sz w:val="24"/>
                <w:szCs w:val="24"/>
                <w:lang w:val="en"/>
              </w:rPr>
              <w:t xml:space="preserve">financial resources </w:t>
            </w:r>
            <w:r w:rsidRPr="00CC7572">
              <w:rPr>
                <w:rFonts w:ascii="Arial" w:hAnsi="Arial" w:cs="Arial"/>
                <w:sz w:val="24"/>
                <w:szCs w:val="24"/>
                <w:lang w:val="en"/>
              </w:rPr>
              <w:t xml:space="preserve">for biodiversity conservation, by mobilizing financial resources from domestic and international sources; </w:t>
            </w:r>
          </w:p>
          <w:p w14:paraId="0CA27476"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lang w:val="en"/>
              </w:rPr>
              <w:t xml:space="preserve">3) </w:t>
            </w:r>
            <w:r w:rsidRPr="00CC7572">
              <w:rPr>
                <w:rFonts w:ascii="Arial" w:hAnsi="Arial" w:cs="Arial"/>
                <w:sz w:val="24"/>
                <w:szCs w:val="24"/>
                <w:u w:val="single"/>
                <w:lang w:val="en"/>
              </w:rPr>
              <w:t>Goal 10</w:t>
            </w:r>
            <w:r w:rsidRPr="00CC7572">
              <w:rPr>
                <w:rFonts w:ascii="Arial" w:hAnsi="Arial" w:cs="Arial"/>
                <w:sz w:val="24"/>
                <w:szCs w:val="24"/>
                <w:lang w:val="en"/>
              </w:rPr>
              <w:t xml:space="preserve">: Develop information and knowledge systems on biodiversity, including promoting awareness by developing information systems to support decision-making and raising awareness in various sectors; </w:t>
            </w:r>
          </w:p>
          <w:p w14:paraId="4F5A7F99"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lang w:val="en"/>
              </w:rPr>
              <w:t xml:space="preserve">4) </w:t>
            </w:r>
            <w:r w:rsidRPr="00CC7572">
              <w:rPr>
                <w:rFonts w:ascii="Arial" w:hAnsi="Arial" w:cs="Arial"/>
                <w:sz w:val="24"/>
                <w:szCs w:val="24"/>
                <w:u w:val="single"/>
                <w:lang w:val="en"/>
              </w:rPr>
              <w:t>Goal 11</w:t>
            </w:r>
            <w:r w:rsidRPr="00CC7572">
              <w:rPr>
                <w:rFonts w:ascii="Arial" w:hAnsi="Arial" w:cs="Arial"/>
                <w:sz w:val="24"/>
                <w:szCs w:val="24"/>
                <w:lang w:val="en"/>
              </w:rPr>
              <w:t xml:space="preserve">: Develop capacity and cooperation in technology transfer, including research, by exchanging knowledge and creating academic </w:t>
            </w:r>
            <w:r w:rsidRPr="00CC7572">
              <w:rPr>
                <w:rFonts w:ascii="Arial" w:hAnsi="Arial" w:cs="Arial"/>
                <w:sz w:val="24"/>
                <w:szCs w:val="24"/>
                <w:lang w:val="en"/>
              </w:rPr>
              <w:lastRenderedPageBreak/>
              <w:t xml:space="preserve">cooperation both domestically and internationally; and </w:t>
            </w:r>
          </w:p>
          <w:p w14:paraId="5DDDFB47"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lang w:val="en"/>
              </w:rPr>
              <w:t xml:space="preserve">5) </w:t>
            </w:r>
            <w:r w:rsidRPr="00CC7572">
              <w:rPr>
                <w:rFonts w:ascii="Arial" w:hAnsi="Arial" w:cs="Arial"/>
                <w:sz w:val="24"/>
                <w:szCs w:val="24"/>
                <w:u w:val="single"/>
                <w:lang w:val="en"/>
              </w:rPr>
              <w:t>Goal 12</w:t>
            </w:r>
            <w:r w:rsidRPr="00CC7572">
              <w:rPr>
                <w:rFonts w:ascii="Arial" w:hAnsi="Arial" w:cs="Arial"/>
                <w:sz w:val="24"/>
                <w:szCs w:val="24"/>
                <w:lang w:val="en"/>
              </w:rPr>
              <w:t>: Strengthen policy and legal frameworks for biodiversity by developing appropriate policy and legal frameworks.</w:t>
            </w:r>
          </w:p>
        </w:tc>
      </w:tr>
    </w:tbl>
    <w:p w14:paraId="4D9A6912" w14:textId="77777777" w:rsidR="00CC7572" w:rsidRPr="00CC7572" w:rsidRDefault="00CC7572" w:rsidP="00CC7572">
      <w:pPr>
        <w:rPr>
          <w:rFonts w:ascii="Arial" w:hAnsi="Arial" w:cs="Arial"/>
          <w:lang w:val="en"/>
        </w:rPr>
      </w:pPr>
    </w:p>
    <w:p w14:paraId="37BDAD55" w14:textId="77777777" w:rsidR="00CC7572" w:rsidRPr="00CC7572" w:rsidRDefault="00CC7572" w:rsidP="004F496B">
      <w:pPr>
        <w:spacing w:before="120"/>
        <w:rPr>
          <w:rFonts w:ascii="Arial" w:hAnsi="Arial" w:cs="Arial"/>
          <w:b/>
          <w:bCs/>
        </w:rPr>
      </w:pPr>
      <w:r w:rsidRPr="00CC7572">
        <w:rPr>
          <w:rFonts w:ascii="Arial" w:hAnsi="Arial" w:cs="Arial"/>
          <w:b/>
          <w:bCs/>
        </w:rPr>
        <w:t>h) The National Marine and Coastal Resources Management Policy (NMCRC) and Plan B.E. 2566-2570 (2023–2027)</w:t>
      </w:r>
    </w:p>
    <w:p w14:paraId="02AF6EE6" w14:textId="77777777" w:rsidR="00CC7572" w:rsidRPr="00CC7572" w:rsidRDefault="00CC7572" w:rsidP="004F496B">
      <w:pPr>
        <w:spacing w:before="120"/>
        <w:rPr>
          <w:rFonts w:ascii="Arial" w:hAnsi="Arial" w:cs="Arial"/>
        </w:rPr>
      </w:pPr>
      <w:r w:rsidRPr="00CC7572">
        <w:rPr>
          <w:rFonts w:ascii="Arial" w:hAnsi="Arial" w:cs="Arial"/>
        </w:rPr>
        <w:t>The National Marine and Coastal Resources Management Policy and Plan B.E. 2566-2570 (2023–2027) emphasizes the conservation, protection, restoration, and sustainable utilization of marine and coastal resources (DMCR 2024a). It aligns with the global Sustainable Development Goals (SDGs) and Thailand’s 20-Year National Strategy, ensuring that resource use is both efficient and equitable.</w:t>
      </w:r>
    </w:p>
    <w:p w14:paraId="1F3E18F1" w14:textId="77777777" w:rsidR="00CC7572" w:rsidRPr="00CC7572" w:rsidRDefault="00CC7572" w:rsidP="004F496B">
      <w:pPr>
        <w:spacing w:before="120"/>
        <w:rPr>
          <w:rFonts w:ascii="Arial" w:hAnsi="Arial" w:cs="Arial"/>
        </w:rPr>
      </w:pPr>
      <w:r w:rsidRPr="00CC7572">
        <w:rPr>
          <w:rFonts w:ascii="Arial" w:hAnsi="Arial" w:cs="Arial"/>
        </w:rPr>
        <w:t>The plan's vision is:</w:t>
      </w:r>
      <w:r w:rsidRPr="00CC7572">
        <w:rPr>
          <w:rFonts w:ascii="Arial" w:hAnsi="Arial" w:cs="Arial"/>
        </w:rPr>
        <w:br/>
        <w:t>"Marine and coastal resources are abundant, creating a balance between conservation and sustainable, fair utilization."</w:t>
      </w:r>
    </w:p>
    <w:p w14:paraId="2C4F8F8D" w14:textId="77777777" w:rsidR="00CC7572" w:rsidRPr="00CC7572" w:rsidRDefault="00CC7572" w:rsidP="004F496B">
      <w:pPr>
        <w:spacing w:before="120"/>
        <w:rPr>
          <w:rFonts w:ascii="Arial" w:hAnsi="Arial" w:cs="Arial"/>
        </w:rPr>
      </w:pPr>
      <w:r w:rsidRPr="00CC7572">
        <w:rPr>
          <w:rFonts w:ascii="Arial" w:hAnsi="Arial" w:cs="Arial"/>
        </w:rPr>
        <w:t>The plan sets out four main objectives:</w:t>
      </w:r>
    </w:p>
    <w:p w14:paraId="0342CEF8" w14:textId="77777777" w:rsidR="00CC7572" w:rsidRPr="00CC7572" w:rsidRDefault="00CC7572" w:rsidP="004F496B">
      <w:pPr>
        <w:numPr>
          <w:ilvl w:val="0"/>
          <w:numId w:val="10"/>
        </w:numPr>
        <w:spacing w:before="120"/>
        <w:rPr>
          <w:rFonts w:ascii="Arial" w:hAnsi="Arial" w:cs="Arial"/>
        </w:rPr>
      </w:pPr>
      <w:r w:rsidRPr="00CC7572">
        <w:rPr>
          <w:rFonts w:ascii="Arial" w:hAnsi="Arial" w:cs="Arial"/>
        </w:rPr>
        <w:t>To maintain the abundance of marine and coastal resources and achieve a balance between conservation and sustainable use.</w:t>
      </w:r>
    </w:p>
    <w:p w14:paraId="350AC328" w14:textId="77777777" w:rsidR="00CC7572" w:rsidRPr="00CC7572" w:rsidRDefault="00CC7572" w:rsidP="004F496B">
      <w:pPr>
        <w:numPr>
          <w:ilvl w:val="0"/>
          <w:numId w:val="10"/>
        </w:numPr>
        <w:spacing w:before="120"/>
        <w:rPr>
          <w:rFonts w:ascii="Arial" w:hAnsi="Arial" w:cs="Arial"/>
        </w:rPr>
      </w:pPr>
      <w:r w:rsidRPr="00CC7572">
        <w:rPr>
          <w:rFonts w:ascii="Arial" w:hAnsi="Arial" w:cs="Arial"/>
        </w:rPr>
        <w:t>To promote the sustainable and appropriate utilization of marine and coastal resources through inclusive participation from all sectors.</w:t>
      </w:r>
    </w:p>
    <w:p w14:paraId="78ED9ECF" w14:textId="77777777" w:rsidR="00CC7572" w:rsidRPr="00CC7572" w:rsidRDefault="00CC7572" w:rsidP="004F496B">
      <w:pPr>
        <w:numPr>
          <w:ilvl w:val="0"/>
          <w:numId w:val="10"/>
        </w:numPr>
        <w:spacing w:before="120"/>
        <w:rPr>
          <w:rFonts w:ascii="Arial" w:hAnsi="Arial" w:cs="Arial"/>
        </w:rPr>
      </w:pPr>
      <w:r w:rsidRPr="00CC7572">
        <w:rPr>
          <w:rFonts w:ascii="Arial" w:hAnsi="Arial" w:cs="Arial"/>
        </w:rPr>
        <w:t>To enhance the efficiency of management mechanisms and tools at national, regional, and international levels.</w:t>
      </w:r>
    </w:p>
    <w:p w14:paraId="4EF274C4" w14:textId="77777777" w:rsidR="00CC7572" w:rsidRPr="00CC7572" w:rsidRDefault="00CC7572" w:rsidP="004F496B">
      <w:pPr>
        <w:numPr>
          <w:ilvl w:val="0"/>
          <w:numId w:val="10"/>
        </w:numPr>
        <w:spacing w:before="120"/>
        <w:rPr>
          <w:rFonts w:ascii="Arial" w:hAnsi="Arial" w:cs="Arial"/>
        </w:rPr>
      </w:pPr>
      <w:r w:rsidRPr="00CC7572">
        <w:rPr>
          <w:rFonts w:ascii="Arial" w:hAnsi="Arial" w:cs="Arial"/>
        </w:rPr>
        <w:t>To sustainably and systematically prevent and address coastal erosion problems.</w:t>
      </w:r>
    </w:p>
    <w:p w14:paraId="46766FED" w14:textId="77777777" w:rsidR="00CC7572" w:rsidRPr="00CC7572" w:rsidRDefault="00CC7572" w:rsidP="004F496B">
      <w:pPr>
        <w:spacing w:before="120"/>
        <w:rPr>
          <w:rFonts w:ascii="Arial" w:hAnsi="Arial" w:cs="Arial"/>
        </w:rPr>
      </w:pPr>
      <w:r w:rsidRPr="00CC7572">
        <w:rPr>
          <w:rFonts w:ascii="Arial" w:hAnsi="Arial" w:cs="Arial"/>
        </w:rPr>
        <w:t>The plan identifies four key goals:</w:t>
      </w:r>
    </w:p>
    <w:p w14:paraId="48B0A014" w14:textId="77777777" w:rsidR="00CC7572" w:rsidRPr="00CC7572" w:rsidRDefault="00CC7572" w:rsidP="004F496B">
      <w:pPr>
        <w:numPr>
          <w:ilvl w:val="0"/>
          <w:numId w:val="11"/>
        </w:numPr>
        <w:spacing w:before="120"/>
        <w:rPr>
          <w:rFonts w:ascii="Arial" w:hAnsi="Arial" w:cs="Arial"/>
        </w:rPr>
      </w:pPr>
      <w:r w:rsidRPr="00CC7572">
        <w:rPr>
          <w:rFonts w:ascii="Arial" w:hAnsi="Arial" w:cs="Arial"/>
        </w:rPr>
        <w:t>Coastal and marine areas are effectively and systematically managed to conserve biodiversity.</w:t>
      </w:r>
    </w:p>
    <w:p w14:paraId="3AF9F5F5" w14:textId="77777777" w:rsidR="00CC7572" w:rsidRPr="00CC7572" w:rsidRDefault="00CC7572" w:rsidP="004F496B">
      <w:pPr>
        <w:numPr>
          <w:ilvl w:val="0"/>
          <w:numId w:val="11"/>
        </w:numPr>
        <w:spacing w:before="120"/>
        <w:rPr>
          <w:rFonts w:ascii="Arial" w:hAnsi="Arial" w:cs="Arial"/>
        </w:rPr>
      </w:pPr>
      <w:r w:rsidRPr="00CC7572">
        <w:rPr>
          <w:rFonts w:ascii="Arial" w:hAnsi="Arial" w:cs="Arial"/>
        </w:rPr>
        <w:t>Mangrove forest areas are increasing.</w:t>
      </w:r>
    </w:p>
    <w:p w14:paraId="225D97EA" w14:textId="77777777" w:rsidR="00CC7572" w:rsidRPr="00CC7572" w:rsidRDefault="00CC7572" w:rsidP="004F496B">
      <w:pPr>
        <w:numPr>
          <w:ilvl w:val="0"/>
          <w:numId w:val="11"/>
        </w:numPr>
        <w:spacing w:before="120"/>
        <w:rPr>
          <w:rFonts w:ascii="Arial" w:hAnsi="Arial" w:cs="Arial"/>
        </w:rPr>
      </w:pPr>
      <w:r w:rsidRPr="00CC7572">
        <w:rPr>
          <w:rFonts w:ascii="Arial" w:hAnsi="Arial" w:cs="Arial"/>
        </w:rPr>
        <w:t>Damage, risk, and impacts from natural disasters and climate change are reduced.</w:t>
      </w:r>
    </w:p>
    <w:p w14:paraId="7B99B2A9" w14:textId="77777777" w:rsidR="00CC7572" w:rsidRPr="00CC7572" w:rsidRDefault="00CC7572" w:rsidP="004F496B">
      <w:pPr>
        <w:numPr>
          <w:ilvl w:val="0"/>
          <w:numId w:val="11"/>
        </w:numPr>
        <w:spacing w:before="120"/>
        <w:rPr>
          <w:rFonts w:ascii="Arial" w:hAnsi="Arial" w:cs="Arial"/>
        </w:rPr>
      </w:pPr>
      <w:r w:rsidRPr="00CC7572">
        <w:rPr>
          <w:rFonts w:ascii="Arial" w:hAnsi="Arial" w:cs="Arial"/>
        </w:rPr>
        <w:t>The quality of Thailand’s marine environment improves sustainably.</w:t>
      </w:r>
    </w:p>
    <w:p w14:paraId="5268089C" w14:textId="77777777" w:rsidR="00CC7572" w:rsidRPr="00CC7572" w:rsidRDefault="00CC7572" w:rsidP="004F496B">
      <w:pPr>
        <w:spacing w:before="120"/>
        <w:rPr>
          <w:rFonts w:ascii="Arial" w:hAnsi="Arial" w:cs="Arial"/>
        </w:rPr>
      </w:pPr>
      <w:r w:rsidRPr="00CC7572">
        <w:rPr>
          <w:rFonts w:ascii="Arial" w:hAnsi="Arial" w:cs="Arial"/>
        </w:rPr>
        <w:t>To achieve these goals, the plan outlines five sub-plans and guidelines, as detailed in Table</w:t>
      </w:r>
      <w:r w:rsidRPr="00CC7572">
        <w:rPr>
          <w:rFonts w:ascii="Arial" w:hAnsi="Arial" w:cs="Arial"/>
          <w:b/>
          <w:bCs/>
        </w:rPr>
        <w:t xml:space="preserve"> 3</w:t>
      </w:r>
      <w:r w:rsidRPr="00CC7572">
        <w:rPr>
          <w:rFonts w:ascii="Arial" w:hAnsi="Arial" w:cs="Arial"/>
        </w:rPr>
        <w:t>.</w:t>
      </w:r>
    </w:p>
    <w:p w14:paraId="7C1F3564" w14:textId="77777777" w:rsidR="00CC7572" w:rsidRPr="00CC7572" w:rsidRDefault="00CC7572" w:rsidP="00CC7572">
      <w:pPr>
        <w:rPr>
          <w:rFonts w:ascii="Arial" w:hAnsi="Arial" w:cs="Arial"/>
        </w:rPr>
      </w:pPr>
      <w:r w:rsidRPr="00CC7572">
        <w:rPr>
          <w:rFonts w:ascii="Arial" w:hAnsi="Arial" w:cs="Arial"/>
        </w:rPr>
        <w:br w:type="page"/>
      </w:r>
    </w:p>
    <w:p w14:paraId="54502CAC" w14:textId="77777777" w:rsidR="00CC7572" w:rsidRPr="00CC7572" w:rsidRDefault="00CC7572" w:rsidP="00CC7572">
      <w:pPr>
        <w:pStyle w:val="ListParagraph"/>
        <w:ind w:left="0"/>
        <w:jc w:val="both"/>
        <w:rPr>
          <w:rFonts w:ascii="Arial" w:hAnsi="Arial" w:cs="Arial"/>
          <w:sz w:val="24"/>
          <w:szCs w:val="24"/>
        </w:rPr>
      </w:pPr>
      <w:r w:rsidRPr="00CC7572">
        <w:rPr>
          <w:rFonts w:ascii="Arial" w:hAnsi="Arial" w:cs="Arial"/>
          <w:sz w:val="24"/>
          <w:szCs w:val="24"/>
        </w:rPr>
        <w:lastRenderedPageBreak/>
        <w:t xml:space="preserve">Table 3: Sub-plans and guidelines pertaining to the National Marine and Coastal Resources Management Policy and Plan (2023-2027) </w:t>
      </w:r>
    </w:p>
    <w:tbl>
      <w:tblPr>
        <w:tblStyle w:val="TableGrid"/>
        <w:tblW w:w="0" w:type="auto"/>
        <w:tblLook w:val="04A0" w:firstRow="1" w:lastRow="0" w:firstColumn="1" w:lastColumn="0" w:noHBand="0" w:noVBand="1"/>
      </w:tblPr>
      <w:tblGrid>
        <w:gridCol w:w="4508"/>
        <w:gridCol w:w="4508"/>
      </w:tblGrid>
      <w:tr w:rsidR="00CC7572" w:rsidRPr="00CC7572" w14:paraId="3963056A" w14:textId="77777777" w:rsidTr="004F496B">
        <w:trPr>
          <w:tblHeader/>
        </w:trPr>
        <w:tc>
          <w:tcPr>
            <w:tcW w:w="4508" w:type="dxa"/>
          </w:tcPr>
          <w:p w14:paraId="22CE9954" w14:textId="77777777" w:rsidR="00CC7572" w:rsidRPr="004F496B" w:rsidRDefault="00CC7572" w:rsidP="008D367E">
            <w:pPr>
              <w:pStyle w:val="ListParagraph"/>
              <w:ind w:left="0"/>
              <w:jc w:val="both"/>
              <w:rPr>
                <w:rFonts w:ascii="Arial" w:hAnsi="Arial" w:cs="Arial"/>
                <w:b/>
                <w:bCs/>
                <w:sz w:val="24"/>
                <w:szCs w:val="24"/>
              </w:rPr>
            </w:pPr>
            <w:r w:rsidRPr="004F496B">
              <w:rPr>
                <w:rFonts w:ascii="Arial" w:hAnsi="Arial" w:cs="Arial"/>
                <w:b/>
                <w:bCs/>
                <w:sz w:val="24"/>
                <w:szCs w:val="24"/>
              </w:rPr>
              <w:t xml:space="preserve">Sub-plan </w:t>
            </w:r>
          </w:p>
        </w:tc>
        <w:tc>
          <w:tcPr>
            <w:tcW w:w="4508" w:type="dxa"/>
          </w:tcPr>
          <w:p w14:paraId="6ADCF2FF" w14:textId="77777777" w:rsidR="00CC7572" w:rsidRPr="004F496B" w:rsidRDefault="00CC7572" w:rsidP="008D367E">
            <w:pPr>
              <w:pStyle w:val="ListParagraph"/>
              <w:ind w:left="0"/>
              <w:jc w:val="both"/>
              <w:rPr>
                <w:rFonts w:ascii="Arial" w:hAnsi="Arial" w:cs="Arial"/>
                <w:b/>
                <w:bCs/>
                <w:sz w:val="24"/>
                <w:szCs w:val="24"/>
              </w:rPr>
            </w:pPr>
            <w:r w:rsidRPr="004F496B">
              <w:rPr>
                <w:rFonts w:ascii="Arial" w:hAnsi="Arial" w:cs="Arial"/>
                <w:b/>
                <w:bCs/>
                <w:sz w:val="24"/>
                <w:szCs w:val="24"/>
              </w:rPr>
              <w:t xml:space="preserve">Guidelines </w:t>
            </w:r>
          </w:p>
        </w:tc>
      </w:tr>
      <w:tr w:rsidR="00CC7572" w:rsidRPr="00CC7572" w14:paraId="059E779F" w14:textId="77777777" w:rsidTr="008D367E">
        <w:tc>
          <w:tcPr>
            <w:tcW w:w="4508" w:type="dxa"/>
          </w:tcPr>
          <w:p w14:paraId="26D39930" w14:textId="77777777" w:rsidR="00CC7572" w:rsidRPr="00CC7572" w:rsidRDefault="00CC7572" w:rsidP="008D367E">
            <w:pPr>
              <w:pStyle w:val="ListParagraph"/>
              <w:ind w:left="29"/>
              <w:rPr>
                <w:rFonts w:ascii="Arial" w:hAnsi="Arial" w:cs="Arial"/>
                <w:sz w:val="24"/>
                <w:szCs w:val="24"/>
                <w:lang w:val="en"/>
              </w:rPr>
            </w:pPr>
            <w:r w:rsidRPr="00CC7572">
              <w:rPr>
                <w:rFonts w:ascii="Arial" w:hAnsi="Arial" w:cs="Arial"/>
                <w:sz w:val="24"/>
                <w:szCs w:val="24"/>
              </w:rPr>
              <w:t xml:space="preserve">Sub-plan one: </w:t>
            </w:r>
            <w:r w:rsidRPr="00CC7572">
              <w:rPr>
                <w:rFonts w:ascii="Arial" w:hAnsi="Arial" w:cs="Arial"/>
                <w:sz w:val="24"/>
                <w:szCs w:val="24"/>
                <w:lang w:val="en"/>
              </w:rPr>
              <w:t>Conserve, protect, restore, and prevent marine and coastal resources with 5 guidelines</w:t>
            </w:r>
          </w:p>
        </w:tc>
        <w:tc>
          <w:tcPr>
            <w:tcW w:w="4508" w:type="dxa"/>
          </w:tcPr>
          <w:p w14:paraId="1EA88C93" w14:textId="77777777" w:rsidR="00CC7572" w:rsidRPr="00CC7572" w:rsidRDefault="00CC7572" w:rsidP="008D367E">
            <w:pPr>
              <w:pStyle w:val="ListParagraph"/>
              <w:ind w:left="57"/>
              <w:rPr>
                <w:rFonts w:ascii="Arial" w:hAnsi="Arial" w:cs="Arial"/>
                <w:sz w:val="24"/>
                <w:szCs w:val="24"/>
                <w:lang w:val="en"/>
              </w:rPr>
            </w:pPr>
            <w:r w:rsidRPr="00CC7572">
              <w:rPr>
                <w:rFonts w:ascii="Arial" w:hAnsi="Arial" w:cs="Arial"/>
                <w:sz w:val="24"/>
                <w:szCs w:val="24"/>
                <w:lang w:val="en"/>
              </w:rPr>
              <w:t xml:space="preserve">Guideline 1.1 Conserve and maintain marine and coastal resources as a basis for balanced and sustainable national development; </w:t>
            </w:r>
          </w:p>
          <w:p w14:paraId="4325977A" w14:textId="77777777" w:rsidR="00CC7572" w:rsidRPr="00CC7572" w:rsidRDefault="00CC7572" w:rsidP="008D367E">
            <w:pPr>
              <w:pStyle w:val="ListParagraph"/>
              <w:ind w:left="57"/>
              <w:rPr>
                <w:rFonts w:ascii="Arial" w:hAnsi="Arial" w:cs="Arial"/>
                <w:sz w:val="24"/>
                <w:szCs w:val="24"/>
                <w:lang w:val="en"/>
              </w:rPr>
            </w:pPr>
            <w:r w:rsidRPr="00CC7572">
              <w:rPr>
                <w:rFonts w:ascii="Arial" w:hAnsi="Arial" w:cs="Arial"/>
                <w:sz w:val="24"/>
                <w:szCs w:val="24"/>
                <w:lang w:val="en"/>
              </w:rPr>
              <w:t xml:space="preserve">Guideline 1.2 Restore and rebuild marine and coastal resource bases to reduce negative impacts from the country's social and economic development; </w:t>
            </w:r>
          </w:p>
          <w:p w14:paraId="14310661" w14:textId="77777777" w:rsidR="00CC7572" w:rsidRPr="00CC7572" w:rsidRDefault="00CC7572" w:rsidP="008D367E">
            <w:pPr>
              <w:pStyle w:val="ListParagraph"/>
              <w:ind w:left="57"/>
              <w:rPr>
                <w:rFonts w:ascii="Arial" w:hAnsi="Arial" w:cs="Arial"/>
                <w:color w:val="FF0000"/>
                <w:sz w:val="24"/>
                <w:szCs w:val="24"/>
                <w:lang w:val="en"/>
              </w:rPr>
            </w:pPr>
            <w:r w:rsidRPr="00CC7572">
              <w:rPr>
                <w:rFonts w:ascii="Arial" w:hAnsi="Arial" w:cs="Arial"/>
                <w:sz w:val="24"/>
                <w:szCs w:val="24"/>
                <w:lang w:val="en"/>
              </w:rPr>
              <w:t xml:space="preserve">Guideline 1.3 </w:t>
            </w:r>
            <w:r w:rsidRPr="00CC7572">
              <w:rPr>
                <w:rFonts w:ascii="Arial" w:hAnsi="Arial" w:cs="Arial"/>
                <w:color w:val="FF0000"/>
                <w:sz w:val="24"/>
                <w:szCs w:val="24"/>
                <w:lang w:val="en"/>
              </w:rPr>
              <w:t xml:space="preserve">Drive action to achieve the goal of protecting and conserving biodiversity by 30% by 2030 </w:t>
            </w:r>
            <w:r w:rsidRPr="00CC7572">
              <w:rPr>
                <w:rStyle w:val="FootnoteReference"/>
                <w:rFonts w:ascii="Arial" w:hAnsi="Arial" w:cs="Arial"/>
                <w:color w:val="FF0000"/>
                <w:sz w:val="24"/>
                <w:szCs w:val="24"/>
                <w:lang w:val="en"/>
              </w:rPr>
              <w:footnoteReference w:id="1"/>
            </w:r>
            <w:r w:rsidRPr="00CC7572">
              <w:rPr>
                <w:rFonts w:ascii="Arial" w:hAnsi="Arial" w:cs="Arial"/>
                <w:color w:val="FF0000"/>
                <w:sz w:val="24"/>
                <w:szCs w:val="24"/>
                <w:lang w:val="en"/>
              </w:rPr>
              <w:t xml:space="preserve"> </w:t>
            </w:r>
          </w:p>
          <w:p w14:paraId="37CE6FA9" w14:textId="77777777" w:rsidR="00CC7572" w:rsidRPr="00CC7572" w:rsidRDefault="00CC7572" w:rsidP="008D367E">
            <w:pPr>
              <w:pStyle w:val="ListParagraph"/>
              <w:ind w:left="57"/>
              <w:rPr>
                <w:rFonts w:ascii="Arial" w:hAnsi="Arial" w:cs="Arial"/>
                <w:sz w:val="24"/>
                <w:szCs w:val="24"/>
                <w:lang w:val="en"/>
              </w:rPr>
            </w:pPr>
            <w:r w:rsidRPr="00CC7572">
              <w:rPr>
                <w:rFonts w:ascii="Arial" w:hAnsi="Arial" w:cs="Arial"/>
                <w:sz w:val="24"/>
                <w:szCs w:val="24"/>
                <w:lang w:val="en"/>
              </w:rPr>
              <w:t>Guideline 1.4 Restoration of aquatic animal resources and maintenance of their abundance at a level that provides maximum sustainable productivity; and Guideline 1.5 Promote and support the intelligent and sustainable management of marine mineral and energy resources.</w:t>
            </w:r>
          </w:p>
        </w:tc>
      </w:tr>
      <w:tr w:rsidR="00CC7572" w:rsidRPr="00CC7572" w14:paraId="3B78882C" w14:textId="77777777" w:rsidTr="008D367E">
        <w:tc>
          <w:tcPr>
            <w:tcW w:w="4508" w:type="dxa"/>
          </w:tcPr>
          <w:p w14:paraId="2B5FBE58"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lang w:val="en"/>
              </w:rPr>
              <w:t>Sub-plan two: Promote and support the development of the blue economy based on the balanced and sustainable use of marine and coastal resources with 5 guidelines</w:t>
            </w:r>
          </w:p>
        </w:tc>
        <w:tc>
          <w:tcPr>
            <w:tcW w:w="4508" w:type="dxa"/>
          </w:tcPr>
          <w:p w14:paraId="1315F68F" w14:textId="77777777" w:rsidR="00CC7572" w:rsidRPr="00CC7572" w:rsidRDefault="00CC7572" w:rsidP="008D367E">
            <w:pPr>
              <w:pStyle w:val="ListParagraph"/>
              <w:ind w:left="57"/>
              <w:rPr>
                <w:rFonts w:ascii="Arial" w:hAnsi="Arial" w:cs="Arial"/>
                <w:sz w:val="24"/>
                <w:szCs w:val="24"/>
                <w:lang w:val="en"/>
              </w:rPr>
            </w:pPr>
            <w:r w:rsidRPr="00CC7572">
              <w:rPr>
                <w:rFonts w:ascii="Arial" w:hAnsi="Arial" w:cs="Arial"/>
                <w:sz w:val="24"/>
                <w:szCs w:val="24"/>
                <w:lang w:val="en"/>
              </w:rPr>
              <w:t xml:space="preserve">Guideline 2.1: Increase efficiency in marine litter management and proactive control of marine and coastal pollution; </w:t>
            </w:r>
          </w:p>
          <w:p w14:paraId="4CA09574" w14:textId="77777777" w:rsidR="00CC7572" w:rsidRPr="00CC7572" w:rsidRDefault="00CC7572" w:rsidP="008D367E">
            <w:pPr>
              <w:pStyle w:val="ListParagraph"/>
              <w:ind w:left="57"/>
              <w:rPr>
                <w:rFonts w:ascii="Arial" w:hAnsi="Arial" w:cs="Arial"/>
                <w:sz w:val="24"/>
                <w:szCs w:val="24"/>
                <w:lang w:val="en"/>
              </w:rPr>
            </w:pPr>
            <w:r w:rsidRPr="00CC7572">
              <w:rPr>
                <w:rFonts w:ascii="Arial" w:hAnsi="Arial" w:cs="Arial"/>
                <w:sz w:val="24"/>
                <w:szCs w:val="24"/>
                <w:lang w:val="en"/>
              </w:rPr>
              <w:t xml:space="preserve">Guideline 2.2 Support the development of marine and coastal industries to be environmentally friendly and sustainable; </w:t>
            </w:r>
          </w:p>
          <w:p w14:paraId="4792643F" w14:textId="77777777" w:rsidR="00CC7572" w:rsidRPr="00CC7572" w:rsidRDefault="00CC7572" w:rsidP="008D367E">
            <w:pPr>
              <w:rPr>
                <w:rFonts w:ascii="Arial" w:hAnsi="Arial" w:cs="Arial"/>
                <w:lang w:val="en"/>
              </w:rPr>
            </w:pPr>
            <w:r w:rsidRPr="00CC7572">
              <w:rPr>
                <w:rFonts w:ascii="Arial" w:hAnsi="Arial" w:cs="Arial"/>
                <w:lang w:val="en"/>
              </w:rPr>
              <w:t xml:space="preserve">Guideline 2.3 </w:t>
            </w:r>
            <w:r w:rsidRPr="00CC7572">
              <w:rPr>
                <w:rFonts w:ascii="Arial" w:hAnsi="Arial" w:cs="Arial"/>
                <w:color w:val="FF0000"/>
                <w:lang w:val="en"/>
              </w:rPr>
              <w:t xml:space="preserve">Support and promote spatial management of marine and coastal resources </w:t>
            </w:r>
            <w:r w:rsidRPr="00CC7572">
              <w:rPr>
                <w:rStyle w:val="FootnoteReference"/>
                <w:rFonts w:ascii="Arial" w:hAnsi="Arial" w:cs="Arial"/>
                <w:color w:val="FF0000"/>
                <w:sz w:val="24"/>
                <w:szCs w:val="24"/>
                <w:lang w:val="en"/>
              </w:rPr>
              <w:footnoteReference w:id="2"/>
            </w:r>
            <w:r w:rsidRPr="00CC7572">
              <w:rPr>
                <w:rFonts w:ascii="Arial" w:hAnsi="Arial" w:cs="Arial"/>
                <w:lang w:val="en"/>
              </w:rPr>
              <w:t xml:space="preserve">; </w:t>
            </w:r>
          </w:p>
          <w:p w14:paraId="561CAE4F" w14:textId="77777777" w:rsidR="00CC7572" w:rsidRPr="00CC7572" w:rsidRDefault="00CC7572" w:rsidP="008D367E">
            <w:pPr>
              <w:rPr>
                <w:rFonts w:ascii="Arial" w:hAnsi="Arial" w:cs="Arial"/>
                <w:lang w:val="en"/>
              </w:rPr>
            </w:pPr>
            <w:r w:rsidRPr="00CC7572">
              <w:rPr>
                <w:rFonts w:ascii="Arial" w:hAnsi="Arial" w:cs="Arial"/>
                <w:lang w:val="en"/>
              </w:rPr>
              <w:lastRenderedPageBreak/>
              <w:t xml:space="preserve">Guideline 2.4 Effectively control fishing operations and promote sustainable fisheries development; and  </w:t>
            </w:r>
          </w:p>
          <w:p w14:paraId="2557FC58" w14:textId="77777777" w:rsidR="00CC7572" w:rsidRPr="00CC7572" w:rsidRDefault="00CC7572" w:rsidP="008D367E">
            <w:pPr>
              <w:rPr>
                <w:rFonts w:ascii="Arial" w:hAnsi="Arial" w:cs="Arial"/>
                <w:lang w:val="en"/>
              </w:rPr>
            </w:pPr>
            <w:r w:rsidRPr="00CC7572">
              <w:rPr>
                <w:rFonts w:ascii="Arial" w:hAnsi="Arial" w:cs="Arial"/>
                <w:lang w:val="en"/>
              </w:rPr>
              <w:t>Guideline 2.5 Promote sustainable marine and coastal tourism development and control tourism that creates negative impacts.</w:t>
            </w:r>
          </w:p>
        </w:tc>
      </w:tr>
      <w:tr w:rsidR="00CC7572" w:rsidRPr="00CC7572" w14:paraId="7474F323" w14:textId="77777777" w:rsidTr="008D367E">
        <w:tc>
          <w:tcPr>
            <w:tcW w:w="4508" w:type="dxa"/>
          </w:tcPr>
          <w:p w14:paraId="1A0CCF69" w14:textId="77777777" w:rsidR="00CC7572" w:rsidRPr="00CC7572" w:rsidRDefault="00CC7572" w:rsidP="008D367E">
            <w:pPr>
              <w:pStyle w:val="ListParagraph"/>
              <w:ind w:left="0"/>
              <w:jc w:val="both"/>
              <w:rPr>
                <w:rFonts w:ascii="Arial" w:hAnsi="Arial" w:cs="Arial"/>
                <w:sz w:val="24"/>
                <w:szCs w:val="24"/>
                <w:lang w:val="en"/>
              </w:rPr>
            </w:pPr>
            <w:r w:rsidRPr="00CC7572">
              <w:rPr>
                <w:rFonts w:ascii="Arial" w:hAnsi="Arial" w:cs="Arial"/>
                <w:sz w:val="24"/>
                <w:szCs w:val="24"/>
                <w:lang w:val="en"/>
              </w:rPr>
              <w:lastRenderedPageBreak/>
              <w:t>Sub-plan three: Strengthen the efficiency of tools and mechanisms to support integrated marine and coastal resource management with 7 guidelines</w:t>
            </w:r>
          </w:p>
        </w:tc>
        <w:tc>
          <w:tcPr>
            <w:tcW w:w="4508" w:type="dxa"/>
          </w:tcPr>
          <w:p w14:paraId="787DB74C" w14:textId="77777777" w:rsidR="00CC7572" w:rsidRPr="00CC7572" w:rsidRDefault="00CC7572" w:rsidP="008D367E">
            <w:pPr>
              <w:pStyle w:val="FootnoteText"/>
              <w:rPr>
                <w:rFonts w:ascii="Arial" w:hAnsi="Arial" w:cs="Arial"/>
                <w:sz w:val="24"/>
                <w:szCs w:val="24"/>
                <w:lang w:val="en"/>
              </w:rPr>
            </w:pPr>
            <w:r w:rsidRPr="00CC7572">
              <w:rPr>
                <w:rFonts w:ascii="Arial" w:hAnsi="Arial" w:cs="Arial"/>
                <w:sz w:val="24"/>
                <w:szCs w:val="24"/>
                <w:lang w:val="en"/>
              </w:rPr>
              <w:t xml:space="preserve">Guideline 3.1 Strengthen the role and capacity of the Provincial Marine and Coastal Resources Committee; </w:t>
            </w:r>
          </w:p>
          <w:p w14:paraId="09EDDBBE" w14:textId="77777777" w:rsidR="00CC7572" w:rsidRPr="00CC7572" w:rsidRDefault="00CC7572" w:rsidP="008D367E">
            <w:pPr>
              <w:pStyle w:val="FootnoteText"/>
              <w:rPr>
                <w:rFonts w:ascii="Arial" w:hAnsi="Arial" w:cs="Arial"/>
                <w:sz w:val="24"/>
                <w:szCs w:val="24"/>
                <w:lang w:val="en"/>
              </w:rPr>
            </w:pPr>
            <w:r w:rsidRPr="00CC7572">
              <w:rPr>
                <w:rFonts w:ascii="Arial" w:hAnsi="Arial" w:cs="Arial"/>
                <w:sz w:val="24"/>
                <w:szCs w:val="24"/>
                <w:lang w:val="en"/>
              </w:rPr>
              <w:t xml:space="preserve">Guideline 3.2 Integrate modern marine and coastal resources information management systems that cover all dimensions and serve as standards for use in management of all sectors; Guideline 3.3: Create economic tools and promote the integration of cooperation from various sectors in the management of marine and coastal resources; </w:t>
            </w:r>
          </w:p>
          <w:p w14:paraId="0513C8B1" w14:textId="77777777" w:rsidR="00CC7572" w:rsidRPr="00CC7572" w:rsidRDefault="00CC7572" w:rsidP="008D367E">
            <w:pPr>
              <w:pStyle w:val="FootnoteText"/>
              <w:rPr>
                <w:rFonts w:ascii="Arial" w:hAnsi="Arial" w:cs="Arial"/>
                <w:sz w:val="24"/>
                <w:szCs w:val="24"/>
                <w:lang w:val="en"/>
              </w:rPr>
            </w:pPr>
            <w:r w:rsidRPr="00CC7572">
              <w:rPr>
                <w:rFonts w:ascii="Arial" w:hAnsi="Arial" w:cs="Arial"/>
                <w:sz w:val="24"/>
                <w:szCs w:val="24"/>
                <w:lang w:val="en"/>
              </w:rPr>
              <w:t xml:space="preserve">Guideline 3.4 Promote participation and support for coastal communities and local administrative organizations in terms of organization, networks, knowledge, roles, tools, and budget for management; </w:t>
            </w:r>
          </w:p>
          <w:p w14:paraId="6306D869" w14:textId="77777777" w:rsidR="00CC7572" w:rsidRPr="00CC7572" w:rsidRDefault="00CC7572" w:rsidP="008D367E">
            <w:pPr>
              <w:pStyle w:val="FootnoteText"/>
              <w:rPr>
                <w:rFonts w:ascii="Arial" w:hAnsi="Arial" w:cs="Arial"/>
                <w:sz w:val="24"/>
                <w:szCs w:val="24"/>
                <w:lang w:val="en"/>
              </w:rPr>
            </w:pPr>
            <w:r w:rsidRPr="00CC7572">
              <w:rPr>
                <w:rFonts w:ascii="Arial" w:hAnsi="Arial" w:cs="Arial"/>
                <w:sz w:val="24"/>
                <w:szCs w:val="24"/>
                <w:lang w:val="en"/>
              </w:rPr>
              <w:t xml:space="preserve">Guideline 3.5: Continuously strengthen human resource potential, academic knowledge in research, and management of marine and coastal resources; </w:t>
            </w:r>
          </w:p>
          <w:p w14:paraId="18A91122" w14:textId="77777777" w:rsidR="00CC7572" w:rsidRPr="00CC7572" w:rsidRDefault="00CC7572" w:rsidP="008D367E">
            <w:pPr>
              <w:pStyle w:val="FootnoteText"/>
              <w:rPr>
                <w:rFonts w:ascii="Arial" w:hAnsi="Arial" w:cs="Arial"/>
                <w:sz w:val="24"/>
                <w:szCs w:val="24"/>
                <w:lang w:val="en"/>
              </w:rPr>
            </w:pPr>
            <w:r w:rsidRPr="00CC7572">
              <w:rPr>
                <w:rFonts w:ascii="Arial" w:hAnsi="Arial" w:cs="Arial"/>
                <w:sz w:val="24"/>
                <w:szCs w:val="24"/>
                <w:lang w:val="en"/>
              </w:rPr>
              <w:t xml:space="preserve">Guideline 3.6 Develop and promote knowledge and understanding of sustainable use of marine and coastal resources to all sectors; and </w:t>
            </w:r>
          </w:p>
          <w:p w14:paraId="290308CA" w14:textId="77777777" w:rsidR="00CC7572" w:rsidRPr="00CC7572" w:rsidRDefault="00CC7572" w:rsidP="008D367E">
            <w:pPr>
              <w:pStyle w:val="FootnoteText"/>
              <w:rPr>
                <w:rFonts w:ascii="Arial" w:hAnsi="Arial" w:cs="Arial"/>
                <w:sz w:val="24"/>
                <w:szCs w:val="24"/>
              </w:rPr>
            </w:pPr>
            <w:r w:rsidRPr="00CC7572">
              <w:rPr>
                <w:rFonts w:ascii="Arial" w:hAnsi="Arial" w:cs="Arial"/>
                <w:sz w:val="24"/>
                <w:szCs w:val="24"/>
                <w:lang w:val="en"/>
              </w:rPr>
              <w:t>Guideline 3.7 Research and develop innovations in marine and coastal resources for sustainable resource management</w:t>
            </w:r>
          </w:p>
        </w:tc>
      </w:tr>
      <w:tr w:rsidR="00CC7572" w:rsidRPr="00CC7572" w14:paraId="01449229" w14:textId="77777777" w:rsidTr="008D367E">
        <w:tc>
          <w:tcPr>
            <w:tcW w:w="4508" w:type="dxa"/>
          </w:tcPr>
          <w:p w14:paraId="45A08A0A" w14:textId="77777777" w:rsidR="00CC7572" w:rsidRPr="00CC7572" w:rsidRDefault="00CC7572" w:rsidP="008D367E">
            <w:pPr>
              <w:pStyle w:val="ListParagraph"/>
              <w:ind w:left="0"/>
              <w:jc w:val="both"/>
              <w:rPr>
                <w:rFonts w:ascii="Arial" w:hAnsi="Arial" w:cs="Arial"/>
                <w:sz w:val="24"/>
                <w:szCs w:val="24"/>
                <w:lang w:val="en"/>
              </w:rPr>
            </w:pPr>
            <w:r w:rsidRPr="00CC7572">
              <w:rPr>
                <w:rFonts w:ascii="Arial" w:hAnsi="Arial" w:cs="Arial"/>
                <w:sz w:val="24"/>
                <w:szCs w:val="24"/>
                <w:lang w:val="en"/>
              </w:rPr>
              <w:t xml:space="preserve">Sub-plan four: Develop effective coastal erosion prevention management and </w:t>
            </w:r>
            <w:r w:rsidRPr="00CC7572">
              <w:rPr>
                <w:rFonts w:ascii="Arial" w:hAnsi="Arial" w:cs="Arial"/>
                <w:sz w:val="24"/>
                <w:szCs w:val="24"/>
                <w:lang w:val="en"/>
              </w:rPr>
              <w:lastRenderedPageBreak/>
              <w:t>reduce the impacts of climate change with 4 guidelines</w:t>
            </w:r>
          </w:p>
        </w:tc>
        <w:tc>
          <w:tcPr>
            <w:tcW w:w="4508" w:type="dxa"/>
          </w:tcPr>
          <w:p w14:paraId="3ADC7315" w14:textId="77777777" w:rsidR="00CC7572" w:rsidRPr="00CC7572" w:rsidRDefault="00CC7572" w:rsidP="008D367E">
            <w:pPr>
              <w:pStyle w:val="FootnoteText"/>
              <w:rPr>
                <w:rFonts w:ascii="Arial" w:hAnsi="Arial" w:cs="Arial"/>
                <w:sz w:val="24"/>
                <w:szCs w:val="24"/>
                <w:lang w:val="en"/>
              </w:rPr>
            </w:pPr>
            <w:r w:rsidRPr="00CC7572">
              <w:rPr>
                <w:rFonts w:ascii="Arial" w:hAnsi="Arial" w:cs="Arial"/>
                <w:sz w:val="24"/>
                <w:szCs w:val="24"/>
                <w:lang w:val="en"/>
              </w:rPr>
              <w:lastRenderedPageBreak/>
              <w:t xml:space="preserve">Guideline 4.1 Promote and support integration between agencies and develop innovations to prevent and </w:t>
            </w:r>
            <w:r w:rsidRPr="00CC7572">
              <w:rPr>
                <w:rFonts w:ascii="Arial" w:hAnsi="Arial" w:cs="Arial"/>
                <w:sz w:val="24"/>
                <w:szCs w:val="24"/>
                <w:lang w:val="en"/>
              </w:rPr>
              <w:lastRenderedPageBreak/>
              <w:t xml:space="preserve">reduce coastal erosion in critical areas and important tourism areas of the country; </w:t>
            </w:r>
          </w:p>
          <w:p w14:paraId="3637B11D" w14:textId="77777777" w:rsidR="00CC7572" w:rsidRPr="00CC7572" w:rsidRDefault="00CC7572" w:rsidP="008D367E">
            <w:pPr>
              <w:pStyle w:val="FootnoteText"/>
              <w:rPr>
                <w:rFonts w:ascii="Arial" w:hAnsi="Arial" w:cs="Arial"/>
                <w:sz w:val="24"/>
                <w:szCs w:val="24"/>
                <w:lang w:val="en"/>
              </w:rPr>
            </w:pPr>
            <w:r w:rsidRPr="00CC7572">
              <w:rPr>
                <w:rFonts w:ascii="Arial" w:hAnsi="Arial" w:cs="Arial"/>
                <w:sz w:val="24"/>
                <w:szCs w:val="24"/>
                <w:lang w:val="en"/>
              </w:rPr>
              <w:t xml:space="preserve">Guideline 4.2 Develop legal tools and mechanisms for coastal erosion prevention and resolution that are comprehensive and complete in all dimensions.; </w:t>
            </w:r>
          </w:p>
          <w:p w14:paraId="11928020" w14:textId="77777777" w:rsidR="00CC7572" w:rsidRPr="00CC7572" w:rsidRDefault="00CC7572" w:rsidP="008D367E">
            <w:pPr>
              <w:pStyle w:val="FootnoteText"/>
              <w:rPr>
                <w:rFonts w:ascii="Arial" w:hAnsi="Arial" w:cs="Arial"/>
                <w:sz w:val="24"/>
                <w:szCs w:val="24"/>
                <w:lang w:val="en"/>
              </w:rPr>
            </w:pPr>
            <w:r w:rsidRPr="00CC7572">
              <w:rPr>
                <w:rFonts w:ascii="Arial" w:hAnsi="Arial" w:cs="Arial"/>
                <w:sz w:val="24"/>
                <w:szCs w:val="24"/>
                <w:lang w:val="en"/>
              </w:rPr>
              <w:t xml:space="preserve">Guideline 4.3 Conserve and restore marine and coastal resources to become effective carbon sinks; and </w:t>
            </w:r>
          </w:p>
          <w:p w14:paraId="3C4A1641" w14:textId="77777777" w:rsidR="00CC7572" w:rsidRPr="00CC7572" w:rsidRDefault="00CC7572" w:rsidP="008D367E">
            <w:pPr>
              <w:pStyle w:val="FootnoteText"/>
              <w:rPr>
                <w:rFonts w:ascii="Arial" w:hAnsi="Arial" w:cs="Arial"/>
                <w:sz w:val="24"/>
                <w:szCs w:val="24"/>
                <w:lang w:val="en"/>
              </w:rPr>
            </w:pPr>
            <w:r w:rsidRPr="00CC7572">
              <w:rPr>
                <w:rFonts w:ascii="Arial" w:hAnsi="Arial" w:cs="Arial"/>
                <w:sz w:val="24"/>
                <w:szCs w:val="24"/>
                <w:lang w:val="en"/>
              </w:rPr>
              <w:t>Guideline 4.4 Prepare a risk management plan for marine and coastal resources from various threats.</w:t>
            </w:r>
          </w:p>
        </w:tc>
      </w:tr>
      <w:tr w:rsidR="00CC7572" w:rsidRPr="00CC7572" w14:paraId="66F54AC8" w14:textId="77777777" w:rsidTr="008D367E">
        <w:tc>
          <w:tcPr>
            <w:tcW w:w="4508" w:type="dxa"/>
          </w:tcPr>
          <w:p w14:paraId="3EA7DA81" w14:textId="77777777" w:rsidR="00CC7572" w:rsidRPr="00CC7572" w:rsidRDefault="00CC7572" w:rsidP="008D367E">
            <w:pPr>
              <w:pStyle w:val="ListParagraph"/>
              <w:ind w:left="29" w:hanging="29"/>
              <w:rPr>
                <w:rFonts w:ascii="Arial" w:hAnsi="Arial" w:cs="Arial"/>
                <w:sz w:val="24"/>
                <w:szCs w:val="24"/>
                <w:lang w:val="en"/>
              </w:rPr>
            </w:pPr>
            <w:r w:rsidRPr="00CC7572">
              <w:rPr>
                <w:rFonts w:ascii="Arial" w:hAnsi="Arial" w:cs="Arial"/>
                <w:sz w:val="24"/>
                <w:szCs w:val="24"/>
                <w:lang w:val="en"/>
              </w:rPr>
              <w:lastRenderedPageBreak/>
              <w:t>Sub-plan five: Strengthen international cooperation in the sustainable use of the oceans and marine and coastal resources with 3 guidelines</w:t>
            </w:r>
          </w:p>
        </w:tc>
        <w:tc>
          <w:tcPr>
            <w:tcW w:w="4508" w:type="dxa"/>
          </w:tcPr>
          <w:p w14:paraId="487655C4"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lang w:val="en"/>
              </w:rPr>
              <w:t xml:space="preserve">Guideline 5.1 Strengthen and support international cooperation in exploration, study, research, technology development and innovation related to sustainable management of the oceans and marine and coastal resources.; </w:t>
            </w:r>
          </w:p>
          <w:p w14:paraId="7EC50968"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lang w:val="en"/>
              </w:rPr>
              <w:t>Guideline 5.2 Support international and regional cooperation to combat IUU fishing; and</w:t>
            </w:r>
          </w:p>
          <w:p w14:paraId="6806C660" w14:textId="77777777" w:rsidR="00CC7572" w:rsidRPr="00CC7572" w:rsidRDefault="00CC7572" w:rsidP="008D367E">
            <w:pPr>
              <w:pStyle w:val="ListParagraph"/>
              <w:ind w:left="0"/>
              <w:rPr>
                <w:rFonts w:ascii="Arial" w:hAnsi="Arial" w:cs="Arial"/>
                <w:sz w:val="24"/>
                <w:szCs w:val="24"/>
                <w:lang w:val="en"/>
              </w:rPr>
            </w:pPr>
            <w:r w:rsidRPr="00CC7572">
              <w:rPr>
                <w:rFonts w:ascii="Arial" w:hAnsi="Arial" w:cs="Arial"/>
                <w:sz w:val="24"/>
                <w:szCs w:val="24"/>
                <w:lang w:val="en"/>
              </w:rPr>
              <w:t>Guideline 5.3: Continuously strengthen the capacity of personnel and agencies responsible for international cooperation on oceans and marine and coastal resources</w:t>
            </w:r>
          </w:p>
        </w:tc>
      </w:tr>
    </w:tbl>
    <w:p w14:paraId="6B42C8CC" w14:textId="77777777" w:rsidR="00CC7572" w:rsidRPr="00CC7572" w:rsidRDefault="00CC7572" w:rsidP="00CC7572">
      <w:pPr>
        <w:rPr>
          <w:rFonts w:ascii="Arial" w:hAnsi="Arial" w:cs="Arial"/>
        </w:rPr>
      </w:pPr>
    </w:p>
    <w:p w14:paraId="7C1E3AC2" w14:textId="77777777" w:rsidR="00CC7572" w:rsidRPr="00CC7572" w:rsidRDefault="00CC7572">
      <w:pPr>
        <w:spacing w:before="120" w:after="120"/>
        <w:ind w:firstLine="1134"/>
        <w:jc w:val="thaiDistribute"/>
        <w:rPr>
          <w:rFonts w:ascii="Arial" w:hAnsi="Arial" w:cs="Arial"/>
          <w:b/>
          <w:bCs/>
          <w:color w:val="EE0000"/>
        </w:rPr>
      </w:pPr>
      <w:r w:rsidRPr="00CC7572">
        <w:rPr>
          <w:rFonts w:ascii="Arial" w:hAnsi="Arial" w:cs="Arial"/>
          <w:b/>
          <w:bCs/>
          <w:color w:val="EE0000"/>
        </w:rPr>
        <w:br w:type="page"/>
      </w:r>
    </w:p>
    <w:p w14:paraId="2EC12009" w14:textId="77777777" w:rsidR="00CC7572" w:rsidRDefault="00CC7572" w:rsidP="00CC7572">
      <w:pPr>
        <w:rPr>
          <w:rFonts w:ascii="Arial" w:hAnsi="Arial" w:cs="Arial"/>
          <w:b/>
          <w:bCs/>
        </w:rPr>
      </w:pPr>
      <w:r w:rsidRPr="00CC7572">
        <w:rPr>
          <w:rFonts w:ascii="Arial" w:hAnsi="Arial" w:cs="Arial"/>
          <w:b/>
          <w:bCs/>
          <w:color w:val="EE0000"/>
        </w:rPr>
        <w:lastRenderedPageBreak/>
        <w:t>Annex 1</w:t>
      </w:r>
      <w:r>
        <w:rPr>
          <w:rFonts w:ascii="Arial" w:hAnsi="Arial" w:cs="Arial"/>
          <w:b/>
          <w:bCs/>
          <w:color w:val="EE0000"/>
        </w:rPr>
        <w:t xml:space="preserve">3: </w:t>
      </w:r>
      <w:r w:rsidRPr="00CC7572">
        <w:rPr>
          <w:rFonts w:ascii="Arial" w:hAnsi="Arial" w:cs="Arial"/>
          <w:b/>
          <w:bCs/>
        </w:rPr>
        <w:t>Key Sectoral Policies and Plans</w:t>
      </w:r>
    </w:p>
    <w:p w14:paraId="41F6C0FA" w14:textId="77777777" w:rsidR="00CC7572" w:rsidRPr="00CC7572" w:rsidRDefault="00CC7572" w:rsidP="00CC7572">
      <w:pPr>
        <w:rPr>
          <w:rFonts w:ascii="Arial" w:hAnsi="Arial" w:cs="Arial"/>
          <w:b/>
          <w:bCs/>
        </w:rPr>
      </w:pPr>
    </w:p>
    <w:p w14:paraId="32560A24" w14:textId="77777777" w:rsidR="00CC7572" w:rsidRPr="00CC7572" w:rsidRDefault="00CC7572" w:rsidP="004F496B">
      <w:pPr>
        <w:spacing w:before="120" w:after="120"/>
        <w:rPr>
          <w:rFonts w:ascii="Arial" w:hAnsi="Arial" w:cs="Arial"/>
        </w:rPr>
      </w:pPr>
      <w:r w:rsidRPr="00CC7572">
        <w:rPr>
          <w:rFonts w:ascii="Arial" w:hAnsi="Arial" w:cs="Arial"/>
          <w:b/>
          <w:bCs/>
        </w:rPr>
        <w:t>• Marine Spatial Planning (MSP) Framework (2023)</w:t>
      </w:r>
      <w:r w:rsidRPr="00CC7572">
        <w:rPr>
          <w:rFonts w:ascii="Arial" w:hAnsi="Arial" w:cs="Arial"/>
        </w:rPr>
        <w:br/>
        <w:t>Developed under the Department of Marine and Coastal Resources (DMCR) in coordination with the Maritime Interests Protection Policy Committee (MIP), this framework provides a strategic basis for spatially managing marine and coastal zones.</w:t>
      </w:r>
      <w:r w:rsidRPr="00CC7572">
        <w:rPr>
          <w:rFonts w:ascii="Arial" w:hAnsi="Arial" w:cs="Arial"/>
        </w:rPr>
        <w:br/>
        <w:t>It promotes cross-sectoral coordination among agencies responsible for fisheries, energy, tourism, and transport, supporting the principles of ecosystem-based management and blue economy development. The MSP Framework serves as a foundation for forthcoming legislation and pilot MSP initiatives across the Gulf of Thailand and the Andaman Sea.</w:t>
      </w:r>
    </w:p>
    <w:p w14:paraId="29CFE052" w14:textId="77777777" w:rsidR="00CC7572" w:rsidRPr="00CC7572" w:rsidRDefault="00CC7572" w:rsidP="004F496B">
      <w:pPr>
        <w:spacing w:before="120" w:after="120"/>
        <w:rPr>
          <w:rFonts w:ascii="Arial" w:hAnsi="Arial" w:cs="Arial"/>
        </w:rPr>
      </w:pPr>
      <w:r w:rsidRPr="00CC7572">
        <w:rPr>
          <w:rFonts w:ascii="Arial" w:hAnsi="Arial" w:cs="Arial"/>
          <w:b/>
          <w:bCs/>
        </w:rPr>
        <w:t>• National Master Plan on Waste Management (2016–2021) and Marine Debris Management Plan (2017–2021; updated 2023)</w:t>
      </w:r>
      <w:r w:rsidRPr="00CC7572">
        <w:rPr>
          <w:rFonts w:ascii="Arial" w:hAnsi="Arial" w:cs="Arial"/>
          <w:b/>
          <w:bCs/>
        </w:rPr>
        <w:br/>
      </w:r>
      <w:r w:rsidRPr="00CC7572">
        <w:rPr>
          <w:rFonts w:ascii="Arial" w:hAnsi="Arial" w:cs="Arial"/>
        </w:rPr>
        <w:t>Led by the Pollution Control Department (PCD) under the Ministry of Natural Resources and Environment (MONRE), in close cooperation with the Department of Marine and Coastal Resources (DMCR), these plans address marine pollution originating from both land- and sea-based sources. They promote integrated waste management, circular economy approaches, and the reduction of single-use plastics, in alignment with the COBSEA Regional Action Plan on Marine Litter (RAP MALI). The updated 2023 plan introduces national monitoring indicators and strengthens multi-stakeholder collaboration among government agencies, local communities, and the private sector to achieve measurable reductions in marine debris.</w:t>
      </w:r>
    </w:p>
    <w:p w14:paraId="26DD6A14" w14:textId="77777777" w:rsidR="00CC7572" w:rsidRPr="00CC7572" w:rsidRDefault="00CC7572" w:rsidP="004F496B">
      <w:pPr>
        <w:spacing w:before="120" w:after="120"/>
        <w:rPr>
          <w:rFonts w:ascii="Arial" w:hAnsi="Arial" w:cs="Arial"/>
          <w:b/>
          <w:bCs/>
        </w:rPr>
      </w:pPr>
    </w:p>
    <w:p w14:paraId="173B5543" w14:textId="77777777" w:rsidR="00CC7572" w:rsidRPr="00CC7572" w:rsidRDefault="00CC7572" w:rsidP="004F496B">
      <w:pPr>
        <w:spacing w:before="120" w:after="120"/>
        <w:rPr>
          <w:rFonts w:ascii="Arial" w:hAnsi="Arial" w:cs="Arial"/>
        </w:rPr>
      </w:pPr>
      <w:r w:rsidRPr="00CC7572">
        <w:rPr>
          <w:rFonts w:ascii="Arial" w:hAnsi="Arial" w:cs="Arial"/>
          <w:b/>
          <w:bCs/>
        </w:rPr>
        <w:t>• Thailand’s Biodiversity Master Plan (2023–2027</w:t>
      </w:r>
      <w:r w:rsidRPr="00CC7572">
        <w:rPr>
          <w:rFonts w:ascii="Arial" w:hAnsi="Arial" w:cs="Arial"/>
        </w:rPr>
        <w:t>)</w:t>
      </w:r>
      <w:r w:rsidRPr="00CC7572">
        <w:rPr>
          <w:rFonts w:ascii="Arial" w:hAnsi="Arial" w:cs="Arial"/>
        </w:rPr>
        <w:br/>
        <w:t>Implemented by the Office of Natural Resources and Environmental Policy and Planning (ONEP) under MONRE, this plan aligns with the Kunming–Montreal Global Biodiversity Framework (GBF) and builds upon the National Biodiversity Strategy and Action Plan (NBSAP). It focuses on restoring degraded habitats, expanding marine protected areas (MPAs), enhancing ecological connectivity, and mainstreaming biodiversity conservation into national and local planning. The plan also supports education, research, and awareness-raising to strengthen biodiversity knowledge and stakeholder engagement.</w:t>
      </w:r>
    </w:p>
    <w:p w14:paraId="5A42B691" w14:textId="77777777" w:rsidR="00CC7572" w:rsidRPr="00CC7572" w:rsidRDefault="00CC7572" w:rsidP="004F496B">
      <w:pPr>
        <w:spacing w:before="120" w:after="120"/>
        <w:rPr>
          <w:rFonts w:ascii="Arial" w:hAnsi="Arial" w:cs="Arial"/>
        </w:rPr>
      </w:pPr>
      <w:r w:rsidRPr="00CC7572">
        <w:rPr>
          <w:rFonts w:ascii="Arial" w:hAnsi="Arial" w:cs="Arial"/>
          <w:b/>
          <w:bCs/>
        </w:rPr>
        <w:t>• Coastal Erosion Prevention and Management Master Plan (2023–2037)</w:t>
      </w:r>
      <w:r w:rsidRPr="00CC7572">
        <w:rPr>
          <w:rFonts w:ascii="Arial" w:hAnsi="Arial" w:cs="Arial"/>
          <w:b/>
          <w:bCs/>
        </w:rPr>
        <w:br/>
      </w:r>
      <w:r w:rsidRPr="00CC7572">
        <w:rPr>
          <w:rFonts w:ascii="Arial" w:hAnsi="Arial" w:cs="Arial"/>
        </w:rPr>
        <w:t>Coordinated by the Department of Marine and Coastal Resources (DMCR) under MONRE and the Department of Public Works and Town &amp; Country Planning (DPT) under the Ministry of Interior (MOI), this long-term plan provides a comprehensive approach to managing coastal erosion. It emphasizes integrated engineering solutions and ecosystem-based approaches, including mangrove restoration, shoreline stabilization, and community participation in coastal adaptation. The plan integrates scientific data, climate modeling, and local knowledge to inform decision-making and strengthen coastal resilience.</w:t>
      </w:r>
    </w:p>
    <w:p w14:paraId="4C62C09A" w14:textId="77777777" w:rsidR="00CC7572" w:rsidRPr="00CC7572" w:rsidRDefault="00CC7572" w:rsidP="004F496B">
      <w:pPr>
        <w:spacing w:before="120" w:after="120"/>
        <w:rPr>
          <w:rFonts w:ascii="Arial" w:hAnsi="Arial" w:cs="Arial"/>
          <w:cs/>
        </w:rPr>
      </w:pPr>
    </w:p>
    <w:p w14:paraId="0383AB51" w14:textId="77777777" w:rsidR="00CC7572" w:rsidRPr="00CC7572" w:rsidRDefault="00CC7572" w:rsidP="00CC7572">
      <w:pPr>
        <w:spacing w:before="120" w:after="120"/>
        <w:rPr>
          <w:rFonts w:ascii="Arial" w:hAnsi="Arial" w:cs="Arial"/>
        </w:rPr>
      </w:pPr>
    </w:p>
    <w:sectPr w:rsidR="00CC7572" w:rsidRPr="00CC7572" w:rsidSect="008755A5">
      <w:pgSz w:w="12240" w:h="15840"/>
      <w:pgMar w:top="1440" w:right="1440" w:bottom="1440" w:left="1440" w:header="708" w:footer="708" w:gutter="0"/>
      <w:cols w:space="708"/>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4E4204" w14:textId="77777777" w:rsidR="00602CF0" w:rsidRDefault="00602CF0" w:rsidP="00CC7572">
      <w:r>
        <w:separator/>
      </w:r>
    </w:p>
  </w:endnote>
  <w:endnote w:type="continuationSeparator" w:id="0">
    <w:p w14:paraId="3A008696" w14:textId="77777777" w:rsidR="00602CF0" w:rsidRDefault="00602CF0" w:rsidP="00CC75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H SarabunPSK">
    <w:panose1 w:val="020B0500040200020003"/>
    <w:charset w:val="00"/>
    <w:family w:val="swiss"/>
    <w:pitch w:val="variable"/>
    <w:sig w:usb0="A100006F" w:usb1="5000205A" w:usb2="00000000" w:usb3="00000000" w:csb0="00010183"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Arial">
    <w:panose1 w:val="020B0604020202020204"/>
    <w:charset w:val="00"/>
    <w:family w:val="swiss"/>
    <w:pitch w:val="variable"/>
    <w:sig w:usb0="E0002EFF" w:usb1="C000785B" w:usb2="00000009" w:usb3="00000000" w:csb0="000001FF" w:csb1="00000000"/>
  </w:font>
  <w:font w:name="Browallia New">
    <w:panose1 w:val="020B0604020202020204"/>
    <w:charset w:val="00"/>
    <w:family w:val="swiss"/>
    <w:pitch w:val="variable"/>
    <w:sig w:usb0="81000003" w:usb1="00000000" w:usb2="00000000" w:usb3="00000000" w:csb0="0001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8083510"/>
      <w:docPartObj>
        <w:docPartGallery w:val="Page Numbers (Bottom of Page)"/>
        <w:docPartUnique/>
      </w:docPartObj>
    </w:sdtPr>
    <w:sdtContent>
      <w:p w14:paraId="1C54E414" w14:textId="77777777" w:rsidR="004F496B" w:rsidRDefault="004F496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FBE90EE" w14:textId="77777777" w:rsidR="004F496B" w:rsidRDefault="004F49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322843" w14:textId="77777777" w:rsidR="00602CF0" w:rsidRDefault="00602CF0" w:rsidP="00CC7572">
      <w:r>
        <w:separator/>
      </w:r>
    </w:p>
  </w:footnote>
  <w:footnote w:type="continuationSeparator" w:id="0">
    <w:p w14:paraId="21C9F686" w14:textId="77777777" w:rsidR="00602CF0" w:rsidRDefault="00602CF0" w:rsidP="00CC7572">
      <w:r>
        <w:continuationSeparator/>
      </w:r>
    </w:p>
  </w:footnote>
  <w:footnote w:id="1">
    <w:p w14:paraId="6554A8A0" w14:textId="77777777" w:rsidR="00CC7572" w:rsidRPr="00CC7572" w:rsidRDefault="00CC7572" w:rsidP="00CC7572">
      <w:pPr>
        <w:pStyle w:val="FootnoteText"/>
        <w:rPr>
          <w:rFonts w:ascii="Arial" w:hAnsi="Arial" w:cs="Arial"/>
        </w:rPr>
      </w:pPr>
      <w:r w:rsidRPr="001F022B">
        <w:rPr>
          <w:rStyle w:val="FootnoteReference"/>
          <w:sz w:val="22"/>
          <w:szCs w:val="22"/>
        </w:rPr>
        <w:footnoteRef/>
      </w:r>
      <w:r>
        <w:t xml:space="preserve"> </w:t>
      </w:r>
      <w:r w:rsidRPr="00CC7572">
        <w:rPr>
          <w:rFonts w:ascii="Arial" w:hAnsi="Arial" w:cs="Arial"/>
        </w:rPr>
        <w:t xml:space="preserve">DMCR has suggested significant projects to support this guideline include: 1) </w:t>
      </w:r>
      <w:r w:rsidRPr="00CC7572">
        <w:rPr>
          <w:rFonts w:ascii="Arial" w:hAnsi="Arial" w:cs="Arial"/>
          <w:lang w:val="en"/>
        </w:rPr>
        <w:t xml:space="preserve">Project to drive the increase in protected areas and the use of other effective area-based conservation measures (Other Effective Area-based Conservation Measures or OECM); 2) Project to develop certification of protected areas of type LMMA (Locally Managed Marine Areas); 3) Monitoring and evaluation project for existing designated marine and coastal protected areas under the 2015 Promotion of Marine and Coastal Resources Management Act. </w:t>
      </w:r>
    </w:p>
  </w:footnote>
  <w:footnote w:id="2">
    <w:p w14:paraId="7BD5FFC7" w14:textId="77777777" w:rsidR="00CC7572" w:rsidRPr="004F496B" w:rsidRDefault="00CC7572" w:rsidP="00CC7572">
      <w:pPr>
        <w:pStyle w:val="FootnoteText"/>
        <w:rPr>
          <w:rFonts w:ascii="Arial" w:hAnsi="Arial" w:cs="Arial"/>
          <w:lang w:val="en"/>
        </w:rPr>
      </w:pPr>
      <w:r w:rsidRPr="00CC7572">
        <w:rPr>
          <w:rStyle w:val="FootnoteReference"/>
          <w:rFonts w:ascii="Arial" w:hAnsi="Arial" w:cs="Arial"/>
          <w:sz w:val="24"/>
          <w:szCs w:val="24"/>
        </w:rPr>
        <w:footnoteRef/>
      </w:r>
      <w:r w:rsidRPr="00CC7572">
        <w:rPr>
          <w:rFonts w:ascii="Arial" w:hAnsi="Arial" w:cs="Arial"/>
        </w:rPr>
        <w:t xml:space="preserve"> </w:t>
      </w:r>
      <w:r w:rsidRPr="00CC7572">
        <w:rPr>
          <w:rFonts w:ascii="Arial" w:hAnsi="Arial" w:cs="Arial"/>
          <w:lang w:val="en"/>
        </w:rPr>
        <w:t>DMCR have focused on supporting and promoting the spatial management of marine and coastal resources as a guideline for driving forward from the national reform plan on natural resources and the environment to manage marine environmental resources, conserve, protect, and restore in a balanced and sustainable manner to preserve biodiversity and ecosystems with all sectors’ participation.  This plan f</w:t>
      </w:r>
      <w:r w:rsidRPr="004F496B">
        <w:rPr>
          <w:rFonts w:ascii="Arial" w:hAnsi="Arial" w:cs="Arial"/>
          <w:lang w:val="en"/>
        </w:rPr>
        <w:t>ocuses on a project to drive the determination of marine and coastal resources areas in 23 coastal provinces to support and promote the spatial management of marine and coastal resources.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F236C"/>
    <w:multiLevelType w:val="multilevel"/>
    <w:tmpl w:val="2DEAF1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B8F6706"/>
    <w:multiLevelType w:val="multilevel"/>
    <w:tmpl w:val="51E63D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C5C39CC"/>
    <w:multiLevelType w:val="multilevel"/>
    <w:tmpl w:val="0D224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7F2D33"/>
    <w:multiLevelType w:val="multilevel"/>
    <w:tmpl w:val="78A82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1901002"/>
    <w:multiLevelType w:val="multilevel"/>
    <w:tmpl w:val="A1748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2096CAA"/>
    <w:multiLevelType w:val="multilevel"/>
    <w:tmpl w:val="F1D4D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DBB78E1"/>
    <w:multiLevelType w:val="multilevel"/>
    <w:tmpl w:val="38208B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E173945"/>
    <w:multiLevelType w:val="multilevel"/>
    <w:tmpl w:val="BC08E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E881CAB"/>
    <w:multiLevelType w:val="multilevel"/>
    <w:tmpl w:val="FEA0C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065234C"/>
    <w:multiLevelType w:val="multilevel"/>
    <w:tmpl w:val="CC521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9520DE5"/>
    <w:multiLevelType w:val="multilevel"/>
    <w:tmpl w:val="7DAA76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08804164">
    <w:abstractNumId w:val="3"/>
  </w:num>
  <w:num w:numId="2" w16cid:durableId="558177027">
    <w:abstractNumId w:val="4"/>
  </w:num>
  <w:num w:numId="3" w16cid:durableId="589393246">
    <w:abstractNumId w:val="10"/>
  </w:num>
  <w:num w:numId="4" w16cid:durableId="733743903">
    <w:abstractNumId w:val="8"/>
  </w:num>
  <w:num w:numId="5" w16cid:durableId="1435051161">
    <w:abstractNumId w:val="0"/>
  </w:num>
  <w:num w:numId="6" w16cid:durableId="472211034">
    <w:abstractNumId w:val="6"/>
  </w:num>
  <w:num w:numId="7" w16cid:durableId="1114981702">
    <w:abstractNumId w:val="1"/>
  </w:num>
  <w:num w:numId="8" w16cid:durableId="1904028267">
    <w:abstractNumId w:val="9"/>
  </w:num>
  <w:num w:numId="9" w16cid:durableId="271599224">
    <w:abstractNumId w:val="2"/>
  </w:num>
  <w:num w:numId="10" w16cid:durableId="1463572574">
    <w:abstractNumId w:val="7"/>
  </w:num>
  <w:num w:numId="11" w16cid:durableId="3414703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5A5"/>
    <w:rsid w:val="001305D6"/>
    <w:rsid w:val="003B6758"/>
    <w:rsid w:val="003E4196"/>
    <w:rsid w:val="004A08B6"/>
    <w:rsid w:val="004F496B"/>
    <w:rsid w:val="00602CF0"/>
    <w:rsid w:val="007823CD"/>
    <w:rsid w:val="008755A5"/>
    <w:rsid w:val="0099621A"/>
    <w:rsid w:val="00A131CB"/>
    <w:rsid w:val="00CC7572"/>
    <w:rsid w:val="00FD1102"/>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464058"/>
  <w15:chartTrackingRefBased/>
  <w15:docId w15:val="{BD49BF62-81D7-4065-9B78-0E9D1C6D7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 SarabunPSK" w:eastAsiaTheme="minorHAnsi" w:hAnsi="TH SarabunPSK" w:cs="TH SarabunPSK"/>
        <w:color w:val="000000" w:themeColor="text1"/>
        <w:sz w:val="32"/>
        <w:szCs w:val="32"/>
        <w:lang w:val="en-US" w:eastAsia="en-US" w:bidi="th-TH"/>
      </w:rPr>
    </w:rPrDefault>
    <w:pPrDefault>
      <w:pPr>
        <w:spacing w:before="120" w:after="120"/>
        <w:ind w:firstLine="1134"/>
        <w:jc w:val="thaiDistribut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55A5"/>
    <w:pPr>
      <w:spacing w:before="0" w:after="0"/>
      <w:ind w:firstLine="0"/>
      <w:jc w:val="left"/>
    </w:pPr>
    <w:rPr>
      <w:rFonts w:ascii="Tahoma" w:hAnsi="Tahoma" w:cs="Tahoma"/>
      <w:color w:val="auto"/>
      <w:sz w:val="24"/>
      <w:szCs w:val="24"/>
    </w:rPr>
  </w:style>
  <w:style w:type="paragraph" w:styleId="Heading5">
    <w:name w:val="heading 5"/>
    <w:basedOn w:val="Normal"/>
    <w:next w:val="Normal"/>
    <w:link w:val="Heading5Char"/>
    <w:uiPriority w:val="9"/>
    <w:unhideWhenUsed/>
    <w:qFormat/>
    <w:rsid w:val="008755A5"/>
    <w:pPr>
      <w:keepNext/>
      <w:keepLines/>
      <w:spacing w:before="80" w:after="40" w:line="259" w:lineRule="auto"/>
      <w:outlineLvl w:val="4"/>
    </w:pPr>
    <w:rPr>
      <w:rFonts w:asciiTheme="minorHAnsi" w:eastAsiaTheme="majorEastAsia" w:hAnsiTheme="minorHAnsi" w:cstheme="majorBidi"/>
      <w:color w:val="2F5496" w:themeColor="accent1" w:themeShade="BF"/>
      <w:sz w:val="22"/>
      <w:szCs w:val="28"/>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00 List Bull,Table Heading,Figure,(ก) List Paragraph,รายการย่อหน้า 1,Inhaltsverzeichnis,eq2"/>
    <w:basedOn w:val="Normal"/>
    <w:link w:val="ListParagraphChar"/>
    <w:uiPriority w:val="34"/>
    <w:qFormat/>
    <w:rsid w:val="008755A5"/>
    <w:pPr>
      <w:spacing w:after="160" w:line="259" w:lineRule="auto"/>
      <w:ind w:left="720"/>
      <w:contextualSpacing/>
    </w:pPr>
    <w:rPr>
      <w:rFonts w:asciiTheme="minorHAnsi" w:hAnsiTheme="minorHAnsi" w:cstheme="minorBidi"/>
      <w:sz w:val="22"/>
      <w:szCs w:val="28"/>
      <w14:ligatures w14:val="standardContextual"/>
    </w:rPr>
  </w:style>
  <w:style w:type="character" w:styleId="Hyperlink">
    <w:name w:val="Hyperlink"/>
    <w:basedOn w:val="DefaultParagraphFont"/>
    <w:uiPriority w:val="99"/>
    <w:unhideWhenUsed/>
    <w:rsid w:val="008755A5"/>
    <w:rPr>
      <w:color w:val="0563C1" w:themeColor="hyperlink"/>
      <w:u w:val="single"/>
    </w:rPr>
  </w:style>
  <w:style w:type="paragraph" w:styleId="NormalWeb">
    <w:name w:val="Normal (Web)"/>
    <w:basedOn w:val="Normal"/>
    <w:uiPriority w:val="99"/>
    <w:unhideWhenUsed/>
    <w:rsid w:val="008755A5"/>
    <w:pPr>
      <w:spacing w:before="100" w:beforeAutospacing="1" w:after="100" w:afterAutospacing="1"/>
    </w:pPr>
    <w:rPr>
      <w:rFonts w:eastAsia="Times New Roman"/>
    </w:rPr>
  </w:style>
  <w:style w:type="table" w:styleId="TableGrid">
    <w:name w:val="Table Grid"/>
    <w:basedOn w:val="TableNormal"/>
    <w:uiPriority w:val="59"/>
    <w:rsid w:val="008755A5"/>
    <w:pPr>
      <w:spacing w:before="0" w:after="0"/>
    </w:pPr>
    <w:rPr>
      <w:rFonts w:ascii="Tahoma" w:hAnsi="Tahoma" w:cs="Tahoma"/>
      <w:color w:val="aut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8755A5"/>
    <w:rPr>
      <w:rFonts w:asciiTheme="minorHAnsi" w:eastAsiaTheme="majorEastAsia" w:hAnsiTheme="minorHAnsi" w:cstheme="majorBidi"/>
      <w:color w:val="2F5496" w:themeColor="accent1" w:themeShade="BF"/>
      <w:sz w:val="22"/>
      <w:szCs w:val="28"/>
      <w14:ligatures w14:val="standardContextual"/>
    </w:rPr>
  </w:style>
  <w:style w:type="table" w:styleId="GridTable4">
    <w:name w:val="Grid Table 4"/>
    <w:basedOn w:val="TableNormal"/>
    <w:uiPriority w:val="49"/>
    <w:rsid w:val="008755A5"/>
    <w:pPr>
      <w:spacing w:before="0" w:after="0"/>
      <w:ind w:firstLine="0"/>
      <w:jc w:val="left"/>
    </w:pPr>
    <w:rPr>
      <w:rFonts w:asciiTheme="minorHAnsi" w:hAnsiTheme="minorHAnsi" w:cstheme="minorBidi"/>
      <w:color w:val="auto"/>
      <w:sz w:val="20"/>
      <w:szCs w:val="20"/>
      <w:lang w:bidi="ar-SA"/>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rynqvb">
    <w:name w:val="rynqvb"/>
    <w:basedOn w:val="DefaultParagraphFont"/>
    <w:rsid w:val="008755A5"/>
  </w:style>
  <w:style w:type="character" w:customStyle="1" w:styleId="jlqj4b">
    <w:name w:val="jlqj4b"/>
    <w:basedOn w:val="DefaultParagraphFont"/>
    <w:rsid w:val="00CC7572"/>
  </w:style>
  <w:style w:type="character" w:customStyle="1" w:styleId="ListParagraphChar">
    <w:name w:val="List Paragraph Char"/>
    <w:aliases w:val="00 List Bull Char,Table Heading Char,Figure Char,(ก) List Paragraph Char,รายการย่อหน้า 1 Char,Inhaltsverzeichnis Char,eq2 Char"/>
    <w:link w:val="ListParagraph"/>
    <w:uiPriority w:val="34"/>
    <w:rsid w:val="00CC7572"/>
    <w:rPr>
      <w:rFonts w:asciiTheme="minorHAnsi" w:hAnsiTheme="minorHAnsi" w:cstheme="minorBidi"/>
      <w:color w:val="auto"/>
      <w:sz w:val="22"/>
      <w:szCs w:val="28"/>
      <w14:ligatures w14:val="standardContextual"/>
    </w:rPr>
  </w:style>
  <w:style w:type="character" w:styleId="FootnoteReference">
    <w:name w:val="footnote reference"/>
    <w:semiHidden/>
    <w:rsid w:val="00CC7572"/>
    <w:rPr>
      <w:sz w:val="32"/>
      <w:szCs w:val="32"/>
      <w:vertAlign w:val="superscript"/>
    </w:rPr>
  </w:style>
  <w:style w:type="paragraph" w:styleId="FootnoteText">
    <w:name w:val="footnote text"/>
    <w:basedOn w:val="Normal"/>
    <w:link w:val="FootnoteTextChar"/>
    <w:uiPriority w:val="99"/>
    <w:unhideWhenUsed/>
    <w:rsid w:val="00CC7572"/>
    <w:rPr>
      <w:rFonts w:ascii="Times New Roman" w:eastAsiaTheme="majorEastAsia" w:hAnsi="Times New Roman" w:cs="Angsana New"/>
      <w:sz w:val="20"/>
      <w:szCs w:val="25"/>
    </w:rPr>
  </w:style>
  <w:style w:type="character" w:customStyle="1" w:styleId="FootnoteTextChar">
    <w:name w:val="Footnote Text Char"/>
    <w:basedOn w:val="DefaultParagraphFont"/>
    <w:link w:val="FootnoteText"/>
    <w:uiPriority w:val="99"/>
    <w:rsid w:val="00CC7572"/>
    <w:rPr>
      <w:rFonts w:ascii="Times New Roman" w:eastAsiaTheme="majorEastAsia" w:hAnsi="Times New Roman" w:cs="Angsana New"/>
      <w:color w:val="auto"/>
      <w:sz w:val="20"/>
      <w:szCs w:val="25"/>
    </w:rPr>
  </w:style>
  <w:style w:type="paragraph" w:styleId="Header">
    <w:name w:val="header"/>
    <w:basedOn w:val="Normal"/>
    <w:link w:val="HeaderChar"/>
    <w:uiPriority w:val="99"/>
    <w:unhideWhenUsed/>
    <w:rsid w:val="004F496B"/>
    <w:pPr>
      <w:tabs>
        <w:tab w:val="center" w:pos="4680"/>
        <w:tab w:val="right" w:pos="9360"/>
      </w:tabs>
    </w:pPr>
    <w:rPr>
      <w:rFonts w:cs="Angsana New"/>
      <w:szCs w:val="30"/>
    </w:rPr>
  </w:style>
  <w:style w:type="character" w:customStyle="1" w:styleId="HeaderChar">
    <w:name w:val="Header Char"/>
    <w:basedOn w:val="DefaultParagraphFont"/>
    <w:link w:val="Header"/>
    <w:uiPriority w:val="99"/>
    <w:rsid w:val="004F496B"/>
    <w:rPr>
      <w:rFonts w:ascii="Tahoma" w:hAnsi="Tahoma" w:cs="Angsana New"/>
      <w:color w:val="auto"/>
      <w:sz w:val="24"/>
      <w:szCs w:val="30"/>
    </w:rPr>
  </w:style>
  <w:style w:type="paragraph" w:styleId="Footer">
    <w:name w:val="footer"/>
    <w:basedOn w:val="Normal"/>
    <w:link w:val="FooterChar"/>
    <w:uiPriority w:val="99"/>
    <w:unhideWhenUsed/>
    <w:rsid w:val="004F496B"/>
    <w:pPr>
      <w:tabs>
        <w:tab w:val="center" w:pos="4680"/>
        <w:tab w:val="right" w:pos="9360"/>
      </w:tabs>
    </w:pPr>
    <w:rPr>
      <w:rFonts w:cs="Angsana New"/>
      <w:szCs w:val="30"/>
    </w:rPr>
  </w:style>
  <w:style w:type="character" w:customStyle="1" w:styleId="FooterChar">
    <w:name w:val="Footer Char"/>
    <w:basedOn w:val="DefaultParagraphFont"/>
    <w:link w:val="Footer"/>
    <w:uiPriority w:val="99"/>
    <w:rsid w:val="004F496B"/>
    <w:rPr>
      <w:rFonts w:ascii="Tahoma" w:hAnsi="Tahoma" w:cs="Angsana New"/>
      <w:color w:val="auto"/>
      <w:sz w:val="24"/>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tabank.worldbank.org/reports.aspx?source=2&amp;series=NY.GDP.PCAP.CD&amp;country=THA"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pstat.boi.go.th/pubrpt/index.php"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ipstat.boi.go.th/pubrpt/index.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ustom 1">
      <a:majorFont>
        <a:latin typeface="TH SarabunPSK"/>
        <a:ea typeface=""/>
        <a:cs typeface="TH SarabunPSK"/>
      </a:majorFont>
      <a:minorFont>
        <a:latin typeface="TH SarabunPSK"/>
        <a:ea typeface=""/>
        <a:cs typeface="TH SarabunPSK"/>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E0F943D3-E5CD-4FC2-BD36-E02EB4EE2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9839</Words>
  <Characters>56084</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JumboA</dc:creator>
  <cp:keywords/>
  <dc:description/>
  <cp:lastModifiedBy>suvaluck satumanatpan</cp:lastModifiedBy>
  <cp:revision>3</cp:revision>
  <dcterms:created xsi:type="dcterms:W3CDTF">2025-12-03T08:33:00Z</dcterms:created>
  <dcterms:modified xsi:type="dcterms:W3CDTF">2025-12-03T12:33:00Z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b28c72f3-457d-4652-8b9b-0c8fbc8cffb0</vt:lpwstr>
  </property>
</Properties>
</file>