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84D546" w14:textId="58AA3B02" w:rsidR="00661BA8" w:rsidRPr="00F052B0" w:rsidRDefault="00307478" w:rsidP="00661BA8">
      <w:pPr>
        <w:ind w:left="360" w:hanging="360"/>
        <w:jc w:val="center"/>
        <w:rPr>
          <w:rFonts w:ascii="Arial" w:hAnsi="Arial" w:cs="Arial"/>
          <w:b/>
          <w:bCs/>
          <w:iCs/>
          <w:sz w:val="28"/>
          <w:szCs w:val="28"/>
        </w:rPr>
      </w:pPr>
      <w:bookmarkStart w:id="0" w:name="_Hlk203299208"/>
      <w:commentRangeStart w:id="1"/>
      <w:r w:rsidRPr="00F052B0">
        <w:rPr>
          <w:rFonts w:ascii="Arial" w:hAnsi="Arial" w:cs="Arial"/>
          <w:b/>
          <w:bCs/>
          <w:iCs/>
          <w:sz w:val="28"/>
          <w:szCs w:val="28"/>
        </w:rPr>
        <w:t xml:space="preserve">6. </w:t>
      </w:r>
      <w:r w:rsidR="00661BA8" w:rsidRPr="00F052B0">
        <w:rPr>
          <w:rFonts w:ascii="Arial" w:hAnsi="Arial" w:cs="Arial"/>
          <w:b/>
          <w:bCs/>
          <w:iCs/>
          <w:sz w:val="28"/>
          <w:szCs w:val="28"/>
        </w:rPr>
        <w:t>National TDA Governance Profile and Analysis (</w:t>
      </w:r>
      <w:r w:rsidR="000A367B" w:rsidRPr="00F052B0">
        <w:rPr>
          <w:rFonts w:ascii="Arial" w:hAnsi="Arial" w:cs="Arial"/>
          <w:b/>
          <w:bCs/>
          <w:iCs/>
          <w:sz w:val="28"/>
          <w:szCs w:val="28"/>
        </w:rPr>
        <w:t xml:space="preserve">Dec </w:t>
      </w:r>
      <w:r w:rsidR="00032BD6" w:rsidRPr="00F052B0">
        <w:rPr>
          <w:rFonts w:ascii="Arial" w:hAnsi="Arial" w:cs="Arial"/>
          <w:b/>
          <w:bCs/>
          <w:iCs/>
          <w:sz w:val="28"/>
          <w:szCs w:val="28"/>
        </w:rPr>
        <w:t>1</w:t>
      </w:r>
      <w:r w:rsidR="008F661A">
        <w:rPr>
          <w:rFonts w:ascii="Arial" w:hAnsi="Arial" w:cs="Arial"/>
          <w:b/>
          <w:bCs/>
          <w:iCs/>
          <w:sz w:val="28"/>
          <w:szCs w:val="28"/>
        </w:rPr>
        <w:t>2</w:t>
      </w:r>
      <w:r w:rsidR="008278AE" w:rsidRPr="00F052B0">
        <w:rPr>
          <w:rFonts w:ascii="Arial" w:hAnsi="Arial" w:cs="Arial"/>
          <w:b/>
          <w:bCs/>
          <w:iCs/>
          <w:sz w:val="28"/>
          <w:szCs w:val="28"/>
        </w:rPr>
        <w:t>,</w:t>
      </w:r>
      <w:r w:rsidR="000A367B" w:rsidRPr="00F052B0">
        <w:rPr>
          <w:rFonts w:ascii="Arial" w:hAnsi="Arial" w:cs="Arial"/>
          <w:b/>
          <w:bCs/>
          <w:iCs/>
          <w:sz w:val="28"/>
          <w:szCs w:val="28"/>
        </w:rPr>
        <w:t xml:space="preserve"> </w:t>
      </w:r>
      <w:r w:rsidR="00661BA8" w:rsidRPr="00F052B0">
        <w:rPr>
          <w:rFonts w:ascii="Arial" w:hAnsi="Arial" w:cs="Arial"/>
          <w:b/>
          <w:bCs/>
          <w:iCs/>
          <w:sz w:val="28"/>
          <w:szCs w:val="28"/>
        </w:rPr>
        <w:t>2025)</w:t>
      </w:r>
      <w:r w:rsidR="00CC2155" w:rsidRPr="00F052B0">
        <w:rPr>
          <w:rFonts w:ascii="Arial" w:hAnsi="Arial" w:cs="Arial"/>
          <w:b/>
          <w:bCs/>
          <w:iCs/>
          <w:sz w:val="28"/>
          <w:szCs w:val="28"/>
        </w:rPr>
        <w:t xml:space="preserve"> </w:t>
      </w:r>
      <w:commentRangeEnd w:id="1"/>
      <w:r w:rsidRPr="00F052B0">
        <w:rPr>
          <w:rStyle w:val="CommentReference"/>
          <w:rFonts w:ascii="Arial" w:hAnsi="Arial" w:cs="Arial"/>
          <w:sz w:val="28"/>
          <w:szCs w:val="28"/>
        </w:rPr>
        <w:commentReference w:id="1"/>
      </w:r>
    </w:p>
    <w:p w14:paraId="20C065E8" w14:textId="77777777" w:rsidR="00EE39D4" w:rsidRDefault="00EE39D4" w:rsidP="00661BA8">
      <w:pPr>
        <w:ind w:left="360" w:hanging="360"/>
        <w:jc w:val="center"/>
        <w:rPr>
          <w:rFonts w:ascii="Arial" w:hAnsi="Arial" w:cs="Arial"/>
          <w:b/>
          <w:bCs/>
          <w:iCs/>
          <w:sz w:val="32"/>
          <w:szCs w:val="32"/>
        </w:rPr>
      </w:pPr>
    </w:p>
    <w:p w14:paraId="36C6DFB7" w14:textId="1DEEA97C" w:rsidR="00EE39D4" w:rsidRDefault="00EE39D4" w:rsidP="00661BA8">
      <w:pPr>
        <w:ind w:left="360" w:hanging="360"/>
        <w:jc w:val="center"/>
        <w:rPr>
          <w:rFonts w:ascii="Arial" w:hAnsi="Arial" w:cs="Arial"/>
          <w:b/>
          <w:bCs/>
          <w:iCs/>
          <w:sz w:val="32"/>
          <w:szCs w:val="32"/>
        </w:rPr>
      </w:pPr>
      <w:r>
        <w:rPr>
          <w:rFonts w:ascii="Arial" w:hAnsi="Arial" w:cs="Arial"/>
          <w:b/>
          <w:bCs/>
          <w:iCs/>
          <w:sz w:val="32"/>
          <w:szCs w:val="32"/>
        </w:rPr>
        <w:t xml:space="preserve">Abstract </w:t>
      </w:r>
    </w:p>
    <w:p w14:paraId="54106CEF" w14:textId="77777777" w:rsidR="00C21907" w:rsidRPr="00F052B0" w:rsidRDefault="00C21907" w:rsidP="00F052B0">
      <w:pPr>
        <w:ind w:left="360" w:hanging="360"/>
        <w:rPr>
          <w:rFonts w:ascii="Arial" w:hAnsi="Arial" w:cs="Arial"/>
          <w:b/>
          <w:bCs/>
          <w:iCs/>
        </w:rPr>
      </w:pPr>
    </w:p>
    <w:bookmarkEnd w:id="0"/>
    <w:p w14:paraId="73DBF7F4" w14:textId="77777777" w:rsidR="00032BD6" w:rsidRPr="00F052B0" w:rsidRDefault="00032BD6" w:rsidP="00F052B0">
      <w:pPr>
        <w:ind w:left="360"/>
        <w:rPr>
          <w:rFonts w:ascii="Arial" w:hAnsi="Arial" w:cstheme="minorBidi"/>
          <w:iCs/>
        </w:rPr>
      </w:pPr>
      <w:r w:rsidRPr="00F052B0">
        <w:rPr>
          <w:rFonts w:ascii="Arial" w:hAnsi="Arial" w:cstheme="minorBidi"/>
          <w:iCs/>
        </w:rPr>
        <w:t xml:space="preserve">Thailand’s coastal and marine governance plays a central role in safeguarding ecosystems, supporting national development, and managing transboundary risks within the South China Sea (SCS) region. This report assesses the current status of Thailand’s governance arrangements by examining economic drivers, institutional structures, legal and policy frameworks, and mechanisms for civil society participation. Using the Transboundary Water Assessment </w:t>
      </w:r>
      <w:proofErr w:type="spellStart"/>
      <w:r w:rsidRPr="00F052B0">
        <w:rPr>
          <w:rFonts w:ascii="Arial" w:hAnsi="Arial" w:cstheme="minorBidi"/>
          <w:iCs/>
        </w:rPr>
        <w:t>Programme</w:t>
      </w:r>
      <w:proofErr w:type="spellEnd"/>
      <w:r w:rsidRPr="00F052B0">
        <w:rPr>
          <w:rFonts w:ascii="Arial" w:hAnsi="Arial" w:cstheme="minorBidi"/>
          <w:iCs/>
        </w:rPr>
        <w:t xml:space="preserve"> (TWAP) Governance Architecture Assessment Framework—covering completeness, integration, and engagement—the assessment identifies areas of progress and persistent governance constraints.</w:t>
      </w:r>
    </w:p>
    <w:p w14:paraId="6A708B84" w14:textId="77777777" w:rsidR="00032BD6" w:rsidRPr="00F052B0" w:rsidRDefault="00032BD6" w:rsidP="00032BD6">
      <w:pPr>
        <w:ind w:left="360"/>
        <w:rPr>
          <w:rFonts w:ascii="Arial" w:hAnsi="Arial" w:cstheme="minorBidi"/>
          <w:iCs/>
        </w:rPr>
      </w:pPr>
    </w:p>
    <w:p w14:paraId="58C4416D" w14:textId="66AF3426" w:rsidR="00032BD6" w:rsidRPr="00F052B0" w:rsidRDefault="00032BD6" w:rsidP="00F052B0">
      <w:pPr>
        <w:ind w:left="360"/>
        <w:rPr>
          <w:rFonts w:ascii="Arial" w:hAnsi="Arial" w:cstheme="minorBidi"/>
          <w:iCs/>
        </w:rPr>
      </w:pPr>
      <w:r w:rsidRPr="00F052B0">
        <w:rPr>
          <w:rFonts w:ascii="Arial" w:hAnsi="Arial" w:cstheme="minorBidi"/>
          <w:iCs/>
        </w:rPr>
        <w:t>Findings show that Thailand has established a comprehensive legal and institutional foundation for coastal and marine resource management, including national committees, sectoral legislation, and long-term policy planning. Stakeholder engagement mechanisms, including provincial committees and community-based groups, provide additional support for participatory governance. However, weak cross-sectoral integration, uneven provincial implementation capacity, and limited alignment between climate policy, coastal development, and marine resource management continue to hinder effective decision-making and adaptive responses. Economic concentration in the Eastern Economic Corridor (EEC) further heightens governance asymmetries and ecological pressures.</w:t>
      </w:r>
    </w:p>
    <w:p w14:paraId="6000A55D" w14:textId="77777777" w:rsidR="00032BD6" w:rsidRPr="00F052B0" w:rsidRDefault="00032BD6" w:rsidP="00032BD6">
      <w:pPr>
        <w:ind w:left="360"/>
        <w:rPr>
          <w:rFonts w:ascii="Arial" w:hAnsi="Arial" w:cstheme="minorBidi"/>
          <w:iCs/>
        </w:rPr>
      </w:pPr>
    </w:p>
    <w:p w14:paraId="7C0EE11D" w14:textId="77455DF2" w:rsidR="00C21907" w:rsidRDefault="00032BD6" w:rsidP="00032BD6">
      <w:pPr>
        <w:ind w:left="360"/>
        <w:rPr>
          <w:rFonts w:ascii="Arial" w:hAnsi="Arial" w:cstheme="minorBidi"/>
          <w:iCs/>
        </w:rPr>
      </w:pPr>
      <w:r w:rsidRPr="00F052B0">
        <w:rPr>
          <w:rFonts w:ascii="Arial" w:hAnsi="Arial" w:cstheme="minorBidi"/>
          <w:iCs/>
        </w:rPr>
        <w:t>The report concludes that strengthening policy coherence, climate governance, provincial capacity, and regional cooperation is essential for improving Thailand’s readiness to address emerging environmental challenges and transboundary risks across the SCS Large Marine Ecosystem.</w:t>
      </w:r>
    </w:p>
    <w:p w14:paraId="3B31FEF5" w14:textId="77777777" w:rsidR="00C21907" w:rsidRDefault="00C21907">
      <w:pPr>
        <w:spacing w:before="120" w:after="120"/>
        <w:ind w:firstLine="1134"/>
        <w:jc w:val="thaiDistribute"/>
        <w:rPr>
          <w:rFonts w:ascii="Arial" w:hAnsi="Arial" w:cstheme="minorBidi"/>
          <w:iCs/>
        </w:rPr>
      </w:pPr>
      <w:r>
        <w:rPr>
          <w:rFonts w:ascii="Arial" w:hAnsi="Arial" w:cstheme="minorBidi"/>
          <w:iCs/>
        </w:rPr>
        <w:br w:type="page"/>
      </w:r>
    </w:p>
    <w:p w14:paraId="44C919B1" w14:textId="71929512" w:rsidR="00C21907" w:rsidRPr="00C21907" w:rsidRDefault="00D60B8E" w:rsidP="00F052B0">
      <w:pPr>
        <w:ind w:left="360"/>
        <w:jc w:val="center"/>
        <w:rPr>
          <w:rFonts w:ascii="Arial" w:hAnsi="Arial" w:cstheme="minorBidi" w:hint="cs"/>
          <w:iCs/>
          <w:cs/>
        </w:rPr>
      </w:pPr>
      <w:r>
        <w:rPr>
          <w:noProof/>
        </w:rPr>
        <w:lastRenderedPageBreak/>
        <w:drawing>
          <wp:inline distT="0" distB="0" distL="0" distR="0" wp14:anchorId="5257CFC6" wp14:editId="7699858B">
            <wp:extent cx="2276264" cy="3414395"/>
            <wp:effectExtent l="0" t="0" r="0" b="0"/>
            <wp:docPr id="12717665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81777" cy="3422665"/>
                    </a:xfrm>
                    <a:prstGeom prst="rect">
                      <a:avLst/>
                    </a:prstGeom>
                    <a:noFill/>
                    <a:ln>
                      <a:noFill/>
                    </a:ln>
                  </pic:spPr>
                </pic:pic>
              </a:graphicData>
            </a:graphic>
          </wp:inline>
        </w:drawing>
      </w:r>
    </w:p>
    <w:p w14:paraId="54C72E9A" w14:textId="6F61034C" w:rsidR="00C21907" w:rsidRPr="00C21907" w:rsidRDefault="00C21907" w:rsidP="00F052B0">
      <w:pPr>
        <w:spacing w:before="120" w:after="120"/>
        <w:jc w:val="thaiDistribute"/>
        <w:rPr>
          <w:rFonts w:ascii="Arial" w:hAnsi="Arial" w:cstheme="minorBidi"/>
          <w:b/>
          <w:bCs/>
          <w:iCs/>
        </w:rPr>
      </w:pPr>
      <w:r w:rsidRPr="00C21907">
        <w:rPr>
          <w:rFonts w:ascii="Arial" w:hAnsi="Arial" w:cstheme="minorBidi"/>
          <w:b/>
          <w:bCs/>
          <w:iCs/>
        </w:rPr>
        <w:t xml:space="preserve"> Marine Governance in Thailand: Key Components and Assessment Overview</w:t>
      </w:r>
    </w:p>
    <w:p w14:paraId="3CDED5E4" w14:textId="781B9173" w:rsidR="00C21907" w:rsidRPr="00F052B0" w:rsidRDefault="00C21907" w:rsidP="00F052B0">
      <w:pPr>
        <w:spacing w:before="120" w:after="120"/>
        <w:jc w:val="thaiDistribute"/>
        <w:rPr>
          <w:rFonts w:ascii="Arial" w:hAnsi="Arial" w:cstheme="minorBidi"/>
          <w:iCs/>
          <w:sz w:val="22"/>
          <w:szCs w:val="22"/>
        </w:rPr>
      </w:pPr>
      <w:r w:rsidRPr="00F052B0">
        <w:rPr>
          <w:rFonts w:ascii="Arial" w:hAnsi="Arial" w:cstheme="minorBidi"/>
          <w:iCs/>
          <w:sz w:val="22"/>
          <w:szCs w:val="22"/>
        </w:rPr>
        <w:t xml:space="preserve">This infographic </w:t>
      </w:r>
      <w:proofErr w:type="spellStart"/>
      <w:r w:rsidRPr="00F052B0">
        <w:rPr>
          <w:rFonts w:ascii="Arial" w:hAnsi="Arial" w:cstheme="minorBidi"/>
          <w:iCs/>
          <w:sz w:val="22"/>
          <w:szCs w:val="22"/>
        </w:rPr>
        <w:t>summarises</w:t>
      </w:r>
      <w:proofErr w:type="spellEnd"/>
      <w:r w:rsidRPr="00F052B0">
        <w:rPr>
          <w:rFonts w:ascii="Arial" w:hAnsi="Arial" w:cstheme="minorBidi"/>
          <w:iCs/>
          <w:sz w:val="22"/>
          <w:szCs w:val="22"/>
        </w:rPr>
        <w:t xml:space="preserve"> the core components of Thailand’s marine governance system and the results of the national self-assessment using the TWAP Governance Architecture Assessment Framework. The upper panel highlights the geographic scope of marine governance within Thailand. The middle panel presents four foundational governance elements—economic drivers, institutional arrangements, civil society engagement, and the legal and policy setting—together with the TWAP assessment wheel illustrating scores for completeness, integration, and engagement. The lower panel </w:t>
      </w:r>
      <w:proofErr w:type="spellStart"/>
      <w:r w:rsidRPr="00F052B0">
        <w:rPr>
          <w:rFonts w:ascii="Arial" w:hAnsi="Arial" w:cstheme="minorBidi"/>
          <w:iCs/>
          <w:sz w:val="22"/>
          <w:szCs w:val="22"/>
        </w:rPr>
        <w:t>synthesises</w:t>
      </w:r>
      <w:proofErr w:type="spellEnd"/>
      <w:r w:rsidRPr="00F052B0">
        <w:rPr>
          <w:rFonts w:ascii="Arial" w:hAnsi="Arial" w:cstheme="minorBidi"/>
          <w:iCs/>
          <w:sz w:val="22"/>
          <w:szCs w:val="22"/>
        </w:rPr>
        <w:t xml:space="preserve"> the key findings: Thailand has a comprehensive legal and institutional foundation and well-established participatory mechanisms, but governance effectiveness is constrained by weak cross-sectoral integration and economic concentration in the Eastern Economic Corridor (EEC). Together, these components illustrate the strengths and persistent gaps shaping Thailand’s capacity for effective coastal and marine governance.</w:t>
      </w:r>
    </w:p>
    <w:p w14:paraId="3FA3501E" w14:textId="3BE1A624" w:rsidR="00C21907" w:rsidRDefault="00C21907">
      <w:pPr>
        <w:spacing w:before="120" w:after="120"/>
        <w:ind w:firstLine="1134"/>
        <w:jc w:val="thaiDistribute"/>
        <w:rPr>
          <w:rFonts w:ascii="Arial" w:hAnsi="Arial" w:cstheme="minorBidi"/>
          <w:iCs/>
        </w:rPr>
      </w:pPr>
    </w:p>
    <w:p w14:paraId="4E2DDAD8" w14:textId="77777777" w:rsidR="00032BD6" w:rsidRPr="00F052B0" w:rsidRDefault="00032BD6" w:rsidP="00F052B0">
      <w:pPr>
        <w:ind w:left="360"/>
        <w:rPr>
          <w:rFonts w:ascii="Arial" w:hAnsi="Arial" w:cstheme="minorBidi"/>
          <w:iCs/>
        </w:rPr>
      </w:pPr>
    </w:p>
    <w:p w14:paraId="53CCED86" w14:textId="77777777" w:rsidR="00AE1896" w:rsidRPr="00F052B0" w:rsidRDefault="00AE1896" w:rsidP="00F052B0">
      <w:pPr>
        <w:ind w:left="360" w:hanging="360"/>
        <w:rPr>
          <w:rFonts w:ascii="Arial" w:hAnsi="Arial" w:cstheme="minorBidi"/>
          <w:iCs/>
        </w:rPr>
      </w:pPr>
    </w:p>
    <w:p w14:paraId="56AF7A0D" w14:textId="77777777" w:rsidR="00C21907" w:rsidRDefault="00C21907">
      <w:pPr>
        <w:spacing w:before="120" w:after="120"/>
        <w:ind w:firstLine="1134"/>
        <w:jc w:val="thaiDistribute"/>
        <w:rPr>
          <w:rFonts w:ascii="Arial" w:hAnsi="Arial" w:cs="Arial"/>
          <w:b/>
          <w:bCs/>
          <w:color w:val="000000"/>
        </w:rPr>
      </w:pPr>
      <w:r>
        <w:rPr>
          <w:rFonts w:ascii="Arial" w:hAnsi="Arial" w:cs="Arial"/>
          <w:b/>
          <w:bCs/>
          <w:color w:val="000000"/>
        </w:rPr>
        <w:br w:type="page"/>
      </w:r>
    </w:p>
    <w:p w14:paraId="595E933A" w14:textId="643EC243" w:rsidR="00307478" w:rsidRPr="00F052B0" w:rsidRDefault="00307478" w:rsidP="00F052B0">
      <w:pPr>
        <w:pBdr>
          <w:top w:val="nil"/>
          <w:left w:val="nil"/>
          <w:bottom w:val="nil"/>
          <w:right w:val="nil"/>
          <w:between w:val="nil"/>
        </w:pBdr>
        <w:rPr>
          <w:rFonts w:ascii="Arial" w:hAnsi="Arial" w:cs="Arial"/>
          <w:b/>
          <w:bCs/>
          <w:color w:val="000000"/>
        </w:rPr>
      </w:pPr>
      <w:r w:rsidRPr="00F052B0">
        <w:rPr>
          <w:rFonts w:ascii="Arial" w:hAnsi="Arial" w:cs="Arial"/>
          <w:b/>
          <w:bCs/>
          <w:color w:val="000000"/>
        </w:rPr>
        <w:lastRenderedPageBreak/>
        <w:t xml:space="preserve">6.1 </w:t>
      </w:r>
      <w:commentRangeStart w:id="2"/>
      <w:commentRangeStart w:id="3"/>
      <w:commentRangeStart w:id="4"/>
      <w:r w:rsidRPr="00F052B0">
        <w:rPr>
          <w:rFonts w:ascii="Arial" w:hAnsi="Arial" w:cs="Arial"/>
          <w:b/>
          <w:bCs/>
          <w:color w:val="000000"/>
        </w:rPr>
        <w:t>Key findings</w:t>
      </w:r>
      <w:commentRangeEnd w:id="2"/>
      <w:r w:rsidRPr="00F052B0">
        <w:rPr>
          <w:rStyle w:val="CommentReference"/>
          <w:rFonts w:ascii="Arial" w:hAnsi="Arial" w:cs="Arial"/>
          <w:b/>
          <w:bCs/>
          <w:sz w:val="24"/>
          <w:szCs w:val="24"/>
        </w:rPr>
        <w:commentReference w:id="2"/>
      </w:r>
      <w:commentRangeEnd w:id="3"/>
      <w:r w:rsidR="00F34594" w:rsidRPr="00F052B0">
        <w:rPr>
          <w:rStyle w:val="CommentReference"/>
          <w:rFonts w:ascii="Arial" w:hAnsi="Arial" w:cs="Arial"/>
          <w:b/>
          <w:bCs/>
          <w:sz w:val="24"/>
          <w:szCs w:val="24"/>
        </w:rPr>
        <w:commentReference w:id="3"/>
      </w:r>
      <w:commentRangeEnd w:id="4"/>
      <w:r w:rsidR="00FC07F1" w:rsidRPr="00F052B0">
        <w:rPr>
          <w:rStyle w:val="CommentReference"/>
          <w:rFonts w:ascii="Arial" w:hAnsi="Arial" w:cs="Arial"/>
          <w:sz w:val="24"/>
          <w:szCs w:val="24"/>
        </w:rPr>
        <w:commentReference w:id="4"/>
      </w:r>
    </w:p>
    <w:p w14:paraId="752E816B" w14:textId="77777777" w:rsidR="00454DA7" w:rsidRPr="00E419B7" w:rsidRDefault="00454DA7" w:rsidP="00731EE0">
      <w:pPr>
        <w:pBdr>
          <w:top w:val="nil"/>
          <w:left w:val="nil"/>
          <w:bottom w:val="nil"/>
          <w:right w:val="nil"/>
          <w:between w:val="nil"/>
        </w:pBdr>
        <w:jc w:val="both"/>
        <w:rPr>
          <w:rFonts w:ascii="Arial" w:hAnsi="Arial" w:cs="Arial"/>
          <w:b/>
          <w:bCs/>
          <w:color w:val="000000"/>
        </w:rPr>
      </w:pPr>
    </w:p>
    <w:p w14:paraId="47F17D7E" w14:textId="7777777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6.1.1 Economic arrangements</w:t>
      </w:r>
    </w:p>
    <w:p w14:paraId="16682ECE" w14:textId="7777777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The Gulf of Thailand is a core economic engine, contributing roughly 60–65% of national GPP through industry, tourism, fisheries, and logistics. Rapid expansion under the Eastern Economic Corridor (EEC) has intensified pressures on coastal ecosystems via land conversion, pollution, habitat loss, and overexploitation. Strong economic disparities among provinces result in uneven capacity for marine resource management, with EEC provinces far better resourced than lower-income coastal areas.</w:t>
      </w:r>
    </w:p>
    <w:p w14:paraId="01CE408F" w14:textId="77777777" w:rsidR="00316D46" w:rsidRPr="00E419B7" w:rsidRDefault="00316D46" w:rsidP="00316D46">
      <w:pPr>
        <w:pBdr>
          <w:top w:val="nil"/>
          <w:left w:val="nil"/>
          <w:bottom w:val="nil"/>
          <w:right w:val="nil"/>
          <w:between w:val="nil"/>
        </w:pBdr>
        <w:jc w:val="both"/>
        <w:rPr>
          <w:rFonts w:ascii="Arial" w:hAnsi="Arial" w:cs="Arial"/>
          <w:color w:val="000000"/>
        </w:rPr>
      </w:pPr>
    </w:p>
    <w:p w14:paraId="35D85B1F" w14:textId="7777777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6.1.2 Institutional setting</w:t>
      </w:r>
    </w:p>
    <w:p w14:paraId="482C7646" w14:textId="7777777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Thailand has a complex institutional structure involving multiple ministries, agencies, and cross-sectoral committees. While DMCR holds the primary mandate, effective governance depends on coordination with DOF, DNP, ONEP, PCD, DCCE, MD, and RTN. Despite strong national arrangements, coordination remains fragmented and provincial implementation capacity varies. Provincial committees continue to face weak integration, irregular operations, and limited participation of small-scale fishers and women.</w:t>
      </w:r>
    </w:p>
    <w:p w14:paraId="3A04F0BE" w14:textId="77777777" w:rsidR="00316D46" w:rsidRPr="00E419B7" w:rsidRDefault="00316D46" w:rsidP="00316D46">
      <w:pPr>
        <w:pBdr>
          <w:top w:val="nil"/>
          <w:left w:val="nil"/>
          <w:bottom w:val="nil"/>
          <w:right w:val="nil"/>
          <w:between w:val="nil"/>
        </w:pBdr>
        <w:jc w:val="both"/>
        <w:rPr>
          <w:rFonts w:ascii="Arial" w:hAnsi="Arial" w:cs="Arial"/>
          <w:color w:val="000000"/>
        </w:rPr>
      </w:pPr>
    </w:p>
    <w:p w14:paraId="6CC2363E" w14:textId="16223982"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6.1.3 Legal and policy framework</w:t>
      </w:r>
    </w:p>
    <w:p w14:paraId="71A7C80E" w14:textId="7777777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Thailand possesses a comprehensive legal and policy framework aligned with key international commitments (UNCLOS, CBD, GBF, SDG 14). Core instruments include the Marine and Coastal Resources Management Act (2015), Fisheries Ordinance (2015), Environmental Quality Act, Climate Change Master Plan, NBSAPs, and the National Marine and Coastal Resources Management Plan (2023–2027). However, enforcement gaps persist, and pending legislation (Climate Change Act and National Biodiversity Act) constrains long-term legal certainty.</w:t>
      </w:r>
    </w:p>
    <w:p w14:paraId="25807FD2" w14:textId="77777777" w:rsidR="00316D46" w:rsidRPr="00E419B7" w:rsidRDefault="00316D46" w:rsidP="00316D46">
      <w:pPr>
        <w:pBdr>
          <w:top w:val="nil"/>
          <w:left w:val="nil"/>
          <w:bottom w:val="nil"/>
          <w:right w:val="nil"/>
          <w:between w:val="nil"/>
        </w:pBdr>
        <w:jc w:val="both"/>
        <w:rPr>
          <w:rFonts w:ascii="Arial" w:hAnsi="Arial" w:cs="Arial"/>
          <w:color w:val="000000"/>
        </w:rPr>
      </w:pPr>
    </w:p>
    <w:p w14:paraId="4CB2B1B4" w14:textId="7D5E4B6D"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6.1.4 Civil society, stakeholders, and partnerships</w:t>
      </w:r>
    </w:p>
    <w:p w14:paraId="7E582087" w14:textId="628938E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Thailand is highly active in regional and global marine governance platforms (e.g., UNEP/COBSEA, ASEAN, APEC, IOC/WESTPAC, IORA), with DMCR playing a central leadership role. At the local level, however, participation remains uneven. Women and marginalized groups have limited influence, and community engagement is strongest when supported by long-term donor or academic partnerships.</w:t>
      </w:r>
    </w:p>
    <w:p w14:paraId="11EBA9CD" w14:textId="77777777" w:rsidR="00316D46" w:rsidRPr="00E419B7" w:rsidRDefault="00316D46" w:rsidP="00316D46">
      <w:pPr>
        <w:pBdr>
          <w:top w:val="nil"/>
          <w:left w:val="nil"/>
          <w:bottom w:val="nil"/>
          <w:right w:val="nil"/>
          <w:between w:val="nil"/>
        </w:pBdr>
        <w:jc w:val="both"/>
        <w:rPr>
          <w:rFonts w:ascii="Arial" w:hAnsi="Arial" w:cs="Arial"/>
          <w:color w:val="000000"/>
        </w:rPr>
      </w:pPr>
    </w:p>
    <w:p w14:paraId="15E4C897" w14:textId="6F61B1B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Overall finding</w:t>
      </w:r>
    </w:p>
    <w:p w14:paraId="04F011EA" w14:textId="77777777" w:rsidR="00316D46" w:rsidRPr="00E419B7" w:rsidRDefault="00316D46" w:rsidP="00316D46">
      <w:pPr>
        <w:pBdr>
          <w:top w:val="nil"/>
          <w:left w:val="nil"/>
          <w:bottom w:val="nil"/>
          <w:right w:val="nil"/>
          <w:between w:val="nil"/>
        </w:pBdr>
        <w:jc w:val="both"/>
        <w:rPr>
          <w:rFonts w:ascii="Arial" w:hAnsi="Arial" w:cs="Arial"/>
          <w:color w:val="000000"/>
        </w:rPr>
      </w:pPr>
      <w:r w:rsidRPr="00E419B7">
        <w:rPr>
          <w:rFonts w:ascii="Arial" w:hAnsi="Arial" w:cs="Arial"/>
          <w:color w:val="000000"/>
        </w:rPr>
        <w:t>Thailand demonstrates strong national policy frameworks and active regional engagement, but persistent implementation gaps—driven by institutional fragmentation, economic disparities, and uneven provincial capacity—pose ongoing governance risks. Strengthening cross-sectoral coordination, inclusive participation, legal coherence, and sustainable financing is essential for effective governance of marine and coastal resources in the Gulf of Thailand.</w:t>
      </w:r>
    </w:p>
    <w:p w14:paraId="5328153D" w14:textId="77777777" w:rsidR="00316D46" w:rsidRPr="00E419B7" w:rsidRDefault="00316D46" w:rsidP="00731EE0">
      <w:pPr>
        <w:pBdr>
          <w:top w:val="nil"/>
          <w:left w:val="nil"/>
          <w:bottom w:val="nil"/>
          <w:right w:val="nil"/>
          <w:between w:val="nil"/>
        </w:pBdr>
        <w:jc w:val="both"/>
        <w:rPr>
          <w:rFonts w:ascii="Arial" w:hAnsi="Arial" w:cs="Arial"/>
          <w:b/>
          <w:bCs/>
          <w:color w:val="000000"/>
        </w:rPr>
      </w:pPr>
    </w:p>
    <w:p w14:paraId="2FA8CBAF" w14:textId="77777777" w:rsidR="00307478" w:rsidRPr="00E419B7" w:rsidRDefault="00307478" w:rsidP="00731EE0">
      <w:pPr>
        <w:pBdr>
          <w:top w:val="nil"/>
          <w:left w:val="nil"/>
          <w:bottom w:val="nil"/>
          <w:right w:val="nil"/>
          <w:between w:val="nil"/>
        </w:pBdr>
        <w:jc w:val="both"/>
        <w:rPr>
          <w:rFonts w:ascii="Arial" w:hAnsi="Arial" w:cs="Arial"/>
          <w:color w:val="000000"/>
        </w:rPr>
      </w:pPr>
    </w:p>
    <w:p w14:paraId="3A95EBD9" w14:textId="77777777" w:rsidR="009F4C49" w:rsidRPr="00E419B7" w:rsidRDefault="009F4C49" w:rsidP="00731EE0">
      <w:pPr>
        <w:pBdr>
          <w:top w:val="nil"/>
          <w:left w:val="nil"/>
          <w:bottom w:val="nil"/>
          <w:right w:val="nil"/>
          <w:between w:val="nil"/>
        </w:pBdr>
        <w:jc w:val="both"/>
        <w:rPr>
          <w:rFonts w:ascii="Arial" w:hAnsi="Arial" w:cs="Arial"/>
          <w:color w:val="000000"/>
          <w:cs/>
        </w:rPr>
      </w:pPr>
    </w:p>
    <w:p w14:paraId="4DCEFEA7" w14:textId="77777777" w:rsidR="00C21907" w:rsidRDefault="00C21907">
      <w:pPr>
        <w:spacing w:before="120" w:after="120"/>
        <w:ind w:firstLine="1134"/>
        <w:jc w:val="thaiDistribute"/>
        <w:rPr>
          <w:rFonts w:ascii="Arial" w:hAnsi="Arial" w:cs="Arial"/>
          <w:b/>
          <w:bCs/>
          <w:color w:val="000000"/>
          <w:sz w:val="32"/>
          <w:szCs w:val="32"/>
        </w:rPr>
      </w:pPr>
      <w:r>
        <w:rPr>
          <w:rFonts w:ascii="Arial" w:hAnsi="Arial" w:cs="Arial"/>
          <w:b/>
          <w:bCs/>
          <w:color w:val="000000"/>
          <w:sz w:val="32"/>
          <w:szCs w:val="32"/>
        </w:rPr>
        <w:br w:type="page"/>
      </w:r>
    </w:p>
    <w:p w14:paraId="4A35DFA6" w14:textId="3D179C2B" w:rsidR="00307478" w:rsidRDefault="00307478" w:rsidP="00731EE0">
      <w:pPr>
        <w:pBdr>
          <w:top w:val="nil"/>
          <w:left w:val="nil"/>
          <w:bottom w:val="nil"/>
          <w:right w:val="nil"/>
          <w:between w:val="nil"/>
        </w:pBdr>
        <w:jc w:val="both"/>
        <w:rPr>
          <w:rFonts w:ascii="Arial" w:hAnsi="Arial" w:cs="Arial"/>
          <w:b/>
          <w:bCs/>
          <w:color w:val="000000"/>
          <w:sz w:val="32"/>
          <w:szCs w:val="32"/>
        </w:rPr>
      </w:pPr>
      <w:commentRangeStart w:id="5"/>
      <w:r w:rsidRPr="00E419B7">
        <w:rPr>
          <w:rFonts w:ascii="Arial" w:hAnsi="Arial" w:cs="Arial"/>
          <w:b/>
          <w:bCs/>
          <w:color w:val="000000"/>
          <w:sz w:val="32"/>
          <w:szCs w:val="32"/>
        </w:rPr>
        <w:lastRenderedPageBreak/>
        <w:t>6.2 Current Status</w:t>
      </w:r>
      <w:commentRangeEnd w:id="5"/>
      <w:r w:rsidRPr="00E419B7">
        <w:rPr>
          <w:rStyle w:val="CommentReference"/>
          <w:rFonts w:ascii="Arial" w:hAnsi="Arial" w:cs="Arial"/>
          <w:b/>
          <w:bCs/>
          <w:sz w:val="32"/>
          <w:szCs w:val="32"/>
        </w:rPr>
        <w:commentReference w:id="5"/>
      </w:r>
    </w:p>
    <w:p w14:paraId="141E04DB" w14:textId="77777777" w:rsidR="00F715DB" w:rsidRPr="00E419B7" w:rsidRDefault="00F715DB" w:rsidP="00731EE0">
      <w:pPr>
        <w:pBdr>
          <w:top w:val="nil"/>
          <w:left w:val="nil"/>
          <w:bottom w:val="nil"/>
          <w:right w:val="nil"/>
          <w:between w:val="nil"/>
        </w:pBdr>
        <w:jc w:val="both"/>
        <w:rPr>
          <w:rFonts w:ascii="Arial" w:hAnsi="Arial" w:cs="Arial"/>
          <w:b/>
          <w:bCs/>
          <w:color w:val="000000"/>
        </w:rPr>
      </w:pPr>
    </w:p>
    <w:p w14:paraId="1A923185" w14:textId="5E6354EC" w:rsidR="007135CD" w:rsidRPr="00E419B7" w:rsidRDefault="0037698B" w:rsidP="00661BA8">
      <w:pPr>
        <w:ind w:left="360" w:hanging="360"/>
        <w:rPr>
          <w:rFonts w:ascii="Arial" w:hAnsi="Arial" w:cs="Arial"/>
          <w:b/>
          <w:bCs/>
          <w:i/>
          <w:cs/>
        </w:rPr>
      </w:pPr>
      <w:r w:rsidRPr="00E419B7">
        <w:rPr>
          <w:rFonts w:ascii="Arial" w:hAnsi="Arial" w:cs="Arial"/>
          <w:b/>
          <w:bCs/>
          <w:iCs/>
          <w:sz w:val="28"/>
          <w:szCs w:val="28"/>
        </w:rPr>
        <w:t>6.2.1</w:t>
      </w:r>
      <w:r w:rsidR="00661BA8" w:rsidRPr="00E419B7">
        <w:rPr>
          <w:rFonts w:ascii="Arial" w:hAnsi="Arial" w:cs="Arial"/>
          <w:b/>
          <w:bCs/>
          <w:iCs/>
          <w:sz w:val="28"/>
          <w:szCs w:val="28"/>
        </w:rPr>
        <w:t>Economic</w:t>
      </w:r>
      <w:r w:rsidR="007135CD" w:rsidRPr="00E419B7">
        <w:rPr>
          <w:rFonts w:ascii="Arial" w:hAnsi="Arial" w:cs="Arial"/>
          <w:b/>
          <w:bCs/>
          <w:iCs/>
          <w:sz w:val="28"/>
          <w:szCs w:val="28"/>
        </w:rPr>
        <w:t xml:space="preserve"> arrangements</w:t>
      </w:r>
      <w:r w:rsidR="007135CD" w:rsidRPr="00E419B7">
        <w:rPr>
          <w:rFonts w:ascii="Arial" w:hAnsi="Arial" w:cs="Arial"/>
          <w:i/>
        </w:rPr>
        <w:t xml:space="preserve"> </w:t>
      </w:r>
    </w:p>
    <w:p w14:paraId="6843A806" w14:textId="77777777" w:rsidR="00316D46" w:rsidRPr="00E419B7" w:rsidRDefault="00316D46" w:rsidP="00316D46">
      <w:pPr>
        <w:spacing w:before="100" w:beforeAutospacing="1" w:after="100" w:afterAutospacing="1"/>
        <w:jc w:val="both"/>
        <w:rPr>
          <w:rFonts w:ascii="Arial" w:eastAsia="Times New Roman" w:hAnsi="Arial" w:cs="Arial"/>
        </w:rPr>
      </w:pPr>
      <w:r w:rsidRPr="00E419B7">
        <w:rPr>
          <w:rFonts w:ascii="Arial" w:eastAsia="Times New Roman" w:hAnsi="Arial" w:cs="Arial"/>
        </w:rPr>
        <w:t>The Gulf of Thailand covers approximately 200,000 km² with a coastline of about 2,000 km across 17 coastal provinces from Trat to Narathiwat. It contains highly productive ecosystems, including coral reefs, mangroves, and seagrass beds, that underpin food security, biodiversity conservation, and coastal livelihoods (DMCR, 2013). These ecosystems also support Thailand’s major marine-based industries, including fisheries, tourism, maritime transport, seafood processing, energy, and emerging blue economy activities. The total annual value of Thailand’s marine and coastal ecosystems (Gulf of Thailand and Andaman Sea combined) is estimated at approximately THB 24 trillion (USD 742 billion), including both direct economic services and indirect ecosystem services such as coastal protection and carbon sequestration (Sub-Committee on Knowledge Management for Marine National Interests, 2019).</w:t>
      </w:r>
    </w:p>
    <w:p w14:paraId="2775D725" w14:textId="77777777" w:rsidR="00316D46" w:rsidRPr="00E419B7" w:rsidRDefault="00316D46" w:rsidP="00316D46">
      <w:pPr>
        <w:spacing w:before="100" w:beforeAutospacing="1" w:after="100" w:afterAutospacing="1"/>
        <w:jc w:val="both"/>
        <w:rPr>
          <w:rFonts w:ascii="Arial" w:eastAsia="Times New Roman" w:hAnsi="Arial" w:cs="Arial"/>
        </w:rPr>
      </w:pPr>
      <w:r w:rsidRPr="00E419B7">
        <w:rPr>
          <w:rFonts w:ascii="Arial" w:eastAsia="Times New Roman" w:hAnsi="Arial" w:cs="Arial"/>
        </w:rPr>
        <w:t>Over the past two decades, marine resource use in the Gulf of Thailand has intensified alongside rapid economic development. Key drivers include the Eastern Economic Corridor (EEC), coastal urbanization, and expansion of marine tourism. Since its launch in 2017, the EEC has transformed Chonburi, Chachoengsao, and Rayong into major industrial and logistics hubs, driving large-scale port development, industrial estates, and coastal land conversion. While these investments have strengthened national economic growth, they have also contributed to significant environmental degradation, including mangrove loss, coral and seagrass decline, overfishing, and increasing marine pollution (Sub-Committee on Knowledge Management for Marine National Interests, 2019).</w:t>
      </w:r>
    </w:p>
    <w:p w14:paraId="0F1C65E8" w14:textId="0F55C3B8" w:rsidR="00316D46" w:rsidRPr="00E419B7" w:rsidRDefault="00316D46" w:rsidP="00316D46">
      <w:pPr>
        <w:spacing w:before="100" w:beforeAutospacing="1" w:after="100" w:afterAutospacing="1"/>
        <w:jc w:val="both"/>
        <w:rPr>
          <w:rFonts w:ascii="Arial" w:eastAsia="Times New Roman" w:hAnsi="Arial" w:cs="Arial"/>
        </w:rPr>
      </w:pPr>
      <w:r w:rsidRPr="00E419B7">
        <w:rPr>
          <w:rFonts w:ascii="Arial" w:eastAsia="Times New Roman" w:hAnsi="Arial" w:cs="Arial"/>
        </w:rPr>
        <w:t>National budget allocations and rising domestic and foreign investments continue to shape infrastructure and industrial development across the Gulf, with marked variation among provinces. Given the scale of economic pressure on marine ecosystems, strengthening sustainable financing mechanisms and improving integration between economic and environmental policies are essential to support long-term conservation, ecosystem restoration, and the sustainable use of marine and coastal resources in the Gulf of Thailand.</w:t>
      </w:r>
    </w:p>
    <w:p w14:paraId="2AB2C28F" w14:textId="6835783B" w:rsidR="008E4CA0" w:rsidRPr="00E419B7" w:rsidRDefault="007135CD" w:rsidP="003823C5">
      <w:pPr>
        <w:pStyle w:val="ListParagraph"/>
        <w:numPr>
          <w:ilvl w:val="3"/>
          <w:numId w:val="87"/>
        </w:numPr>
        <w:rPr>
          <w:rFonts w:ascii="Arial" w:hAnsi="Arial" w:cs="Arial"/>
          <w:sz w:val="28"/>
          <w:szCs w:val="28"/>
        </w:rPr>
      </w:pPr>
      <w:r w:rsidRPr="00E419B7">
        <w:rPr>
          <w:rFonts w:ascii="Arial" w:hAnsi="Arial" w:cs="Arial"/>
          <w:b/>
          <w:bCs/>
          <w:iCs/>
          <w:sz w:val="28"/>
          <w:szCs w:val="28"/>
        </w:rPr>
        <w:t>Poli</w:t>
      </w:r>
      <w:r w:rsidR="00412508" w:rsidRPr="00E419B7">
        <w:rPr>
          <w:rFonts w:ascii="Arial" w:hAnsi="Arial" w:cs="Arial"/>
          <w:b/>
          <w:bCs/>
          <w:iCs/>
          <w:sz w:val="28"/>
          <w:szCs w:val="28"/>
        </w:rPr>
        <w:t xml:space="preserve">cy </w:t>
      </w:r>
      <w:r w:rsidRPr="00E419B7">
        <w:rPr>
          <w:rFonts w:ascii="Arial" w:hAnsi="Arial" w:cs="Arial"/>
          <w:b/>
          <w:bCs/>
          <w:iCs/>
          <w:sz w:val="28"/>
          <w:szCs w:val="28"/>
        </w:rPr>
        <w:t xml:space="preserve">and Economic Drivers </w:t>
      </w:r>
    </w:p>
    <w:p w14:paraId="4D6BFE61" w14:textId="77777777" w:rsidR="008E4CA0" w:rsidRPr="00E419B7" w:rsidRDefault="008E4CA0" w:rsidP="00223E75">
      <w:pPr>
        <w:ind w:left="720"/>
        <w:rPr>
          <w:rFonts w:ascii="Arial" w:hAnsi="Arial" w:cs="Arial"/>
          <w:b/>
          <w:bCs/>
          <w:iCs/>
        </w:rPr>
      </w:pPr>
    </w:p>
    <w:p w14:paraId="49816EA5" w14:textId="2FB294FE" w:rsidR="00E05DDD" w:rsidRDefault="00E05DDD" w:rsidP="00223E75">
      <w:pPr>
        <w:rPr>
          <w:rFonts w:ascii="Arial" w:hAnsi="Arial" w:cs="Arial"/>
          <w:b/>
          <w:bCs/>
        </w:rPr>
      </w:pPr>
      <w:r w:rsidRPr="00E419B7">
        <w:rPr>
          <w:rFonts w:ascii="Arial" w:hAnsi="Arial" w:cs="Arial"/>
          <w:b/>
          <w:bCs/>
        </w:rPr>
        <w:t>Poli</w:t>
      </w:r>
      <w:r w:rsidR="00412508" w:rsidRPr="00E419B7">
        <w:rPr>
          <w:rFonts w:ascii="Arial" w:hAnsi="Arial" w:cs="Arial"/>
          <w:b/>
          <w:bCs/>
        </w:rPr>
        <w:t xml:space="preserve">cy </w:t>
      </w:r>
      <w:r w:rsidRPr="00E419B7">
        <w:rPr>
          <w:rFonts w:ascii="Arial" w:hAnsi="Arial" w:cs="Arial"/>
          <w:b/>
          <w:bCs/>
        </w:rPr>
        <w:t>drivers</w:t>
      </w:r>
    </w:p>
    <w:p w14:paraId="710AAB6A" w14:textId="77777777" w:rsidR="00A66A97" w:rsidRPr="00E419B7" w:rsidRDefault="00A66A97" w:rsidP="00223E75">
      <w:pPr>
        <w:rPr>
          <w:rFonts w:ascii="Arial" w:hAnsi="Arial" w:cs="Arial"/>
          <w:b/>
          <w:bCs/>
        </w:rPr>
      </w:pPr>
    </w:p>
    <w:p w14:paraId="33044AB9" w14:textId="16809A90" w:rsidR="0018616B" w:rsidRPr="00E419B7" w:rsidRDefault="0018616B" w:rsidP="0018616B">
      <w:pPr>
        <w:jc w:val="both"/>
        <w:rPr>
          <w:rFonts w:ascii="Arial" w:hAnsi="Arial" w:cs="Arial"/>
        </w:rPr>
      </w:pPr>
      <w:r w:rsidRPr="00E419B7">
        <w:rPr>
          <w:rFonts w:ascii="Arial" w:hAnsi="Arial" w:cs="Arial"/>
        </w:rPr>
        <w:t>Economic development policies and political priorities strongly shape marine and coastal resource use in the Gulf of Thailand, a national hub for industry, tourism, and fisheries. Over the past two decades, development has been guided by the National Economic and Social Development Plans and the 20-Year National Strategy, which promote economic competitiveness alongside environmental sustainability. Key policy drivers include the bio-economy and marine tourism, industrial and port expansion under the Eastern Economic Corridor, and environmental strategies such as the Blue Economy, Bio-Circular-Green (BCG) Economy, and Marine Spatial Planning.</w:t>
      </w:r>
    </w:p>
    <w:p w14:paraId="08EDE9A3" w14:textId="77777777" w:rsidR="0018616B" w:rsidRPr="00E419B7" w:rsidRDefault="0018616B" w:rsidP="0018616B">
      <w:pPr>
        <w:jc w:val="both"/>
        <w:rPr>
          <w:rFonts w:ascii="Arial" w:hAnsi="Arial" w:cs="Arial"/>
        </w:rPr>
      </w:pPr>
    </w:p>
    <w:p w14:paraId="46B35966" w14:textId="6D3798CD" w:rsidR="0018616B" w:rsidRPr="00E419B7" w:rsidRDefault="0018616B" w:rsidP="0018616B">
      <w:pPr>
        <w:jc w:val="both"/>
        <w:rPr>
          <w:rFonts w:ascii="Arial" w:hAnsi="Arial" w:cs="Arial"/>
        </w:rPr>
      </w:pPr>
      <w:r w:rsidRPr="00E419B7">
        <w:rPr>
          <w:rFonts w:ascii="Arial" w:hAnsi="Arial" w:cs="Arial"/>
        </w:rPr>
        <w:lastRenderedPageBreak/>
        <w:t>While these policies have supported economic growth, rising incomes, and poverty reduction, they have also intensified pressures on marine ecosystems. Significant impacts include mangrove loss, coral and seagrass degradation, declining fish stocks, and increasing marine pollution from industrial and shipping activities (PEMSEA &amp; DMCR, 2019; DMCR, 2024). These trends underscore the need for stronger institutional accountability and sustained financing for ecosystem protection and restoration.</w:t>
      </w:r>
    </w:p>
    <w:p w14:paraId="21455B5B" w14:textId="77777777" w:rsidR="00316D46" w:rsidRPr="00E419B7" w:rsidRDefault="00316D46" w:rsidP="0018616B">
      <w:pPr>
        <w:jc w:val="both"/>
        <w:rPr>
          <w:rFonts w:ascii="Arial" w:hAnsi="Arial" w:cs="Arial"/>
        </w:rPr>
      </w:pPr>
    </w:p>
    <w:p w14:paraId="1A44204A" w14:textId="2BA2945A" w:rsidR="00E05DDD" w:rsidRPr="00E419B7" w:rsidRDefault="00E05DDD" w:rsidP="00F34594">
      <w:pPr>
        <w:jc w:val="both"/>
        <w:rPr>
          <w:rFonts w:ascii="Arial" w:hAnsi="Arial" w:cs="Arial"/>
          <w:b/>
          <w:bCs/>
          <w:iCs/>
        </w:rPr>
      </w:pPr>
      <w:r w:rsidRPr="00E419B7">
        <w:rPr>
          <w:rFonts w:ascii="Arial" w:hAnsi="Arial" w:cs="Arial"/>
          <w:b/>
          <w:bCs/>
          <w:iCs/>
        </w:rPr>
        <w:t>Economic drivers</w:t>
      </w:r>
    </w:p>
    <w:p w14:paraId="42977EF7" w14:textId="77777777" w:rsidR="00E05DDD" w:rsidRPr="00E419B7" w:rsidRDefault="00E05DDD" w:rsidP="00E05DDD">
      <w:pPr>
        <w:pStyle w:val="ListParagraph"/>
        <w:ind w:left="1080"/>
        <w:rPr>
          <w:rFonts w:ascii="Arial" w:hAnsi="Arial" w:cs="Arial"/>
          <w:i/>
        </w:rPr>
      </w:pPr>
    </w:p>
    <w:p w14:paraId="3C60201D" w14:textId="5EB65343" w:rsidR="004214FD" w:rsidRPr="00E419B7" w:rsidRDefault="004214FD" w:rsidP="0003439A">
      <w:pPr>
        <w:rPr>
          <w:rFonts w:ascii="Arial" w:hAnsi="Arial" w:cs="Arial"/>
          <w:cs/>
        </w:rPr>
      </w:pPr>
      <w:r w:rsidRPr="00E419B7">
        <w:rPr>
          <w:rFonts w:ascii="Arial" w:hAnsi="Arial" w:cs="Arial"/>
        </w:rPr>
        <w:t>Over the past two decades (2000–202</w:t>
      </w:r>
      <w:r w:rsidR="003D3ADA" w:rsidRPr="00E419B7">
        <w:rPr>
          <w:rFonts w:ascii="Arial" w:hAnsi="Arial" w:cs="Arial"/>
        </w:rPr>
        <w:t>4</w:t>
      </w:r>
      <w:r w:rsidRPr="00E419B7">
        <w:rPr>
          <w:rFonts w:ascii="Arial" w:hAnsi="Arial" w:cs="Arial"/>
        </w:rPr>
        <w:t>), Thailand’s economy has been shaped by a wide range of dynamics. These include domestic factors such as political uncertainty, constitutional reforms, and multiple changes in government, as well as external influences such as global economic fluctuations, trade tensions among major powers, and the COVID-19 pandemic. All of these have had significant impacts on the country’s overall economic growth.</w:t>
      </w:r>
      <w:r w:rsidR="00DA35F8" w:rsidRPr="00E419B7">
        <w:rPr>
          <w:rFonts w:ascii="Arial" w:hAnsi="Arial" w:cs="Arial"/>
          <w:cs/>
        </w:rPr>
        <w:t xml:space="preserve"> </w:t>
      </w:r>
    </w:p>
    <w:p w14:paraId="69F8AB1D" w14:textId="77777777" w:rsidR="00D96C35" w:rsidRPr="00E419B7" w:rsidRDefault="00D96C35" w:rsidP="00D96C35">
      <w:pPr>
        <w:rPr>
          <w:rFonts w:ascii="Arial" w:hAnsi="Arial" w:cs="Arial"/>
          <w:b/>
          <w:bCs/>
        </w:rPr>
      </w:pPr>
    </w:p>
    <w:p w14:paraId="6E906A05" w14:textId="40CCB14D" w:rsidR="00D96C35" w:rsidRPr="00E419B7" w:rsidRDefault="00983E2B" w:rsidP="00D96C35">
      <w:pPr>
        <w:rPr>
          <w:rFonts w:ascii="Arial" w:hAnsi="Arial" w:cs="Arial"/>
        </w:rPr>
      </w:pPr>
      <w:commentRangeStart w:id="6"/>
      <w:r w:rsidRPr="00E419B7">
        <w:rPr>
          <w:rFonts w:ascii="Arial" w:hAnsi="Arial" w:cs="Arial"/>
          <w:b/>
          <w:bCs/>
        </w:rPr>
        <w:t xml:space="preserve">a) </w:t>
      </w:r>
      <w:commentRangeStart w:id="7"/>
      <w:commentRangeStart w:id="8"/>
      <w:commentRangeStart w:id="9"/>
      <w:r w:rsidR="00D96C35" w:rsidRPr="00E419B7">
        <w:rPr>
          <w:rFonts w:ascii="Arial" w:hAnsi="Arial" w:cs="Arial"/>
          <w:b/>
          <w:bCs/>
        </w:rPr>
        <w:t>Thailand’s Overall Economic Situation (20</w:t>
      </w:r>
      <w:r w:rsidR="00BF4D85" w:rsidRPr="00E419B7">
        <w:rPr>
          <w:rFonts w:ascii="Arial" w:hAnsi="Arial" w:cs="Arial"/>
          <w:b/>
          <w:bCs/>
        </w:rPr>
        <w:t>00</w:t>
      </w:r>
      <w:r w:rsidR="00D96C35" w:rsidRPr="00E419B7">
        <w:rPr>
          <w:rFonts w:ascii="Arial" w:hAnsi="Arial" w:cs="Arial"/>
          <w:b/>
          <w:bCs/>
        </w:rPr>
        <w:t>–202</w:t>
      </w:r>
      <w:r w:rsidR="00BF4D85" w:rsidRPr="00E419B7">
        <w:rPr>
          <w:rFonts w:ascii="Arial" w:hAnsi="Arial" w:cs="Arial"/>
          <w:b/>
          <w:bCs/>
        </w:rPr>
        <w:t>4</w:t>
      </w:r>
      <w:r w:rsidR="00D96C35" w:rsidRPr="00E419B7">
        <w:rPr>
          <w:rFonts w:ascii="Arial" w:hAnsi="Arial" w:cs="Arial"/>
          <w:b/>
          <w:bCs/>
        </w:rPr>
        <w:t>)</w:t>
      </w:r>
      <w:commentRangeEnd w:id="7"/>
      <w:r w:rsidR="00307478" w:rsidRPr="00E419B7">
        <w:rPr>
          <w:rStyle w:val="CommentReference"/>
          <w:rFonts w:ascii="Arial" w:hAnsi="Arial" w:cs="Arial"/>
        </w:rPr>
        <w:commentReference w:id="7"/>
      </w:r>
      <w:commentRangeEnd w:id="8"/>
      <w:r w:rsidR="00F34594" w:rsidRPr="00E419B7">
        <w:rPr>
          <w:rStyle w:val="CommentReference"/>
          <w:rFonts w:ascii="Arial" w:hAnsi="Arial" w:cs="Arial"/>
        </w:rPr>
        <w:commentReference w:id="8"/>
      </w:r>
      <w:commentRangeEnd w:id="9"/>
      <w:r w:rsidR="002423F2" w:rsidRPr="00E419B7">
        <w:rPr>
          <w:rStyle w:val="CommentReference"/>
          <w:rFonts w:ascii="Arial" w:hAnsi="Arial" w:cs="Arial"/>
        </w:rPr>
        <w:commentReference w:id="9"/>
      </w:r>
      <w:commentRangeEnd w:id="6"/>
      <w:r w:rsidR="00BF4D85" w:rsidRPr="00E419B7">
        <w:rPr>
          <w:rStyle w:val="CommentReference"/>
          <w:rFonts w:ascii="Arial" w:hAnsi="Arial" w:cs="Arial"/>
        </w:rPr>
        <w:commentReference w:id="6"/>
      </w:r>
    </w:p>
    <w:p w14:paraId="1A9EB271" w14:textId="550C0D4F" w:rsidR="00F36357" w:rsidRPr="00E419B7" w:rsidRDefault="00F36357" w:rsidP="00F36357">
      <w:pPr>
        <w:rPr>
          <w:rFonts w:ascii="Arial" w:hAnsi="Arial" w:cs="Arial"/>
        </w:rPr>
      </w:pPr>
    </w:p>
    <w:p w14:paraId="3C86BF97" w14:textId="7651461D" w:rsidR="00F36357" w:rsidRDefault="00F36357" w:rsidP="00F36357">
      <w:pPr>
        <w:rPr>
          <w:rFonts w:ascii="Arial" w:hAnsi="Arial" w:cs="Arial"/>
        </w:rPr>
      </w:pPr>
      <w:r w:rsidRPr="00E419B7">
        <w:rPr>
          <w:rFonts w:ascii="Arial" w:hAnsi="Arial" w:cs="Arial"/>
        </w:rPr>
        <w:t>Over the past two decades, Thailand’s economy has expanded substantially, with GDP increasing from USD 126.4 billion in 2000 to USD 526.4 billion in 2024, while GDP per capita rose from USD 1,967 to USD 7,345 (</w:t>
      </w:r>
      <w:r w:rsidRPr="00E419B7">
        <w:rPr>
          <w:rFonts w:ascii="Arial" w:hAnsi="Arial" w:cs="Arial"/>
          <w:color w:val="EE0000"/>
        </w:rPr>
        <w:t>Figures 1–2</w:t>
      </w:r>
      <w:r w:rsidRPr="00E419B7">
        <w:rPr>
          <w:rFonts w:ascii="Arial" w:hAnsi="Arial" w:cs="Arial"/>
        </w:rPr>
        <w:t xml:space="preserve">; </w:t>
      </w:r>
      <w:r w:rsidRPr="00E419B7">
        <w:rPr>
          <w:rFonts w:ascii="Arial" w:hAnsi="Arial" w:cs="Arial"/>
          <w:color w:val="EE0000"/>
        </w:rPr>
        <w:t>Annex 1</w:t>
      </w:r>
      <w:r w:rsidRPr="00E419B7">
        <w:rPr>
          <w:rFonts w:ascii="Arial" w:hAnsi="Arial" w:cs="Arial"/>
        </w:rPr>
        <w:t>). Over the same period, the national poverty rate declined sharply from 61% to about 10%, reflecting significant improvements in living standards and economic resilience. Thailand is currently classified as an upper-middle-income country based on GNI per capita, and poverty reduction has been largely consistent with this income transition (World Bank, 2025).</w:t>
      </w:r>
    </w:p>
    <w:p w14:paraId="24490F4E" w14:textId="77777777" w:rsidR="00A66A97" w:rsidRPr="008D367E" w:rsidRDefault="00A66A97" w:rsidP="00A66A97">
      <w:pPr>
        <w:rPr>
          <w:rFonts w:ascii="Arial" w:hAnsi="Arial" w:cs="Arial"/>
          <w:b/>
          <w:bCs/>
        </w:rPr>
      </w:pPr>
      <w:r w:rsidRPr="008D367E">
        <w:rPr>
          <w:rFonts w:ascii="Arial" w:hAnsi="Arial" w:cs="Arial"/>
          <w:b/>
          <w:bCs/>
        </w:rPr>
        <w:t>b) Economic Profile of the Gulf of Thailand Region</w:t>
      </w:r>
    </w:p>
    <w:p w14:paraId="21DCED84" w14:textId="77777777" w:rsidR="00A66A97" w:rsidRPr="008D367E" w:rsidRDefault="00A66A97" w:rsidP="00A66A97">
      <w:pPr>
        <w:pStyle w:val="NormalWeb"/>
        <w:spacing w:before="0" w:beforeAutospacing="0" w:after="0" w:afterAutospacing="0"/>
        <w:rPr>
          <w:rFonts w:ascii="Arial" w:hAnsi="Arial" w:cs="Arial"/>
        </w:rPr>
      </w:pPr>
    </w:p>
    <w:p w14:paraId="3390B40D" w14:textId="77777777" w:rsidR="00A66A97" w:rsidRPr="008D367E" w:rsidRDefault="00A66A97" w:rsidP="00A66A97">
      <w:pPr>
        <w:pStyle w:val="NormalWeb"/>
        <w:spacing w:before="0" w:beforeAutospacing="0" w:after="0" w:afterAutospacing="0"/>
        <w:rPr>
          <w:rFonts w:ascii="Arial" w:hAnsi="Arial" w:cs="Arial"/>
        </w:rPr>
      </w:pPr>
      <w:r w:rsidRPr="008D367E">
        <w:rPr>
          <w:rFonts w:ascii="Arial" w:hAnsi="Arial" w:cs="Arial"/>
        </w:rPr>
        <w:t>The Gulf of Thailand spans 17 coastal provinces across the eastern, upper, western, and lower Gulf zones. Together, these provinces form a major economic corridor supporting industry, marine and coastal tourism, fisheries, seafood processing, and maritime logistics. The region is therefore a strategic hub for national and international trade and a major contributor to Thailand’s GDP and employment (</w:t>
      </w:r>
      <w:r w:rsidRPr="008D367E">
        <w:rPr>
          <w:rFonts w:ascii="Arial" w:hAnsi="Arial" w:cs="Arial"/>
          <w:color w:val="EE0000"/>
        </w:rPr>
        <w:t>Annex 2).</w:t>
      </w:r>
    </w:p>
    <w:p w14:paraId="51581B0E" w14:textId="77777777" w:rsidR="00A66A97" w:rsidRPr="008D367E" w:rsidRDefault="00A66A97" w:rsidP="00A66A97">
      <w:pPr>
        <w:pStyle w:val="NormalWeb"/>
        <w:spacing w:before="0" w:beforeAutospacing="0" w:after="0" w:afterAutospacing="0"/>
        <w:rPr>
          <w:rFonts w:ascii="Arial" w:hAnsi="Arial" w:cs="Arial"/>
        </w:rPr>
      </w:pPr>
    </w:p>
    <w:p w14:paraId="3C12DB1A" w14:textId="77777777" w:rsidR="00A66A97" w:rsidRPr="008D367E" w:rsidRDefault="00A66A97" w:rsidP="00A66A97">
      <w:pPr>
        <w:rPr>
          <w:rFonts w:ascii="Arial" w:eastAsia="Times New Roman" w:hAnsi="Arial" w:cs="Arial"/>
          <w:b/>
          <w:bCs/>
        </w:rPr>
      </w:pPr>
      <w:r w:rsidRPr="008D367E">
        <w:rPr>
          <w:rFonts w:ascii="Arial" w:eastAsia="Times New Roman" w:hAnsi="Arial" w:cs="Arial"/>
          <w:b/>
          <w:bCs/>
        </w:rPr>
        <w:t xml:space="preserve">c) GPP and Regional Economic Contribution </w:t>
      </w:r>
    </w:p>
    <w:p w14:paraId="3A6C4751" w14:textId="77777777" w:rsidR="00A66A97" w:rsidRPr="008D367E" w:rsidRDefault="00A66A97" w:rsidP="00A66A97">
      <w:pPr>
        <w:rPr>
          <w:rFonts w:ascii="Arial" w:eastAsia="Times New Roman" w:hAnsi="Arial" w:cs="Arial"/>
        </w:rPr>
      </w:pPr>
    </w:p>
    <w:p w14:paraId="66F8C437" w14:textId="77777777" w:rsidR="00A66A97" w:rsidRPr="008D367E" w:rsidRDefault="00A66A97" w:rsidP="00A66A97">
      <w:pPr>
        <w:rPr>
          <w:rFonts w:ascii="Arial" w:eastAsia="Times New Roman" w:hAnsi="Arial" w:cs="Arial"/>
        </w:rPr>
      </w:pPr>
      <w:r w:rsidRPr="008D367E">
        <w:rPr>
          <w:rFonts w:ascii="Arial" w:eastAsia="Times New Roman" w:hAnsi="Arial" w:cs="Arial"/>
        </w:rPr>
        <w:t>From 2000–2023, the Gulf of Thailand consistently contributed about 60–65% of Thailand’s national GPP, increasing from USD 80.25 billion to USD 324.49 billion. Bangkok alone accounted for roughly 32% of national GPP, while the remaining Gulf provinces contributed about 30%. The Eastern Economic Corridor (EEC) provinces—Chonburi, Rayong, and Chachoengsao—emerged as key growth centers driven by strong public and private investment, confirming the Gulf’s central role in Thailand’s industrial, logistics, fisheries, and tourism economy (</w:t>
      </w:r>
      <w:r w:rsidRPr="008D367E">
        <w:rPr>
          <w:rFonts w:ascii="Arial" w:eastAsia="Times New Roman" w:hAnsi="Arial" w:cs="Arial"/>
          <w:color w:val="EE0000"/>
        </w:rPr>
        <w:t>Figure 3).</w:t>
      </w:r>
    </w:p>
    <w:p w14:paraId="708C715B" w14:textId="77777777" w:rsidR="00A66A97" w:rsidRPr="008D367E" w:rsidRDefault="00A66A97" w:rsidP="00A66A97">
      <w:pPr>
        <w:rPr>
          <w:rFonts w:ascii="Arial" w:eastAsia="Times New Roman" w:hAnsi="Arial" w:cs="Arial"/>
        </w:rPr>
      </w:pPr>
    </w:p>
    <w:p w14:paraId="5CB13B32" w14:textId="4A676EA2" w:rsidR="00271C49" w:rsidRPr="00E419B7" w:rsidRDefault="000C3837" w:rsidP="00223E75">
      <w:pPr>
        <w:spacing w:before="120" w:after="120"/>
        <w:jc w:val="thaiDistribute"/>
        <w:rPr>
          <w:rStyle w:val="citation-820"/>
          <w:rFonts w:ascii="Arial" w:hAnsi="Arial" w:cs="Arial"/>
        </w:rPr>
      </w:pPr>
      <w:r w:rsidRPr="00E419B7">
        <w:rPr>
          <w:rFonts w:ascii="Arial" w:hAnsi="Arial" w:cs="Arial"/>
          <w:noProof/>
        </w:rPr>
        <w:lastRenderedPageBreak/>
        <w:drawing>
          <wp:inline distT="0" distB="0" distL="0" distR="0" wp14:anchorId="2AD2E4F2" wp14:editId="03D0D523">
            <wp:extent cx="6385560" cy="3600450"/>
            <wp:effectExtent l="0" t="0" r="0" b="0"/>
            <wp:docPr id="5" name="Chart 5">
              <a:extLst xmlns:a="http://schemas.openxmlformats.org/drawingml/2006/main">
                <a:ext uri="{FF2B5EF4-FFF2-40B4-BE49-F238E27FC236}">
                  <a16:creationId xmlns:a16="http://schemas.microsoft.com/office/drawing/2014/main" id="{FFAB72C3-612F-45AD-B0EF-EC0DD5FCD2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ECBE628" w14:textId="417E2EDD" w:rsidR="000C3837" w:rsidRPr="00E419B7" w:rsidRDefault="000C3837" w:rsidP="000C3837">
      <w:pPr>
        <w:spacing w:before="120" w:after="120"/>
        <w:rPr>
          <w:rFonts w:ascii="Arial" w:hAnsi="Arial" w:cs="Arial"/>
        </w:rPr>
      </w:pPr>
      <w:r w:rsidRPr="00E419B7">
        <w:rPr>
          <w:rFonts w:ascii="Arial" w:hAnsi="Arial" w:cs="Arial"/>
        </w:rPr>
        <w:t>Figure 1</w:t>
      </w:r>
      <w:r w:rsidR="00470BBE" w:rsidRPr="00E419B7">
        <w:rPr>
          <w:rFonts w:ascii="Arial" w:hAnsi="Arial" w:cs="Arial"/>
        </w:rPr>
        <w:t>:</w:t>
      </w:r>
      <w:r w:rsidRPr="00E419B7">
        <w:rPr>
          <w:rFonts w:ascii="Arial" w:hAnsi="Arial" w:cs="Arial"/>
        </w:rPr>
        <w:t xml:space="preserve"> GDP, GDP growth rate</w:t>
      </w:r>
      <w:r w:rsidR="00470BBE" w:rsidRPr="00E419B7">
        <w:rPr>
          <w:rFonts w:ascii="Arial" w:hAnsi="Arial" w:cs="Arial"/>
        </w:rPr>
        <w:t>,</w:t>
      </w:r>
      <w:r w:rsidRPr="00E419B7">
        <w:rPr>
          <w:rFonts w:ascii="Arial" w:hAnsi="Arial" w:cs="Arial"/>
        </w:rPr>
        <w:t xml:space="preserve"> and inflation rate 2000-2023.</w:t>
      </w:r>
    </w:p>
    <w:p w14:paraId="64CFA6BE" w14:textId="77777777" w:rsidR="000C3837" w:rsidRPr="00A66A97" w:rsidRDefault="000C3837" w:rsidP="000C3837">
      <w:pPr>
        <w:spacing w:before="120" w:after="120"/>
        <w:rPr>
          <w:rFonts w:ascii="Arial" w:hAnsi="Arial" w:cs="Arial"/>
        </w:rPr>
      </w:pPr>
    </w:p>
    <w:p w14:paraId="62063A63" w14:textId="1C215942" w:rsidR="000C3837" w:rsidRPr="00E419B7" w:rsidRDefault="000C3837" w:rsidP="00731EE0">
      <w:pPr>
        <w:jc w:val="both"/>
        <w:rPr>
          <w:rStyle w:val="citation-820"/>
          <w:rFonts w:ascii="Arial" w:hAnsi="Arial" w:cs="Arial"/>
        </w:rPr>
      </w:pPr>
      <w:r w:rsidRPr="00E419B7">
        <w:rPr>
          <w:rFonts w:ascii="Arial" w:hAnsi="Arial" w:cs="Arial"/>
          <w:noProof/>
        </w:rPr>
        <w:drawing>
          <wp:inline distT="0" distB="0" distL="0" distR="0" wp14:anchorId="466A0361" wp14:editId="21A2B6A7">
            <wp:extent cx="6106795" cy="3524283"/>
            <wp:effectExtent l="0" t="0" r="8255" b="0"/>
            <wp:docPr id="9" name="Chart 9">
              <a:extLst xmlns:a="http://schemas.openxmlformats.org/drawingml/2006/main">
                <a:ext uri="{FF2B5EF4-FFF2-40B4-BE49-F238E27FC236}">
                  <a16:creationId xmlns:a16="http://schemas.microsoft.com/office/drawing/2014/main" id="{9482ADB8-3F86-460D-8E5E-F6E10D0A28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754C04" w14:textId="3B2E725E" w:rsidR="000C3837" w:rsidRPr="00A66A97" w:rsidRDefault="000C3837" w:rsidP="000C3837">
      <w:pPr>
        <w:spacing w:before="120" w:after="120"/>
        <w:rPr>
          <w:rFonts w:ascii="Arial" w:hAnsi="Arial" w:cs="Arial"/>
        </w:rPr>
      </w:pPr>
      <w:r w:rsidRPr="00E419B7">
        <w:rPr>
          <w:rFonts w:ascii="Arial" w:hAnsi="Arial" w:cs="Arial"/>
        </w:rPr>
        <w:t>Figure 2</w:t>
      </w:r>
      <w:r w:rsidR="00470BBE" w:rsidRPr="00E419B7">
        <w:rPr>
          <w:rFonts w:ascii="Arial" w:hAnsi="Arial" w:cs="Arial"/>
        </w:rPr>
        <w:t>:</w:t>
      </w:r>
      <w:r w:rsidRPr="00E419B7">
        <w:rPr>
          <w:rFonts w:ascii="Arial" w:hAnsi="Arial" w:cs="Arial"/>
        </w:rPr>
        <w:t xml:space="preserve"> GDP per capita, unemployment rate</w:t>
      </w:r>
      <w:r w:rsidR="00470BBE" w:rsidRPr="00E419B7">
        <w:rPr>
          <w:rFonts w:ascii="Arial" w:hAnsi="Arial" w:cs="Arial"/>
        </w:rPr>
        <w:t>,</w:t>
      </w:r>
      <w:r w:rsidRPr="00E419B7">
        <w:rPr>
          <w:rFonts w:ascii="Arial" w:hAnsi="Arial" w:cs="Arial"/>
        </w:rPr>
        <w:t xml:space="preserve"> and poverty headcount ratio 2000-2023</w:t>
      </w:r>
      <w:r w:rsidRPr="00A66A97">
        <w:rPr>
          <w:rFonts w:ascii="Arial" w:hAnsi="Arial" w:cs="Arial"/>
        </w:rPr>
        <w:t>.</w:t>
      </w:r>
    </w:p>
    <w:p w14:paraId="0DB39275" w14:textId="77777777" w:rsidR="00271C49" w:rsidRPr="00E419B7" w:rsidRDefault="00271C49" w:rsidP="00271C49">
      <w:pPr>
        <w:jc w:val="both"/>
        <w:rPr>
          <w:rFonts w:ascii="Arial" w:hAnsi="Arial" w:cs="Arial"/>
        </w:rPr>
      </w:pPr>
    </w:p>
    <w:p w14:paraId="09D1ADD1" w14:textId="1890C56B" w:rsidR="000C3837" w:rsidRPr="00E419B7" w:rsidRDefault="000C3837" w:rsidP="00036DE1">
      <w:pPr>
        <w:rPr>
          <w:rFonts w:ascii="Arial" w:eastAsia="Times New Roman" w:hAnsi="Arial" w:cs="Arial"/>
        </w:rPr>
        <w:sectPr w:rsidR="000C3837" w:rsidRPr="00E419B7" w:rsidSect="0049390E">
          <w:footerReference w:type="default" r:id="rId15"/>
          <w:pgSz w:w="12240" w:h="15840"/>
          <w:pgMar w:top="1440" w:right="1183" w:bottom="1440" w:left="1440" w:header="708" w:footer="708" w:gutter="0"/>
          <w:cols w:space="708"/>
          <w:docGrid w:linePitch="360"/>
        </w:sectPr>
      </w:pPr>
    </w:p>
    <w:p w14:paraId="2FF9EAC6" w14:textId="31E6B806" w:rsidR="000C3837" w:rsidRPr="00E419B7" w:rsidRDefault="000C3837" w:rsidP="00036DE1">
      <w:pPr>
        <w:rPr>
          <w:rFonts w:ascii="Arial" w:eastAsia="Times New Roman" w:hAnsi="Arial" w:cs="Arial"/>
        </w:rPr>
      </w:pPr>
      <w:r w:rsidRPr="00E419B7">
        <w:rPr>
          <w:rFonts w:ascii="Arial" w:hAnsi="Arial" w:cs="Arial"/>
          <w:noProof/>
        </w:rPr>
        <w:lastRenderedPageBreak/>
        <w:drawing>
          <wp:inline distT="0" distB="0" distL="0" distR="0" wp14:anchorId="7B2E9CE3" wp14:editId="0B4D036B">
            <wp:extent cx="8724900" cy="4692015"/>
            <wp:effectExtent l="0" t="0" r="0" b="0"/>
            <wp:docPr id="3" name="Chart 3">
              <a:extLst xmlns:a="http://schemas.openxmlformats.org/drawingml/2006/main">
                <a:ext uri="{FF2B5EF4-FFF2-40B4-BE49-F238E27FC236}">
                  <a16:creationId xmlns:a16="http://schemas.microsoft.com/office/drawing/2014/main" id="{763D22D6-4D68-4F04-A534-87C8E605BC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1B28871" w14:textId="730AECF8" w:rsidR="00C54E37" w:rsidRPr="00E419B7" w:rsidRDefault="00AA7C38" w:rsidP="00C54E37">
      <w:pPr>
        <w:spacing w:before="120" w:after="120"/>
        <w:rPr>
          <w:rFonts w:ascii="Arial" w:eastAsia="Times New Roman" w:hAnsi="Arial" w:cs="Arial"/>
          <w:color w:val="000000"/>
        </w:rPr>
        <w:sectPr w:rsidR="00C54E37" w:rsidRPr="00E419B7" w:rsidSect="00C54E37">
          <w:pgSz w:w="15840" w:h="12240" w:orient="landscape"/>
          <w:pgMar w:top="1440" w:right="1440" w:bottom="1440" w:left="1440" w:header="708" w:footer="708" w:gutter="0"/>
          <w:cols w:space="708"/>
          <w:docGrid w:linePitch="360"/>
        </w:sectPr>
      </w:pPr>
      <w:r w:rsidRPr="00E419B7">
        <w:rPr>
          <w:rFonts w:ascii="Arial" w:eastAsia="Times New Roman" w:hAnsi="Arial" w:cs="Arial"/>
          <w:color w:val="000000"/>
        </w:rPr>
        <w:t>Fig</w:t>
      </w:r>
      <w:r w:rsidR="002D702A" w:rsidRPr="00E419B7">
        <w:rPr>
          <w:rFonts w:ascii="Arial" w:eastAsia="Times New Roman" w:hAnsi="Arial" w:cs="Arial"/>
          <w:color w:val="000000"/>
        </w:rPr>
        <w:t>ure</w:t>
      </w:r>
      <w:r w:rsidRPr="00E419B7">
        <w:rPr>
          <w:rFonts w:ascii="Arial" w:eastAsia="Times New Roman" w:hAnsi="Arial" w:cs="Arial"/>
          <w:color w:val="000000"/>
        </w:rPr>
        <w:t xml:space="preserve"> 3 </w:t>
      </w:r>
      <w:r w:rsidR="00C54E37" w:rsidRPr="00E419B7">
        <w:rPr>
          <w:rFonts w:ascii="Arial" w:eastAsia="Times New Roman" w:hAnsi="Arial" w:cs="Arial"/>
          <w:color w:val="000000"/>
        </w:rPr>
        <w:t xml:space="preserve">Gross Provincial Product of Gulf of Thailand (Billion USD), 2000-2023 (Data retrieved from </w:t>
      </w:r>
      <w:r w:rsidR="00C54E37" w:rsidRPr="00E419B7">
        <w:rPr>
          <w:rFonts w:ascii="Arial" w:hAnsi="Arial" w:cs="Arial"/>
        </w:rPr>
        <w:t xml:space="preserve">Office of the National Economic Social and Development Council (NESDC): </w:t>
      </w:r>
      <w:hyperlink r:id="rId17" w:history="1">
        <w:r w:rsidR="00C54E37" w:rsidRPr="00E419B7">
          <w:rPr>
            <w:rStyle w:val="Hyperlink"/>
            <w:rFonts w:ascii="Arial" w:hAnsi="Arial" w:cs="Arial"/>
          </w:rPr>
          <w:t>https://www.nesdc.go.th/main.php?filename=gross_regional</w:t>
        </w:r>
      </w:hyperlink>
    </w:p>
    <w:p w14:paraId="4C74F888" w14:textId="77777777" w:rsidR="00D443A3" w:rsidRPr="00E419B7" w:rsidRDefault="00D443A3" w:rsidP="00D443A3">
      <w:pPr>
        <w:jc w:val="both"/>
        <w:rPr>
          <w:rFonts w:ascii="Arial" w:eastAsia="Times New Roman" w:hAnsi="Arial" w:cs="Arial"/>
          <w:color w:val="000000"/>
        </w:rPr>
      </w:pPr>
      <w:r w:rsidRPr="00E419B7">
        <w:rPr>
          <w:rFonts w:ascii="Arial" w:eastAsia="Times New Roman" w:hAnsi="Arial" w:cs="Arial"/>
          <w:b/>
          <w:bCs/>
          <w:color w:val="000000"/>
        </w:rPr>
        <w:lastRenderedPageBreak/>
        <w:t>Provincial Economic Stratification and Implications for Marine Governance</w:t>
      </w:r>
    </w:p>
    <w:p w14:paraId="3E236BFC" w14:textId="77777777" w:rsidR="00316D46" w:rsidRPr="00E419B7" w:rsidRDefault="00316D46" w:rsidP="00D443A3">
      <w:pPr>
        <w:jc w:val="both"/>
        <w:rPr>
          <w:rFonts w:ascii="Arial" w:eastAsia="Times New Roman" w:hAnsi="Arial" w:cs="Arial"/>
          <w:color w:val="000000"/>
        </w:rPr>
      </w:pPr>
    </w:p>
    <w:p w14:paraId="34A4D088" w14:textId="77777777" w:rsidR="00A12692" w:rsidRPr="00E419B7" w:rsidRDefault="00A12692" w:rsidP="00A12692">
      <w:pPr>
        <w:jc w:val="both"/>
        <w:rPr>
          <w:rFonts w:ascii="Arial" w:eastAsia="Times New Roman" w:hAnsi="Arial" w:cs="Arial"/>
          <w:color w:val="000000"/>
        </w:rPr>
      </w:pPr>
      <w:r w:rsidRPr="00E419B7">
        <w:rPr>
          <w:rFonts w:ascii="Arial" w:eastAsia="Times New Roman" w:hAnsi="Arial" w:cs="Arial"/>
          <w:color w:val="000000"/>
        </w:rPr>
        <w:t>Based on 2023 GPP, GPP per capita, and poverty data (</w:t>
      </w:r>
      <w:r w:rsidRPr="00E419B7">
        <w:rPr>
          <w:rFonts w:ascii="Arial" w:eastAsia="Times New Roman" w:hAnsi="Arial" w:cs="Arial"/>
          <w:color w:val="EE0000"/>
        </w:rPr>
        <w:t>Annex 3</w:t>
      </w:r>
      <w:r w:rsidRPr="00E419B7">
        <w:rPr>
          <w:rFonts w:ascii="Arial" w:eastAsia="Times New Roman" w:hAnsi="Arial" w:cs="Arial"/>
          <w:color w:val="000000"/>
        </w:rPr>
        <w:t xml:space="preserve">), coastal provinces along the Gulf of Thailand can be grouped into three economic </w:t>
      </w:r>
      <w:proofErr w:type="spellStart"/>
      <w:r w:rsidRPr="00E419B7">
        <w:rPr>
          <w:rFonts w:ascii="Arial" w:eastAsia="Times New Roman" w:hAnsi="Arial" w:cs="Arial"/>
          <w:color w:val="000000"/>
        </w:rPr>
        <w:t>tiers</w:t>
      </w:r>
      <w:proofErr w:type="spellEnd"/>
      <w:r w:rsidRPr="00E419B7">
        <w:rPr>
          <w:rFonts w:ascii="Arial" w:eastAsia="Times New Roman" w:hAnsi="Arial" w:cs="Arial"/>
          <w:color w:val="000000"/>
        </w:rPr>
        <w:t xml:space="preserve"> with distinct governance implications.</w:t>
      </w:r>
    </w:p>
    <w:p w14:paraId="753D82CC" w14:textId="77777777" w:rsidR="00A12692" w:rsidRPr="00E419B7" w:rsidRDefault="00A12692" w:rsidP="00A12692">
      <w:pPr>
        <w:jc w:val="both"/>
        <w:rPr>
          <w:rFonts w:ascii="Arial" w:eastAsia="Times New Roman" w:hAnsi="Arial" w:cs="Arial"/>
          <w:color w:val="000000"/>
        </w:rPr>
      </w:pPr>
    </w:p>
    <w:p w14:paraId="31E0C327" w14:textId="0232E310" w:rsidR="00A12692" w:rsidRPr="00E419B7" w:rsidRDefault="00A12692" w:rsidP="00A12692">
      <w:pPr>
        <w:jc w:val="both"/>
        <w:rPr>
          <w:rFonts w:ascii="Arial" w:eastAsia="Times New Roman" w:hAnsi="Arial" w:cs="Arial"/>
          <w:color w:val="000000"/>
        </w:rPr>
      </w:pPr>
      <w:r w:rsidRPr="00E419B7">
        <w:rPr>
          <w:rFonts w:ascii="Arial" w:eastAsia="Times New Roman" w:hAnsi="Arial" w:cs="Arial"/>
          <w:color w:val="000000"/>
        </w:rPr>
        <w:t>High-GPP provinces (Chonburi, Rayong, Samut Prakan, Chachoengsao, Samut Sakhon), largely within the Eastern Economic Corridor (EEC), function as Thailand’s primary industrial and logistics hubs, with high per capita income and very low poverty rates. These provinces generally possess stronger fiscal and institutional capacity for marine management.</w:t>
      </w:r>
    </w:p>
    <w:p w14:paraId="30A54980" w14:textId="77777777" w:rsidR="00A12692" w:rsidRPr="00E419B7" w:rsidRDefault="00A12692" w:rsidP="00A12692">
      <w:pPr>
        <w:jc w:val="both"/>
        <w:rPr>
          <w:rFonts w:ascii="Arial" w:eastAsia="Times New Roman" w:hAnsi="Arial" w:cs="Arial"/>
          <w:color w:val="000000"/>
        </w:rPr>
      </w:pPr>
    </w:p>
    <w:p w14:paraId="16AB8F87" w14:textId="6018C0B2" w:rsidR="00A12692" w:rsidRPr="00E419B7" w:rsidRDefault="00A12692" w:rsidP="00A12692">
      <w:pPr>
        <w:jc w:val="both"/>
        <w:rPr>
          <w:rFonts w:ascii="Arial" w:eastAsia="Times New Roman" w:hAnsi="Arial" w:cs="Arial"/>
          <w:color w:val="000000"/>
        </w:rPr>
      </w:pPr>
      <w:r w:rsidRPr="00E419B7">
        <w:rPr>
          <w:rFonts w:ascii="Arial" w:eastAsia="Times New Roman" w:hAnsi="Arial" w:cs="Arial"/>
          <w:color w:val="000000"/>
        </w:rPr>
        <w:t>Medium-GPP provinces (Songkhla, Surat Thani, Nakhon Si Thammarat) exhibit diversified economies combining tourism, agriculture, and light industry, with moderate income levels and transitional development patterns.</w:t>
      </w:r>
    </w:p>
    <w:p w14:paraId="47D9CDD3" w14:textId="77777777" w:rsidR="00A12692" w:rsidRPr="00E419B7" w:rsidRDefault="00A12692" w:rsidP="00A12692">
      <w:pPr>
        <w:jc w:val="both"/>
        <w:rPr>
          <w:rFonts w:ascii="Arial" w:eastAsia="Times New Roman" w:hAnsi="Arial" w:cs="Arial"/>
          <w:color w:val="000000"/>
        </w:rPr>
      </w:pPr>
    </w:p>
    <w:p w14:paraId="4EADF825" w14:textId="651092BA" w:rsidR="00A12692" w:rsidRPr="00E419B7" w:rsidRDefault="00A12692" w:rsidP="00A12692">
      <w:pPr>
        <w:jc w:val="both"/>
        <w:rPr>
          <w:rFonts w:ascii="Arial" w:eastAsia="Times New Roman" w:hAnsi="Arial" w:cs="Arial"/>
          <w:color w:val="000000"/>
        </w:rPr>
      </w:pPr>
      <w:r w:rsidRPr="00E419B7">
        <w:rPr>
          <w:rFonts w:ascii="Arial" w:eastAsia="Times New Roman" w:hAnsi="Arial" w:cs="Arial"/>
          <w:color w:val="000000"/>
        </w:rPr>
        <w:t>Low-GPP provinces (Chanthaburi, Phetchaburi, Prachuap Khiri Khan, Trat, Chumphon, Samut Songkhram, Pattani, Narathiwat) remain highly dependent on fisheries, agriculture, and nature-based tourism, with limited industrial investment and weaker fiscal capacity. Pattani and Narathiwat face persistently high poverty linked to security constraints.</w:t>
      </w:r>
    </w:p>
    <w:p w14:paraId="0727E471" w14:textId="77777777" w:rsidR="00A12692" w:rsidRPr="00E419B7" w:rsidRDefault="00A12692" w:rsidP="00A12692">
      <w:pPr>
        <w:jc w:val="both"/>
        <w:rPr>
          <w:rFonts w:ascii="Arial" w:eastAsia="Times New Roman" w:hAnsi="Arial" w:cs="Arial"/>
          <w:color w:val="000000"/>
        </w:rPr>
      </w:pPr>
    </w:p>
    <w:p w14:paraId="031595F0" w14:textId="669BEEE0" w:rsidR="00A12692" w:rsidRPr="00E419B7" w:rsidRDefault="00A12692" w:rsidP="00A12692">
      <w:pPr>
        <w:jc w:val="both"/>
        <w:rPr>
          <w:rFonts w:ascii="Arial" w:eastAsia="Times New Roman" w:hAnsi="Arial" w:cs="Arial"/>
          <w:color w:val="000000"/>
        </w:rPr>
      </w:pPr>
      <w:r w:rsidRPr="00E419B7">
        <w:rPr>
          <w:rFonts w:ascii="Arial" w:eastAsia="Times New Roman" w:hAnsi="Arial" w:cs="Arial"/>
          <w:color w:val="000000"/>
        </w:rPr>
        <w:t>These economic disparities translate into unequal institutional readiness for sustainable marine governance. Wealthier provinces are better positioned to finance conservation and enforcement, while lower-income provinces face constraints in planning, monitoring, and ecosystem restoration. Targeted fiscal support and context-specific financing mechanisms are therefore essential to ensure equitable and effective marine governance across the Gulf of Thailand (PEMSEA &amp; DMCR, 2019).</w:t>
      </w:r>
    </w:p>
    <w:p w14:paraId="1D91AE44" w14:textId="77777777" w:rsidR="00A12692" w:rsidRPr="00E419B7" w:rsidRDefault="00A12692" w:rsidP="00D443A3">
      <w:pPr>
        <w:jc w:val="both"/>
        <w:rPr>
          <w:rFonts w:ascii="Arial" w:eastAsia="Times New Roman" w:hAnsi="Arial" w:cs="Arial"/>
          <w:color w:val="000000"/>
        </w:rPr>
      </w:pPr>
    </w:p>
    <w:p w14:paraId="560AA07C" w14:textId="1430360E" w:rsidR="0057258E" w:rsidRPr="00E419B7" w:rsidRDefault="00650D07" w:rsidP="008317EF">
      <w:pPr>
        <w:rPr>
          <w:rFonts w:ascii="Arial" w:hAnsi="Arial" w:cs="Arial"/>
          <w:b/>
          <w:bCs/>
          <w:iCs/>
        </w:rPr>
      </w:pPr>
      <w:r w:rsidRPr="00E419B7">
        <w:rPr>
          <w:rFonts w:ascii="Arial" w:hAnsi="Arial" w:cs="Arial"/>
          <w:b/>
          <w:bCs/>
          <w:iCs/>
        </w:rPr>
        <w:t>6.2.</w:t>
      </w:r>
      <w:r w:rsidR="0037698B" w:rsidRPr="00E419B7">
        <w:rPr>
          <w:rFonts w:ascii="Arial" w:hAnsi="Arial" w:cs="Arial"/>
          <w:b/>
          <w:bCs/>
          <w:iCs/>
        </w:rPr>
        <w:t>1.</w:t>
      </w:r>
      <w:r w:rsidRPr="00E419B7">
        <w:rPr>
          <w:rFonts w:ascii="Arial" w:hAnsi="Arial" w:cs="Arial"/>
          <w:b/>
          <w:bCs/>
          <w:iCs/>
        </w:rPr>
        <w:t>2</w:t>
      </w:r>
      <w:r w:rsidRPr="00E419B7">
        <w:rPr>
          <w:rFonts w:ascii="Arial" w:hAnsi="Arial" w:cs="Arial"/>
          <w:b/>
          <w:bCs/>
          <w:iCs/>
        </w:rPr>
        <w:tab/>
      </w:r>
      <w:commentRangeStart w:id="10"/>
      <w:r w:rsidR="0057258E" w:rsidRPr="00E419B7">
        <w:rPr>
          <w:rFonts w:ascii="Arial" w:hAnsi="Arial" w:cs="Arial"/>
          <w:b/>
          <w:bCs/>
          <w:iCs/>
        </w:rPr>
        <w:t xml:space="preserve">National Budgetary Allocations </w:t>
      </w:r>
      <w:commentRangeEnd w:id="10"/>
      <w:r w:rsidR="00307478" w:rsidRPr="00E419B7">
        <w:rPr>
          <w:rStyle w:val="CommentReference"/>
          <w:rFonts w:ascii="Arial" w:hAnsi="Arial" w:cs="Arial"/>
        </w:rPr>
        <w:commentReference w:id="10"/>
      </w:r>
    </w:p>
    <w:p w14:paraId="1B1F5567" w14:textId="1F645B51" w:rsidR="00C54E37" w:rsidRPr="00E419B7" w:rsidRDefault="00C54E37" w:rsidP="00731EE0">
      <w:pPr>
        <w:jc w:val="both"/>
        <w:rPr>
          <w:rFonts w:ascii="Arial" w:hAnsi="Arial" w:cs="Arial"/>
        </w:rPr>
      </w:pPr>
    </w:p>
    <w:p w14:paraId="463D8F8D" w14:textId="77777777" w:rsidR="004A7228" w:rsidRPr="00E419B7" w:rsidRDefault="004A7228" w:rsidP="004A7228">
      <w:pPr>
        <w:jc w:val="both"/>
        <w:rPr>
          <w:rFonts w:ascii="Arial" w:hAnsi="Arial" w:cs="Arial"/>
        </w:rPr>
      </w:pPr>
      <w:r w:rsidRPr="00E419B7">
        <w:rPr>
          <w:rFonts w:ascii="Arial" w:hAnsi="Arial" w:cs="Arial"/>
        </w:rPr>
        <w:t>Marine and coastal resource management in the Gulf of Thailand is essential for Thailand’s economic and environmental security. However, the government’s capacity to sustain long-term investment in marine conservation is closely linked to national fiscal conditions and current account performance.</w:t>
      </w:r>
    </w:p>
    <w:p w14:paraId="3B2EF45B" w14:textId="77777777" w:rsidR="004A7228" w:rsidRPr="00E419B7" w:rsidRDefault="004A7228" w:rsidP="004A7228">
      <w:pPr>
        <w:jc w:val="both"/>
        <w:rPr>
          <w:rFonts w:ascii="Arial" w:hAnsi="Arial" w:cs="Arial"/>
        </w:rPr>
      </w:pPr>
    </w:p>
    <w:p w14:paraId="42B8E91E" w14:textId="622CABEC" w:rsidR="004A7228" w:rsidRPr="00E419B7" w:rsidRDefault="004A7228" w:rsidP="004A7228">
      <w:pPr>
        <w:jc w:val="both"/>
        <w:rPr>
          <w:rFonts w:ascii="Arial" w:hAnsi="Arial" w:cs="Arial"/>
        </w:rPr>
      </w:pPr>
      <w:r w:rsidRPr="00E419B7">
        <w:rPr>
          <w:rFonts w:ascii="Arial" w:hAnsi="Arial" w:cs="Arial"/>
        </w:rPr>
        <w:t>Thailand’s fiscal position has undergone major shifts over the past two decades (</w:t>
      </w:r>
      <w:r w:rsidRPr="00E419B7">
        <w:rPr>
          <w:rFonts w:ascii="Arial" w:hAnsi="Arial" w:cs="Arial"/>
          <w:color w:val="EE0000"/>
        </w:rPr>
        <w:t>Figure 4</w:t>
      </w:r>
      <w:r w:rsidRPr="00E419B7">
        <w:rPr>
          <w:rFonts w:ascii="Arial" w:hAnsi="Arial" w:cs="Arial"/>
        </w:rPr>
        <w:t>). Following the recovery from the 1997–1998 financial crisis, fiscal balances stabilized during 2003–2019, with deficits generally remaining below 3% of GDP, except during the 2009 global financial crisis. The COVID-19 pandemic caused a sharp deterioration, with deficits widening to –4.5% to –7.1% of GDP between 2020 and 2022. Public debt rose rapidly from below 40% of GDP before 2020 to over 60% in 2023. Although debt remains below the national ceiling, fiscal pressures have increased.</w:t>
      </w:r>
    </w:p>
    <w:p w14:paraId="3BF5F6B8" w14:textId="77777777" w:rsidR="004A7228" w:rsidRPr="00E419B7" w:rsidRDefault="004A7228" w:rsidP="004A7228">
      <w:pPr>
        <w:jc w:val="both"/>
        <w:rPr>
          <w:rFonts w:ascii="Arial" w:hAnsi="Arial" w:cs="Arial"/>
        </w:rPr>
      </w:pPr>
    </w:p>
    <w:p w14:paraId="515660EF" w14:textId="382D22C0" w:rsidR="00A9242F" w:rsidRPr="00E419B7" w:rsidRDefault="004A7228" w:rsidP="00CC2431">
      <w:pPr>
        <w:rPr>
          <w:rFonts w:ascii="Arial" w:hAnsi="Arial" w:cs="Arial"/>
        </w:rPr>
      </w:pPr>
      <w:r w:rsidRPr="00E419B7">
        <w:rPr>
          <w:rFonts w:ascii="Arial" w:hAnsi="Arial" w:cs="Arial"/>
        </w:rPr>
        <w:t>Thailand maintained strong current account surpluses until 2019, but shifted into deficit during 2020–2022 due to the collapse of tourism revenues. Surpluses returned in 2023–2024 with tourism and export recovery, but overall fiscal space remains constrained.</w:t>
      </w:r>
    </w:p>
    <w:p w14:paraId="6873B531" w14:textId="77777777" w:rsidR="000608F6" w:rsidRPr="00E419B7" w:rsidRDefault="000608F6">
      <w:pPr>
        <w:spacing w:before="120" w:after="120"/>
        <w:ind w:firstLine="1134"/>
        <w:jc w:val="thaiDistribute"/>
        <w:rPr>
          <w:rFonts w:ascii="Arial" w:hAnsi="Arial" w:cs="Arial"/>
          <w:b/>
          <w:bCs/>
        </w:rPr>
        <w:sectPr w:rsidR="000608F6" w:rsidRPr="00E419B7" w:rsidSect="000C3837">
          <w:pgSz w:w="12240" w:h="15840"/>
          <w:pgMar w:top="1440" w:right="1440" w:bottom="1440" w:left="1183" w:header="708" w:footer="708" w:gutter="0"/>
          <w:cols w:space="708"/>
          <w:docGrid w:linePitch="360"/>
        </w:sectPr>
      </w:pPr>
    </w:p>
    <w:p w14:paraId="5A4A68E3" w14:textId="7F9016D6" w:rsidR="003D634E" w:rsidRPr="00E419B7" w:rsidRDefault="000608F6" w:rsidP="00E419B7">
      <w:pPr>
        <w:spacing w:before="120" w:after="120"/>
        <w:jc w:val="thaiDistribute"/>
        <w:rPr>
          <w:rFonts w:ascii="Arial" w:hAnsi="Arial" w:cs="Arial"/>
          <w:b/>
          <w:bCs/>
        </w:rPr>
      </w:pPr>
      <w:r w:rsidRPr="00E419B7">
        <w:rPr>
          <w:rFonts w:ascii="Arial" w:hAnsi="Arial" w:cs="Arial"/>
          <w:noProof/>
        </w:rPr>
        <w:lastRenderedPageBreak/>
        <w:drawing>
          <wp:inline distT="0" distB="0" distL="0" distR="0" wp14:anchorId="55C912F1" wp14:editId="0BF96439">
            <wp:extent cx="8656320" cy="5317490"/>
            <wp:effectExtent l="0" t="0" r="0" b="0"/>
            <wp:docPr id="11" name="Chart 11">
              <a:extLst xmlns:a="http://schemas.openxmlformats.org/drawingml/2006/main">
                <a:ext uri="{FF2B5EF4-FFF2-40B4-BE49-F238E27FC236}">
                  <a16:creationId xmlns:a16="http://schemas.microsoft.com/office/drawing/2014/main" id="{17A5135B-439A-417D-B3D5-6C2B6BCE27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55D93F0" w14:textId="369AF219" w:rsidR="000608F6" w:rsidRPr="00E419B7" w:rsidRDefault="000608F6" w:rsidP="000608F6">
      <w:pPr>
        <w:spacing w:before="120" w:after="120"/>
        <w:jc w:val="both"/>
        <w:rPr>
          <w:rFonts w:ascii="Arial" w:hAnsi="Arial" w:cs="Angsana New"/>
          <w:iCs/>
          <w:cs/>
        </w:rPr>
        <w:sectPr w:rsidR="000608F6" w:rsidRPr="00E419B7" w:rsidSect="000608F6">
          <w:pgSz w:w="15840" w:h="12240" w:orient="landscape"/>
          <w:pgMar w:top="993" w:right="1440" w:bottom="1134" w:left="1440" w:header="708" w:footer="708" w:gutter="0"/>
          <w:cols w:space="708"/>
          <w:docGrid w:linePitch="360"/>
        </w:sectPr>
      </w:pPr>
      <w:r w:rsidRPr="00E419B7">
        <w:rPr>
          <w:rFonts w:ascii="Arial" w:hAnsi="Arial" w:cs="Arial"/>
          <w:iCs/>
        </w:rPr>
        <w:t>Fig</w:t>
      </w:r>
      <w:r w:rsidR="002D702A" w:rsidRPr="00E419B7">
        <w:rPr>
          <w:rFonts w:ascii="Arial" w:hAnsi="Arial" w:cs="Arial"/>
          <w:iCs/>
        </w:rPr>
        <w:t xml:space="preserve">ure </w:t>
      </w:r>
      <w:r w:rsidR="00AA7C38" w:rsidRPr="00E419B7">
        <w:rPr>
          <w:rFonts w:ascii="Arial" w:hAnsi="Arial" w:cs="Arial"/>
          <w:iCs/>
        </w:rPr>
        <w:t>4</w:t>
      </w:r>
      <w:r w:rsidRPr="00E419B7">
        <w:rPr>
          <w:rFonts w:ascii="Arial" w:hAnsi="Arial" w:cs="Arial"/>
          <w:iCs/>
        </w:rPr>
        <w:t xml:space="preserve"> General government balance, general government debt</w:t>
      </w:r>
      <w:r w:rsidR="00470BBE" w:rsidRPr="00E419B7">
        <w:rPr>
          <w:rFonts w:ascii="Arial" w:hAnsi="Arial" w:cs="Arial"/>
          <w:iCs/>
        </w:rPr>
        <w:t>,</w:t>
      </w:r>
      <w:r w:rsidRPr="00E419B7">
        <w:rPr>
          <w:rFonts w:ascii="Arial" w:hAnsi="Arial" w:cs="Arial"/>
          <w:iCs/>
        </w:rPr>
        <w:t xml:space="preserve"> and current account of Thailand, 2000-2024.</w:t>
      </w:r>
    </w:p>
    <w:p w14:paraId="5AA2D988" w14:textId="54F9A776" w:rsidR="00A66A97" w:rsidRPr="00E419B7" w:rsidRDefault="00A66A97" w:rsidP="00E419B7">
      <w:pPr>
        <w:jc w:val="thaiDistribute"/>
        <w:rPr>
          <w:rFonts w:ascii="Arial" w:hAnsi="Arial" w:cs="Arial"/>
          <w:b/>
          <w:bCs/>
        </w:rPr>
      </w:pPr>
      <w:r w:rsidRPr="00E419B7">
        <w:rPr>
          <w:rFonts w:ascii="Arial" w:hAnsi="Arial" w:cs="Arial"/>
        </w:rPr>
        <w:lastRenderedPageBreak/>
        <w:t>These fiscal trends directly affect the government’s ability to finance marine conservation, ecosystem restoration, and sustainable fisheries management in the Gulf of Thailand. During the COVID-19 period, budget priorities shifted toward economic recovery, delaying investments in long-term environmental protection. Although economic recovery is underway, limited fiscal space continues to pose challenges for sustained and proactive marine resource management.</w:t>
      </w:r>
    </w:p>
    <w:p w14:paraId="089A397B" w14:textId="77777777" w:rsidR="00A66A97" w:rsidRPr="00E419B7" w:rsidRDefault="00A66A97" w:rsidP="00DC0826">
      <w:pPr>
        <w:rPr>
          <w:rFonts w:ascii="Arial" w:hAnsi="Arial" w:cs="Arial"/>
          <w:b/>
          <w:bCs/>
        </w:rPr>
      </w:pPr>
    </w:p>
    <w:p w14:paraId="38052690" w14:textId="3D8962DF" w:rsidR="00DC0826" w:rsidRPr="00E419B7" w:rsidRDefault="000F38CD" w:rsidP="00DC0826">
      <w:pPr>
        <w:rPr>
          <w:rFonts w:ascii="Arial" w:hAnsi="Arial" w:cs="Arial"/>
          <w:szCs w:val="30"/>
        </w:rPr>
      </w:pPr>
      <w:commentRangeStart w:id="11"/>
      <w:r w:rsidRPr="00E419B7">
        <w:rPr>
          <w:rFonts w:ascii="Arial" w:hAnsi="Arial" w:cs="Arial"/>
          <w:b/>
          <w:bCs/>
        </w:rPr>
        <w:t>B</w:t>
      </w:r>
      <w:r w:rsidR="00A9242F" w:rsidRPr="00E419B7">
        <w:rPr>
          <w:rFonts w:ascii="Arial" w:hAnsi="Arial" w:cs="Arial"/>
          <w:b/>
          <w:bCs/>
        </w:rPr>
        <w:t>udget Allocation of Government Agencies Related to Marine Resources</w:t>
      </w:r>
      <w:r w:rsidR="00FC3E29" w:rsidRPr="00E419B7">
        <w:rPr>
          <w:rFonts w:ascii="Arial" w:hAnsi="Arial" w:cs="Arial"/>
          <w:b/>
          <w:bCs/>
          <w:color w:val="EE0000"/>
        </w:rPr>
        <w:t xml:space="preserve"> </w:t>
      </w:r>
      <w:commentRangeEnd w:id="11"/>
      <w:r w:rsidR="00307478" w:rsidRPr="00E419B7">
        <w:rPr>
          <w:rStyle w:val="CommentReference"/>
          <w:rFonts w:ascii="Arial" w:hAnsi="Arial" w:cs="Arial"/>
        </w:rPr>
        <w:commentReference w:id="11"/>
      </w:r>
    </w:p>
    <w:p w14:paraId="495A55D4" w14:textId="77777777" w:rsidR="00DC0826" w:rsidRPr="00E419B7" w:rsidRDefault="00DC0826" w:rsidP="00DC0826">
      <w:pPr>
        <w:jc w:val="both"/>
        <w:rPr>
          <w:rFonts w:ascii="Arial" w:hAnsi="Arial" w:cs="Arial"/>
          <w:szCs w:val="30"/>
        </w:rPr>
      </w:pPr>
    </w:p>
    <w:p w14:paraId="59AEFC2A" w14:textId="29960B0F" w:rsidR="004A7228" w:rsidRPr="00E419B7" w:rsidRDefault="004A7228" w:rsidP="004A7228">
      <w:pPr>
        <w:jc w:val="both"/>
        <w:rPr>
          <w:rFonts w:ascii="Arial" w:hAnsi="Arial" w:cs="Arial"/>
          <w:szCs w:val="30"/>
        </w:rPr>
      </w:pPr>
      <w:r w:rsidRPr="00E419B7">
        <w:rPr>
          <w:rFonts w:ascii="Arial" w:hAnsi="Arial" w:cs="Arial"/>
          <w:szCs w:val="30"/>
        </w:rPr>
        <w:t>Thailand’s marine resource management depends heavily on continued public budget support to sustain conservation, restoration, and regulatory functions amid growing pressures from climate change, coastal development, fisheries, and tourism. The Department of Marine and Coastal Resources (DMCR) is the lead agency for marine and coastal management, working alongside the Department of National Parks, Wildlife and Plant Conservation (DNP) and the Department of Fisheries (DOF), whose mandates cover protected areas and fisheries nationwide. Effective governance</w:t>
      </w:r>
      <w:r w:rsidR="00D80357" w:rsidRPr="00E419B7">
        <w:rPr>
          <w:rFonts w:ascii="Arial" w:hAnsi="Arial" w:cs="Arial"/>
          <w:szCs w:val="30"/>
        </w:rPr>
        <w:t>,</w:t>
      </w:r>
      <w:r w:rsidRPr="00E419B7">
        <w:rPr>
          <w:rFonts w:ascii="Arial" w:hAnsi="Arial" w:cs="Arial"/>
          <w:szCs w:val="30"/>
        </w:rPr>
        <w:t xml:space="preserve"> therefore</w:t>
      </w:r>
      <w:r w:rsidR="00D80357" w:rsidRPr="00E419B7">
        <w:rPr>
          <w:rFonts w:ascii="Arial" w:hAnsi="Arial" w:cs="Arial"/>
          <w:szCs w:val="30"/>
        </w:rPr>
        <w:t>,</w:t>
      </w:r>
      <w:r w:rsidRPr="00E419B7">
        <w:rPr>
          <w:rFonts w:ascii="Arial" w:hAnsi="Arial" w:cs="Arial"/>
          <w:szCs w:val="30"/>
        </w:rPr>
        <w:t xml:space="preserve"> requires strong financial and strategic coordination across these agencies.</w:t>
      </w:r>
    </w:p>
    <w:p w14:paraId="09E663C8" w14:textId="77777777" w:rsidR="004A7228" w:rsidRPr="00E419B7" w:rsidRDefault="004A7228" w:rsidP="004A7228">
      <w:pPr>
        <w:jc w:val="both"/>
        <w:rPr>
          <w:rFonts w:ascii="Arial" w:hAnsi="Arial" w:cs="Arial"/>
          <w:szCs w:val="30"/>
        </w:rPr>
      </w:pPr>
    </w:p>
    <w:p w14:paraId="290CC70D" w14:textId="0B95B8FC" w:rsidR="004A7228" w:rsidRPr="00E419B7" w:rsidRDefault="004A7228" w:rsidP="004A7228">
      <w:pPr>
        <w:jc w:val="both"/>
        <w:rPr>
          <w:rFonts w:ascii="Arial" w:hAnsi="Arial" w:cs="Arial"/>
          <w:szCs w:val="30"/>
        </w:rPr>
      </w:pPr>
      <w:r w:rsidRPr="00E419B7">
        <w:rPr>
          <w:rFonts w:ascii="Arial" w:hAnsi="Arial" w:cs="Arial"/>
          <w:szCs w:val="30"/>
        </w:rPr>
        <w:t>Budget data for 2013–2024 show that DMCR consistently receives a smaller allocation than DNP and DOF, despite its central marine mandate. DMCR’s budget rose from USD 36.3 million in 2013 to USD 51.16 million in 2024, while DNP and DOF received substantially higher funding, reaching USD 315.37 million and USD 104.49 million in 2024, respectively (</w:t>
      </w:r>
      <w:r w:rsidRPr="00E419B7">
        <w:rPr>
          <w:rFonts w:ascii="Arial" w:hAnsi="Arial" w:cs="Arial"/>
          <w:color w:val="EE0000"/>
          <w:szCs w:val="30"/>
        </w:rPr>
        <w:t>Figure 5</w:t>
      </w:r>
      <w:r w:rsidRPr="00E419B7">
        <w:rPr>
          <w:rFonts w:ascii="Arial" w:hAnsi="Arial" w:cs="Arial"/>
          <w:szCs w:val="30"/>
        </w:rPr>
        <w:t>).</w:t>
      </w:r>
    </w:p>
    <w:p w14:paraId="1DB5E073" w14:textId="77777777" w:rsidR="004A7228" w:rsidRPr="00E419B7" w:rsidRDefault="004A7228" w:rsidP="004A7228">
      <w:pPr>
        <w:jc w:val="both"/>
        <w:rPr>
          <w:rFonts w:ascii="Arial" w:hAnsi="Arial" w:cs="Arial"/>
          <w:szCs w:val="30"/>
        </w:rPr>
      </w:pPr>
    </w:p>
    <w:p w14:paraId="4BD237C7" w14:textId="77777777" w:rsidR="004A7228" w:rsidRPr="00E419B7" w:rsidRDefault="004A7228" w:rsidP="00DC0826">
      <w:pPr>
        <w:jc w:val="both"/>
        <w:rPr>
          <w:rFonts w:ascii="Arial" w:hAnsi="Arial" w:cs="Arial"/>
          <w:szCs w:val="30"/>
        </w:rPr>
      </w:pPr>
    </w:p>
    <w:p w14:paraId="733000D6" w14:textId="1F16640E" w:rsidR="00012E9A" w:rsidRPr="00E419B7" w:rsidRDefault="00DC0826" w:rsidP="00731EE0">
      <w:pPr>
        <w:jc w:val="both"/>
        <w:rPr>
          <w:rFonts w:ascii="Arial" w:hAnsi="Arial" w:cs="Arial"/>
          <w:szCs w:val="30"/>
        </w:rPr>
      </w:pPr>
      <w:r w:rsidRPr="00E419B7">
        <w:rPr>
          <w:rFonts w:ascii="Arial" w:hAnsi="Arial" w:cs="Arial"/>
          <w:noProof/>
        </w:rPr>
        <w:drawing>
          <wp:inline distT="0" distB="0" distL="0" distR="0" wp14:anchorId="390936D1" wp14:editId="798685D1">
            <wp:extent cx="6217920" cy="3133725"/>
            <wp:effectExtent l="0" t="0" r="11430" b="9525"/>
            <wp:docPr id="1" name="Chart 1">
              <a:extLst xmlns:a="http://schemas.openxmlformats.org/drawingml/2006/main">
                <a:ext uri="{FF2B5EF4-FFF2-40B4-BE49-F238E27FC236}">
                  <a16:creationId xmlns:a16="http://schemas.microsoft.com/office/drawing/2014/main" id="{61A6970F-D4A3-45DE-8A4C-DCF834826F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5B59074" w14:textId="40F580E1" w:rsidR="00307478" w:rsidRDefault="00DC0826" w:rsidP="00731EE0">
      <w:pPr>
        <w:jc w:val="both"/>
        <w:rPr>
          <w:rFonts w:ascii="Arial" w:hAnsi="Arial" w:cs="Arial"/>
          <w:szCs w:val="30"/>
        </w:rPr>
      </w:pPr>
      <w:r w:rsidRPr="00E419B7">
        <w:rPr>
          <w:rFonts w:ascii="Arial" w:hAnsi="Arial" w:cs="Arial"/>
          <w:b/>
          <w:bCs/>
          <w:sz w:val="22"/>
          <w:szCs w:val="22"/>
        </w:rPr>
        <w:t xml:space="preserve">Figure </w:t>
      </w:r>
      <w:r w:rsidR="00F10AAA" w:rsidRPr="00E419B7">
        <w:rPr>
          <w:rFonts w:ascii="Arial" w:hAnsi="Arial" w:cs="Arial"/>
          <w:b/>
          <w:bCs/>
          <w:sz w:val="22"/>
          <w:szCs w:val="22"/>
        </w:rPr>
        <w:t>5</w:t>
      </w:r>
      <w:r w:rsidRPr="00E419B7">
        <w:rPr>
          <w:rFonts w:ascii="Arial" w:hAnsi="Arial" w:cs="Arial"/>
          <w:sz w:val="22"/>
          <w:szCs w:val="22"/>
        </w:rPr>
        <w:t xml:space="preserve">: Budget Allocations for Agencies Involved in Marine Resource Management in Thailand, 2013–2024 (Source: </w:t>
      </w:r>
      <w:r w:rsidRPr="00E419B7">
        <w:rPr>
          <w:rFonts w:ascii="Arial" w:hAnsi="Arial" w:cs="Arial"/>
          <w:i/>
          <w:iCs/>
          <w:sz w:val="22"/>
          <w:szCs w:val="22"/>
        </w:rPr>
        <w:t>Annual Budget Expenditure Documents under the Budget Appropriation Acts for Fiscal Years 2013–2023,</w:t>
      </w:r>
      <w:r w:rsidRPr="00E419B7">
        <w:rPr>
          <w:rFonts w:ascii="Arial" w:hAnsi="Arial" w:cs="Arial"/>
          <w:sz w:val="22"/>
          <w:szCs w:val="22"/>
        </w:rPr>
        <w:t xml:space="preserve"> Bureau of the Budget, Office of the Prime Minister. </w:t>
      </w:r>
      <w:hyperlink r:id="rId20" w:tgtFrame="_new" w:history="1">
        <w:r w:rsidRPr="00E419B7">
          <w:rPr>
            <w:rStyle w:val="Hyperlink"/>
            <w:rFonts w:ascii="Arial" w:hAnsi="Arial" w:cs="Arial"/>
            <w:sz w:val="22"/>
            <w:szCs w:val="22"/>
          </w:rPr>
          <w:t>https://www.bb.go.th/index.php</w:t>
        </w:r>
      </w:hyperlink>
      <w:r w:rsidRPr="00E419B7">
        <w:rPr>
          <w:rFonts w:ascii="Arial" w:hAnsi="Arial" w:cs="Arial"/>
          <w:sz w:val="20"/>
          <w:szCs w:val="20"/>
        </w:rPr>
        <w:t>)</w:t>
      </w:r>
    </w:p>
    <w:p w14:paraId="7A651E96" w14:textId="77777777" w:rsidR="00931A65" w:rsidRPr="008D367E" w:rsidRDefault="00931A65" w:rsidP="00931A65">
      <w:pPr>
        <w:jc w:val="both"/>
        <w:rPr>
          <w:rFonts w:ascii="Arial" w:hAnsi="Arial" w:cs="Arial"/>
          <w:szCs w:val="30"/>
        </w:rPr>
      </w:pPr>
      <w:r w:rsidRPr="008D367E">
        <w:rPr>
          <w:rFonts w:ascii="Arial" w:hAnsi="Arial" w:cs="Arial"/>
          <w:szCs w:val="30"/>
        </w:rPr>
        <w:lastRenderedPageBreak/>
        <w:t>Given ongoing fiscal constraints, ensuring reliable financing for marine governance remains a critical challenge. Beyond public funding, greater use of Public–Private Partnerships (PPPs) and innovative instruments such as blue funds, blue bonds, and blue carbon credits will be essential to strengthen the long-term financial sustainability of marine conservation in Thailand.</w:t>
      </w:r>
    </w:p>
    <w:p w14:paraId="255E2091" w14:textId="77777777" w:rsidR="00931A65" w:rsidRPr="00E419B7" w:rsidRDefault="00931A65" w:rsidP="00731EE0">
      <w:pPr>
        <w:jc w:val="both"/>
        <w:rPr>
          <w:rFonts w:ascii="Arial" w:hAnsi="Arial" w:cs="Arial"/>
          <w:szCs w:val="30"/>
        </w:rPr>
      </w:pPr>
    </w:p>
    <w:p w14:paraId="139CFCD1" w14:textId="695646C6" w:rsidR="00012E9A" w:rsidRPr="00E419B7" w:rsidRDefault="00650D07" w:rsidP="00DB0480">
      <w:pPr>
        <w:rPr>
          <w:rFonts w:ascii="Arial" w:hAnsi="Arial" w:cs="Arial"/>
          <w:b/>
          <w:bCs/>
        </w:rPr>
      </w:pPr>
      <w:r w:rsidRPr="00E419B7">
        <w:rPr>
          <w:rFonts w:ascii="Arial" w:hAnsi="Arial" w:cs="Arial"/>
          <w:b/>
          <w:bCs/>
        </w:rPr>
        <w:t>6.2.</w:t>
      </w:r>
      <w:r w:rsidR="0037698B" w:rsidRPr="00E419B7">
        <w:rPr>
          <w:rFonts w:ascii="Arial" w:hAnsi="Arial" w:cs="Arial"/>
          <w:b/>
          <w:bCs/>
        </w:rPr>
        <w:t>1.</w:t>
      </w:r>
      <w:r w:rsidRPr="00E419B7">
        <w:rPr>
          <w:rFonts w:ascii="Arial" w:hAnsi="Arial" w:cs="Arial"/>
          <w:b/>
          <w:bCs/>
        </w:rPr>
        <w:t>3</w:t>
      </w:r>
      <w:r w:rsidRPr="00E419B7">
        <w:rPr>
          <w:rFonts w:ascii="Arial" w:hAnsi="Arial" w:cs="Arial"/>
          <w:b/>
          <w:bCs/>
        </w:rPr>
        <w:tab/>
      </w:r>
      <w:r w:rsidR="00287855" w:rsidRPr="00E419B7">
        <w:rPr>
          <w:rFonts w:ascii="Arial" w:hAnsi="Arial" w:cs="Arial"/>
          <w:b/>
          <w:bCs/>
        </w:rPr>
        <w:t>National and International Investments</w:t>
      </w:r>
      <w:r w:rsidR="003A0533" w:rsidRPr="00E419B7">
        <w:rPr>
          <w:rFonts w:ascii="Arial" w:hAnsi="Arial" w:cs="Arial"/>
          <w:b/>
          <w:bCs/>
        </w:rPr>
        <w:t xml:space="preserve"> (</w:t>
      </w:r>
      <w:r w:rsidR="00A06513" w:rsidRPr="00E419B7">
        <w:rPr>
          <w:rFonts w:ascii="Arial" w:hAnsi="Arial" w:cs="Arial"/>
          <w:b/>
          <w:bCs/>
        </w:rPr>
        <w:t>Domestic direct investment and Foreign direct investment)</w:t>
      </w:r>
      <w:r w:rsidR="00E9500E" w:rsidRPr="00E419B7">
        <w:rPr>
          <w:rFonts w:ascii="Arial" w:hAnsi="Arial" w:cs="Arial"/>
          <w:b/>
          <w:bCs/>
        </w:rPr>
        <w:t xml:space="preserve">  </w:t>
      </w:r>
    </w:p>
    <w:p w14:paraId="089BA722" w14:textId="77777777" w:rsidR="00A97D60" w:rsidRPr="00E419B7" w:rsidRDefault="00A97D60" w:rsidP="00A97D60">
      <w:pPr>
        <w:rPr>
          <w:rFonts w:ascii="Arial" w:hAnsi="Arial" w:cs="Arial"/>
          <w:i/>
        </w:rPr>
      </w:pPr>
    </w:p>
    <w:p w14:paraId="6B62EF38" w14:textId="5C5B7565" w:rsidR="004A7228" w:rsidRPr="00E419B7" w:rsidRDefault="004A7228" w:rsidP="004A7228">
      <w:pPr>
        <w:jc w:val="both"/>
        <w:rPr>
          <w:rFonts w:ascii="Arial" w:hAnsi="Arial" w:cs="Arial"/>
        </w:rPr>
      </w:pPr>
      <w:r w:rsidRPr="00E419B7">
        <w:rPr>
          <w:rFonts w:ascii="Arial" w:hAnsi="Arial" w:cs="Arial"/>
        </w:rPr>
        <w:t>The Gulf of Thailand continues to attract strong domestic and foreign direct investment (DDI/FDI) due to its strategic location and economic potential. Between 2015 and 2024 (</w:t>
      </w:r>
      <w:r w:rsidR="004C3380" w:rsidRPr="00E419B7">
        <w:rPr>
          <w:rFonts w:ascii="Arial" w:hAnsi="Arial" w:cs="Arial"/>
          <w:color w:val="EE0000"/>
        </w:rPr>
        <w:t>Annex 4</w:t>
      </w:r>
      <w:r w:rsidRPr="00E419B7">
        <w:rPr>
          <w:rFonts w:ascii="Arial" w:hAnsi="Arial" w:cs="Arial"/>
        </w:rPr>
        <w:t>), Thailand became increasingly reliant on FDI, which rose from 61% to 74.7% of total investment (BOI).</w:t>
      </w:r>
    </w:p>
    <w:p w14:paraId="048133A9" w14:textId="77777777" w:rsidR="004A7228" w:rsidRPr="00E419B7" w:rsidRDefault="004A7228" w:rsidP="004A7228">
      <w:pPr>
        <w:jc w:val="both"/>
        <w:rPr>
          <w:rFonts w:ascii="Arial" w:hAnsi="Arial" w:cs="Arial"/>
        </w:rPr>
      </w:pPr>
    </w:p>
    <w:p w14:paraId="4D801D19" w14:textId="56BBFA61" w:rsidR="004A7228" w:rsidRPr="00E419B7" w:rsidRDefault="004A7228" w:rsidP="004A7228">
      <w:pPr>
        <w:jc w:val="both"/>
        <w:rPr>
          <w:rFonts w:ascii="Arial" w:hAnsi="Arial" w:cs="Arial"/>
        </w:rPr>
      </w:pPr>
      <w:r w:rsidRPr="00E419B7">
        <w:rPr>
          <w:rFonts w:ascii="Arial" w:hAnsi="Arial" w:cs="Arial"/>
        </w:rPr>
        <w:t>The Eastern Economic Corridor (EEC) is the dominant investment zone, attracting USD 10.45 billion in 2023, mainly in electronics, machinery, automotive, petrochemicals, EVs, and logistics. Major infrastructure projects further strengthen regional connectivity.</w:t>
      </w:r>
    </w:p>
    <w:p w14:paraId="6EDD707E" w14:textId="77777777" w:rsidR="004A7228" w:rsidRPr="00E419B7" w:rsidRDefault="004A7228" w:rsidP="004A7228">
      <w:pPr>
        <w:jc w:val="both"/>
        <w:rPr>
          <w:rFonts w:ascii="Arial" w:hAnsi="Arial" w:cs="Arial"/>
        </w:rPr>
      </w:pPr>
    </w:p>
    <w:p w14:paraId="46E91555" w14:textId="77777777" w:rsidR="004A7228" w:rsidRPr="00E419B7" w:rsidRDefault="004A7228" w:rsidP="004A7228">
      <w:pPr>
        <w:jc w:val="both"/>
        <w:rPr>
          <w:rFonts w:ascii="Arial" w:hAnsi="Arial" w:cs="Arial"/>
        </w:rPr>
      </w:pPr>
      <w:r w:rsidRPr="00E419B7">
        <w:rPr>
          <w:rFonts w:ascii="Arial" w:hAnsi="Arial" w:cs="Arial"/>
        </w:rPr>
        <w:t>However, both FDI and DDI generate significant environmental pressures, including port expansion, land reclamation, industrial wastewater discharge, and coastal erosion. Strengthened environmental safeguards, community participation, and sustainable finance mechanisms are essential to balance economic growth with long-term ecosystem protection.</w:t>
      </w:r>
    </w:p>
    <w:p w14:paraId="6C6C7413" w14:textId="77777777" w:rsidR="004A7228" w:rsidRPr="00E419B7" w:rsidRDefault="004A7228" w:rsidP="00731EE0">
      <w:pPr>
        <w:jc w:val="both"/>
        <w:rPr>
          <w:rFonts w:ascii="Arial" w:hAnsi="Arial" w:cs="Arial"/>
        </w:rPr>
      </w:pPr>
    </w:p>
    <w:p w14:paraId="6DA4BCD0" w14:textId="6C36B8B1" w:rsidR="00073188" w:rsidRPr="00E419B7" w:rsidRDefault="00650D07" w:rsidP="00B20E44">
      <w:pPr>
        <w:rPr>
          <w:rFonts w:ascii="Arial" w:hAnsi="Arial" w:cs="Arial"/>
          <w:b/>
          <w:bCs/>
        </w:rPr>
      </w:pPr>
      <w:r w:rsidRPr="00E419B7">
        <w:rPr>
          <w:rFonts w:ascii="Arial" w:hAnsi="Arial" w:cs="Arial"/>
          <w:b/>
          <w:bCs/>
        </w:rPr>
        <w:t>6.2.</w:t>
      </w:r>
      <w:r w:rsidR="0037698B" w:rsidRPr="00E419B7">
        <w:rPr>
          <w:rFonts w:ascii="Arial" w:hAnsi="Arial" w:cs="Arial"/>
          <w:b/>
          <w:bCs/>
        </w:rPr>
        <w:t>1.</w:t>
      </w:r>
      <w:r w:rsidRPr="00E419B7">
        <w:rPr>
          <w:rFonts w:ascii="Arial" w:hAnsi="Arial" w:cs="Arial"/>
          <w:b/>
          <w:bCs/>
        </w:rPr>
        <w:t>4</w:t>
      </w:r>
      <w:r w:rsidRPr="00E419B7">
        <w:rPr>
          <w:rFonts w:ascii="Arial" w:hAnsi="Arial" w:cs="Arial"/>
          <w:b/>
          <w:bCs/>
        </w:rPr>
        <w:tab/>
      </w:r>
      <w:r w:rsidR="00073188" w:rsidRPr="00E419B7">
        <w:rPr>
          <w:rFonts w:ascii="Arial" w:hAnsi="Arial" w:cs="Arial"/>
          <w:b/>
          <w:bCs/>
        </w:rPr>
        <w:t>Provincial Investments</w:t>
      </w:r>
    </w:p>
    <w:p w14:paraId="5487A625" w14:textId="35932679" w:rsidR="007827F3" w:rsidRPr="00E419B7" w:rsidRDefault="007827F3" w:rsidP="007827F3">
      <w:pPr>
        <w:pStyle w:val="NormalWeb"/>
        <w:jc w:val="thaiDistribute"/>
        <w:rPr>
          <w:rFonts w:ascii="Arial" w:hAnsi="Arial" w:cs="Arial"/>
        </w:rPr>
      </w:pPr>
      <w:r w:rsidRPr="00E419B7">
        <w:rPr>
          <w:rFonts w:ascii="Arial" w:hAnsi="Arial" w:cs="Arial"/>
        </w:rPr>
        <w:t>Provincial investment along the Gulf of Thailand shows strong spatial inequality, reflecting uneven development across coastal provinces. Based on 2024 data from the Board of Investment (BOI) and the Department of Business Development (DBD) (</w:t>
      </w:r>
      <w:r w:rsidRPr="00E419B7">
        <w:rPr>
          <w:rFonts w:ascii="Arial" w:hAnsi="Arial" w:cs="Arial"/>
          <w:color w:val="EE0000"/>
        </w:rPr>
        <w:t xml:space="preserve">Annex </w:t>
      </w:r>
      <w:r w:rsidR="004C3380" w:rsidRPr="00E419B7">
        <w:rPr>
          <w:rFonts w:ascii="Arial" w:hAnsi="Arial" w:cs="Arial"/>
          <w:color w:val="EE0000"/>
        </w:rPr>
        <w:t>5</w:t>
      </w:r>
      <w:r w:rsidRPr="00E419B7">
        <w:rPr>
          <w:rFonts w:ascii="Arial" w:hAnsi="Arial" w:cs="Arial"/>
          <w:color w:val="EE0000"/>
        </w:rPr>
        <w:t xml:space="preserve">), </w:t>
      </w:r>
      <w:r w:rsidRPr="00E419B7">
        <w:rPr>
          <w:rFonts w:ascii="Arial" w:hAnsi="Arial" w:cs="Arial"/>
        </w:rPr>
        <w:t>investments can be grouped into high-, medium-, and low-investment provinces, revealing distinct regional development patterns.</w:t>
      </w:r>
    </w:p>
    <w:p w14:paraId="72FDB91F" w14:textId="77777777" w:rsidR="007827F3" w:rsidRPr="00E419B7" w:rsidRDefault="007827F3" w:rsidP="007827F3">
      <w:pPr>
        <w:pStyle w:val="NormalWeb"/>
        <w:jc w:val="thaiDistribute"/>
        <w:rPr>
          <w:rFonts w:ascii="Arial" w:hAnsi="Arial" w:cs="Arial"/>
        </w:rPr>
      </w:pPr>
      <w:r w:rsidRPr="00E419B7">
        <w:rPr>
          <w:rFonts w:ascii="Arial" w:hAnsi="Arial" w:cs="Arial"/>
        </w:rPr>
        <w:t>High-investment provinces—Rayong, Chonburi, Samut Prakan, and Chachoengsao—account for approximately 94% of total investment in the Gulf of Thailand. These provinces form the economic core of the Eastern Economic Corridor (EEC) and function as national industrial and logistics hubs. Rayong and Chonburi dominate large-scale foreign direct investment in petrochemicals, energy, and manufacturing, while Samut Prakan and Chachoengsao show strong growth in both industrial and local business registration. Together, these provinces serve as the primary growth poles of the Gulf region and are deeply integrated into global supply chains.</w:t>
      </w:r>
    </w:p>
    <w:p w14:paraId="0AB3D8BF" w14:textId="77777777" w:rsidR="007827F3" w:rsidRPr="00E419B7" w:rsidRDefault="007827F3" w:rsidP="007827F3">
      <w:pPr>
        <w:pStyle w:val="NormalWeb"/>
        <w:jc w:val="thaiDistribute"/>
        <w:rPr>
          <w:rFonts w:ascii="Arial" w:hAnsi="Arial" w:cs="Arial"/>
        </w:rPr>
      </w:pPr>
      <w:r w:rsidRPr="00E419B7">
        <w:rPr>
          <w:rFonts w:ascii="Arial" w:hAnsi="Arial" w:cs="Arial"/>
        </w:rPr>
        <w:t>Medium-investment provinces, including Samut Sakhon, Phetchaburi, Songkhla, Nakhon Si Thammarat, Chumphon, Surat Thani, and Prachuap Khiri Khan, show a mixed economic structure combining agriculture, seafood processing, and coastal tourism. These provinces function as emerging economic hubs, with moderate investment potential that depends on improved infrastructure, logistics connectivity, and market access.</w:t>
      </w:r>
    </w:p>
    <w:p w14:paraId="308EBBE1" w14:textId="77777777" w:rsidR="007827F3" w:rsidRPr="00E419B7" w:rsidRDefault="007827F3" w:rsidP="007827F3">
      <w:pPr>
        <w:pStyle w:val="NormalWeb"/>
        <w:jc w:val="thaiDistribute"/>
        <w:rPr>
          <w:rFonts w:ascii="Arial" w:hAnsi="Arial" w:cs="Arial"/>
        </w:rPr>
      </w:pPr>
      <w:r w:rsidRPr="00E419B7">
        <w:rPr>
          <w:rFonts w:ascii="Arial" w:hAnsi="Arial" w:cs="Arial"/>
        </w:rPr>
        <w:lastRenderedPageBreak/>
        <w:t>Low-investment provinces—Trat, Chanthaburi, Samut Songkhram, Pattani, and Narathiwat—remain resource-dependent economies, dominated by agriculture, small-scale fisheries, and eco-tourism. These areas face persistent constraints, including weak infrastructure, small markets, and security challenges in the southern border provinces, limiting their ability to attract both domestic and foreign investment.</w:t>
      </w:r>
    </w:p>
    <w:p w14:paraId="6ECA6BD2" w14:textId="77777777" w:rsidR="007827F3" w:rsidRPr="00E419B7" w:rsidRDefault="007827F3" w:rsidP="007827F3">
      <w:pPr>
        <w:pStyle w:val="NormalWeb"/>
        <w:jc w:val="thaiDistribute"/>
        <w:rPr>
          <w:rFonts w:ascii="Arial" w:hAnsi="Arial" w:cs="Arial"/>
        </w:rPr>
      </w:pPr>
      <w:r w:rsidRPr="00E419B7">
        <w:rPr>
          <w:rFonts w:ascii="Arial" w:hAnsi="Arial" w:cs="Arial"/>
        </w:rPr>
        <w:t>Overall, provincial investment patterns reveal high economic concentration in the EEC provinces and structural vulnerability in peripheral coastal areas. These disparities directly affect provincial capacity for environmental management and sustainable marine governance. High-investment provinces exert intense development pressure on coastal ecosystems, while low-investment provinces face financial and institutional constraints in conservation and restoration. This underscores the need for spatially targeted investment policy, equitable budget allocation, and differentiated governance strategies to support sustainable blue economy development across the entire Gulf of Thailand.</w:t>
      </w:r>
    </w:p>
    <w:p w14:paraId="1558A81E" w14:textId="301ABBF6" w:rsidR="00FC3E29" w:rsidRPr="00E419B7" w:rsidRDefault="00307478" w:rsidP="00FC3E29">
      <w:pPr>
        <w:spacing w:before="120" w:after="120"/>
        <w:rPr>
          <w:rFonts w:ascii="Arial" w:hAnsi="Arial" w:cs="Arial"/>
          <w:b/>
          <w:bCs/>
          <w:sz w:val="32"/>
          <w:szCs w:val="32"/>
        </w:rPr>
      </w:pPr>
      <w:bookmarkStart w:id="12" w:name="_Hlk211410921"/>
      <w:commentRangeStart w:id="13"/>
      <w:commentRangeStart w:id="14"/>
      <w:commentRangeStart w:id="15"/>
      <w:r w:rsidRPr="00E419B7">
        <w:rPr>
          <w:rFonts w:ascii="Arial" w:hAnsi="Arial" w:cs="Arial"/>
          <w:b/>
          <w:bCs/>
          <w:sz w:val="32"/>
          <w:szCs w:val="32"/>
        </w:rPr>
        <w:t>6.2.2</w:t>
      </w:r>
      <w:r w:rsidRPr="00E419B7">
        <w:rPr>
          <w:rFonts w:ascii="Arial" w:hAnsi="Arial" w:cs="Arial"/>
          <w:b/>
          <w:bCs/>
          <w:i/>
          <w:iCs/>
          <w:sz w:val="32"/>
          <w:szCs w:val="32"/>
        </w:rPr>
        <w:t xml:space="preserve"> </w:t>
      </w:r>
      <w:r w:rsidRPr="00E419B7">
        <w:rPr>
          <w:rFonts w:ascii="Arial" w:hAnsi="Arial" w:cs="Arial"/>
          <w:b/>
          <w:bCs/>
          <w:sz w:val="32"/>
          <w:szCs w:val="32"/>
        </w:rPr>
        <w:t xml:space="preserve"> </w:t>
      </w:r>
      <w:r w:rsidR="00470BBE" w:rsidRPr="00E419B7">
        <w:rPr>
          <w:rFonts w:ascii="Arial" w:hAnsi="Arial" w:cs="Arial"/>
          <w:b/>
          <w:bCs/>
          <w:sz w:val="32"/>
          <w:szCs w:val="32"/>
        </w:rPr>
        <w:t xml:space="preserve"> </w:t>
      </w:r>
      <w:r w:rsidR="00FC3E29" w:rsidRPr="00E419B7">
        <w:rPr>
          <w:rFonts w:ascii="Arial" w:hAnsi="Arial" w:cs="Arial"/>
          <w:b/>
          <w:bCs/>
          <w:sz w:val="32"/>
          <w:szCs w:val="32"/>
        </w:rPr>
        <w:t xml:space="preserve">Institutional Setting </w:t>
      </w:r>
    </w:p>
    <w:p w14:paraId="2D641B2B" w14:textId="05409FAF" w:rsidR="00FC3E29" w:rsidRPr="00E419B7" w:rsidRDefault="00307478" w:rsidP="00D859A8">
      <w:pPr>
        <w:spacing w:before="120" w:after="120"/>
        <w:rPr>
          <w:rFonts w:ascii="Arial" w:hAnsi="Arial" w:cs="Arial"/>
          <w:b/>
          <w:bCs/>
        </w:rPr>
      </w:pPr>
      <w:r w:rsidRPr="00E419B7">
        <w:rPr>
          <w:rFonts w:ascii="Arial" w:hAnsi="Arial" w:cs="Arial"/>
          <w:b/>
          <w:bCs/>
        </w:rPr>
        <w:t xml:space="preserve">6.2.2.1 </w:t>
      </w:r>
      <w:r w:rsidR="00FC3E29" w:rsidRPr="00E419B7">
        <w:rPr>
          <w:rFonts w:ascii="Arial" w:hAnsi="Arial" w:cs="Arial"/>
          <w:b/>
          <w:bCs/>
        </w:rPr>
        <w:t xml:space="preserve">Institutions, Regulatory Agencies, Administrative Arrangements </w:t>
      </w:r>
      <w:commentRangeEnd w:id="13"/>
      <w:r w:rsidRPr="00E419B7">
        <w:rPr>
          <w:rStyle w:val="CommentReference"/>
          <w:rFonts w:ascii="Arial" w:hAnsi="Arial" w:cs="Arial"/>
        </w:rPr>
        <w:commentReference w:id="13"/>
      </w:r>
      <w:commentRangeEnd w:id="14"/>
      <w:r w:rsidRPr="00E419B7">
        <w:rPr>
          <w:rStyle w:val="CommentReference"/>
          <w:rFonts w:ascii="Arial" w:hAnsi="Arial" w:cs="Arial"/>
        </w:rPr>
        <w:commentReference w:id="14"/>
      </w:r>
      <w:commentRangeEnd w:id="15"/>
      <w:r w:rsidR="00076256" w:rsidRPr="00E419B7">
        <w:rPr>
          <w:rStyle w:val="CommentReference"/>
          <w:rFonts w:ascii="Arial" w:hAnsi="Arial" w:cs="Arial"/>
        </w:rPr>
        <w:commentReference w:id="15"/>
      </w:r>
    </w:p>
    <w:p w14:paraId="11A1FB4A" w14:textId="77777777" w:rsidR="00262438" w:rsidRPr="00E419B7" w:rsidRDefault="00262438" w:rsidP="00D859A8">
      <w:pPr>
        <w:jc w:val="both"/>
        <w:rPr>
          <w:rFonts w:ascii="Arial" w:hAnsi="Arial" w:cs="Arial"/>
          <w:sz w:val="21"/>
          <w:szCs w:val="21"/>
          <w:u w:val="single"/>
        </w:rPr>
      </w:pPr>
    </w:p>
    <w:p w14:paraId="2BC33C4B" w14:textId="2C695174" w:rsidR="00A425B8" w:rsidRPr="00E419B7" w:rsidRDefault="00A425B8" w:rsidP="00D859A8">
      <w:pPr>
        <w:jc w:val="both"/>
        <w:rPr>
          <w:rFonts w:ascii="Arial" w:hAnsi="Arial" w:cs="Arial"/>
        </w:rPr>
      </w:pPr>
      <w:r w:rsidRPr="00E419B7">
        <w:rPr>
          <w:rFonts w:ascii="Arial" w:hAnsi="Arial" w:cs="Arial"/>
        </w:rPr>
        <w:t>Thailand’s marine and coastal governance operates through a multi-level institutional system involving sectoral agencies, inter-ministerial coordination mechanisms, and national policy committees. The Department of Marine and Coastal Resources (DMCR), under the Ministry of Natural Resources and Environment (MONRE), holds the primary mandate for coastal and marine resource management. It works closely with key MONRE agencies (</w:t>
      </w:r>
      <w:r w:rsidRPr="00E419B7">
        <w:rPr>
          <w:rFonts w:ascii="Arial" w:hAnsi="Arial" w:cs="Arial"/>
          <w:color w:val="EE0000"/>
        </w:rPr>
        <w:t xml:space="preserve">Fig 6), </w:t>
      </w:r>
      <w:r w:rsidRPr="00E419B7">
        <w:rPr>
          <w:rFonts w:ascii="Arial" w:hAnsi="Arial" w:cs="Arial"/>
        </w:rPr>
        <w:t>including the Department of National Parks, Wildlife and Plant Conservation (DNP), Pollution Control Department (PCD), Office of Natural Resources and Environmental Policy and Planning (ONEP), Department of Climate Change and Environment (DCCE), and Department of Mineral Resources (DMR), which together support ecosystem protection, environmental regulation, and climate policy implementation.</w:t>
      </w:r>
    </w:p>
    <w:p w14:paraId="7D027635" w14:textId="77777777" w:rsidR="00A425B8" w:rsidRPr="00E419B7" w:rsidRDefault="00A425B8" w:rsidP="00D859A8">
      <w:pPr>
        <w:jc w:val="both"/>
        <w:rPr>
          <w:rFonts w:ascii="Arial" w:hAnsi="Arial" w:cs="Arial"/>
        </w:rPr>
      </w:pPr>
    </w:p>
    <w:p w14:paraId="6BC3F70F" w14:textId="50008375" w:rsidR="00F21B78" w:rsidRPr="00E419B7" w:rsidRDefault="00A425B8" w:rsidP="00D859A8">
      <w:pPr>
        <w:jc w:val="both"/>
        <w:rPr>
          <w:rFonts w:ascii="Arial" w:hAnsi="Arial" w:cs="Arial"/>
        </w:rPr>
      </w:pPr>
      <w:r w:rsidRPr="00E419B7">
        <w:rPr>
          <w:rFonts w:ascii="Arial" w:hAnsi="Arial" w:cs="Arial"/>
        </w:rPr>
        <w:t>Beyond MONRE, several sectoral agencies play critical roles. The Department of Fisheries (DOF) under the Ministry of Agriculture and Cooperatives leads fisheries and aquaculture management; the Royal Thai Navy (RTN) is responsible for maritime security and IUU fishing enforcement; the Marine Department (MD) regulates navigation and ports; the Department of Industrial Works (DIW) oversees industrial pollution control; and the Ministry of Foreign Affairs (MFA) coordinates Thailand’s international marine governance engagement (</w:t>
      </w:r>
      <w:r w:rsidRPr="00E419B7">
        <w:rPr>
          <w:rFonts w:ascii="Arial" w:hAnsi="Arial" w:cs="Arial"/>
          <w:color w:val="EE0000"/>
        </w:rPr>
        <w:t>Annex 6</w:t>
      </w:r>
      <w:r w:rsidRPr="00E419B7">
        <w:rPr>
          <w:rFonts w:ascii="Arial" w:hAnsi="Arial" w:cs="Arial"/>
        </w:rPr>
        <w:t>).</w:t>
      </w:r>
    </w:p>
    <w:p w14:paraId="0A265F87" w14:textId="77777777" w:rsidR="00A425B8" w:rsidRPr="00E419B7" w:rsidRDefault="00A425B8" w:rsidP="00C07358">
      <w:pPr>
        <w:spacing w:after="160" w:line="259" w:lineRule="auto"/>
        <w:rPr>
          <w:rFonts w:ascii="Arial" w:hAnsi="Arial" w:cs="Arial"/>
          <w:b/>
          <w:bCs/>
        </w:rPr>
      </w:pPr>
    </w:p>
    <w:p w14:paraId="7A578B44" w14:textId="48F08634" w:rsidR="00A425B8" w:rsidRPr="00E419B7" w:rsidRDefault="00A425B8" w:rsidP="00E419B7">
      <w:pPr>
        <w:spacing w:after="160" w:line="259" w:lineRule="auto"/>
        <w:jc w:val="thaiDistribute"/>
        <w:rPr>
          <w:rFonts w:ascii="Arial" w:hAnsi="Arial" w:cs="Arial"/>
        </w:rPr>
      </w:pPr>
      <w:r w:rsidRPr="00E419B7">
        <w:rPr>
          <w:rFonts w:ascii="Arial" w:hAnsi="Arial" w:cs="Arial"/>
        </w:rPr>
        <w:t>Policy integration is guided by several national committees, including the Maritime Interests Protection Policy Committee (MIP), Marine and Coastal Resources Committee (</w:t>
      </w:r>
      <w:r w:rsidR="00852F91">
        <w:rPr>
          <w:rFonts w:ascii="Arial" w:hAnsi="Arial" w:cs="Arial"/>
        </w:rPr>
        <w:t>N</w:t>
      </w:r>
      <w:r w:rsidRPr="00E419B7">
        <w:rPr>
          <w:rFonts w:ascii="Arial" w:hAnsi="Arial" w:cs="Arial"/>
        </w:rPr>
        <w:t>MCRC), National Environment Board (NEB), National Biodiversity Committee (NBC), National Climate Change Policy Committee (NCCP), National Pollution Control Committee (NPC), and National Fisheries Committee (NFC), supported by technical subcommittees (</w:t>
      </w:r>
      <w:r w:rsidRPr="00E419B7">
        <w:rPr>
          <w:rFonts w:ascii="Arial" w:hAnsi="Arial" w:cs="Arial"/>
          <w:color w:val="EE0000"/>
        </w:rPr>
        <w:t>Annex 7</w:t>
      </w:r>
      <w:r w:rsidRPr="00E419B7">
        <w:rPr>
          <w:rFonts w:ascii="Arial" w:hAnsi="Arial" w:cs="Arial"/>
        </w:rPr>
        <w:t>). These bodies formulate policy recommendations that are consolidated and submitted to the Cabinet for approval, ensuring alignment across sectors.</w:t>
      </w:r>
    </w:p>
    <w:p w14:paraId="0B045071" w14:textId="483896E4" w:rsidR="00A425B8" w:rsidRPr="00E419B7" w:rsidRDefault="00A425B8" w:rsidP="00E419B7">
      <w:pPr>
        <w:spacing w:before="120" w:after="120"/>
        <w:jc w:val="thaiDistribute"/>
        <w:rPr>
          <w:rFonts w:ascii="Arial" w:hAnsi="Arial" w:cs="Arial"/>
        </w:rPr>
      </w:pPr>
      <w:r w:rsidRPr="00E419B7">
        <w:rPr>
          <w:rFonts w:ascii="Arial" w:hAnsi="Arial" w:cs="Arial"/>
        </w:rPr>
        <w:lastRenderedPageBreak/>
        <w:t xml:space="preserve">As Marine Spatial Planning (MSP) advances, the MIP and </w:t>
      </w:r>
      <w:r w:rsidR="00890D38" w:rsidRPr="00E419B7">
        <w:rPr>
          <w:rFonts w:ascii="Arial" w:hAnsi="Arial" w:cs="Arial"/>
        </w:rPr>
        <w:t>N</w:t>
      </w:r>
      <w:r w:rsidRPr="00E419B7">
        <w:rPr>
          <w:rFonts w:ascii="Arial" w:hAnsi="Arial" w:cs="Arial"/>
        </w:rPr>
        <w:t>MCRC play leading strategic roles in integrating the National MSP Framework into legal and policy instruments, supported by specialized subcommittees (World Bank, 2025). Overall, Thailand’s institutional framework provides a strong national governance backbone; however, coordination gaps and uneven provincial implementation continue to constrain fully integrated and effective marine and coastal governance.</w:t>
      </w:r>
    </w:p>
    <w:p w14:paraId="1FEA379C" w14:textId="77777777" w:rsidR="00865B40" w:rsidRPr="00E419B7" w:rsidRDefault="00865B40" w:rsidP="00C07358">
      <w:pPr>
        <w:rPr>
          <w:rFonts w:ascii="Arial" w:hAnsi="Arial" w:cs="Arial"/>
        </w:rPr>
      </w:pPr>
    </w:p>
    <w:p w14:paraId="5FFE26BD" w14:textId="195EC6D0" w:rsidR="00A46FC9" w:rsidRPr="00E419B7" w:rsidRDefault="00A46FC9" w:rsidP="007519ED">
      <w:pPr>
        <w:jc w:val="both"/>
        <w:rPr>
          <w:rFonts w:ascii="Arial" w:hAnsi="Arial" w:cs="Arial"/>
        </w:rPr>
      </w:pPr>
    </w:p>
    <w:p w14:paraId="1ABC78C8" w14:textId="3DB46CD8" w:rsidR="00A46FC9" w:rsidRPr="00E419B7" w:rsidRDefault="007519ED" w:rsidP="007519ED">
      <w:pPr>
        <w:jc w:val="both"/>
        <w:rPr>
          <w:rFonts w:ascii="Arial" w:hAnsi="Arial" w:cs="Arial"/>
        </w:rPr>
      </w:pPr>
      <w:r w:rsidRPr="00E419B7">
        <w:rPr>
          <w:rFonts w:ascii="Arial" w:hAnsi="Arial" w:cs="Arial"/>
        </w:rPr>
        <w:t xml:space="preserve"> </w:t>
      </w:r>
    </w:p>
    <w:p w14:paraId="7B44CBA8" w14:textId="1432196C" w:rsidR="00A46FC9" w:rsidRPr="00E419B7" w:rsidRDefault="00C07358" w:rsidP="007519ED">
      <w:pPr>
        <w:jc w:val="both"/>
        <w:rPr>
          <w:rFonts w:ascii="Arial" w:hAnsi="Arial" w:cs="Arial"/>
        </w:rPr>
      </w:pPr>
      <w:r w:rsidRPr="00E419B7">
        <w:rPr>
          <w:rFonts w:ascii="Arial" w:hAnsi="Arial" w:cs="Arial"/>
          <w:b/>
          <w:bCs/>
          <w:noProof/>
        </w:rPr>
        <w:drawing>
          <wp:inline distT="0" distB="0" distL="0" distR="0" wp14:anchorId="61061318" wp14:editId="41DFABCC">
            <wp:extent cx="6106795" cy="2902616"/>
            <wp:effectExtent l="0" t="0" r="8255" b="0"/>
            <wp:docPr id="11315368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06795" cy="2902616"/>
                    </a:xfrm>
                    <a:prstGeom prst="rect">
                      <a:avLst/>
                    </a:prstGeom>
                    <a:noFill/>
                  </pic:spPr>
                </pic:pic>
              </a:graphicData>
            </a:graphic>
          </wp:inline>
        </w:drawing>
      </w:r>
    </w:p>
    <w:p w14:paraId="615FC77A" w14:textId="2B92B2C0" w:rsidR="007519ED" w:rsidRPr="00E419B7" w:rsidRDefault="007519ED" w:rsidP="007519ED">
      <w:pPr>
        <w:spacing w:before="120" w:after="120"/>
        <w:ind w:firstLine="1134"/>
        <w:jc w:val="thaiDistribute"/>
        <w:rPr>
          <w:rFonts w:ascii="Arial" w:hAnsi="Arial" w:cs="Arial"/>
        </w:rPr>
      </w:pPr>
      <w:bookmarkStart w:id="16" w:name="_Ref163118200"/>
      <w:bookmarkStart w:id="17" w:name="_Toc167870934"/>
    </w:p>
    <w:p w14:paraId="594BA739" w14:textId="77777777" w:rsidR="000F1F3F" w:rsidRPr="00E419B7" w:rsidRDefault="000F1F3F" w:rsidP="007519ED">
      <w:pPr>
        <w:spacing w:before="120" w:after="120"/>
        <w:jc w:val="thaiDistribute"/>
        <w:rPr>
          <w:rFonts w:ascii="Arial" w:hAnsi="Arial" w:cs="Arial"/>
        </w:rPr>
      </w:pPr>
    </w:p>
    <w:p w14:paraId="05E38547" w14:textId="75AA12E6" w:rsidR="007519ED" w:rsidRPr="00E419B7" w:rsidRDefault="007519ED" w:rsidP="007519ED">
      <w:pPr>
        <w:spacing w:before="120" w:after="120"/>
        <w:jc w:val="thaiDistribute"/>
        <w:rPr>
          <w:rFonts w:ascii="Arial" w:hAnsi="Arial" w:cs="Arial"/>
        </w:rPr>
      </w:pPr>
      <w:r w:rsidRPr="00E419B7">
        <w:rPr>
          <w:rFonts w:ascii="Arial" w:hAnsi="Arial" w:cs="Arial"/>
        </w:rPr>
        <w:t xml:space="preserve">Figure </w:t>
      </w:r>
      <w:bookmarkEnd w:id="16"/>
      <w:r w:rsidR="00B96D8F" w:rsidRPr="00E419B7">
        <w:rPr>
          <w:rFonts w:ascii="Arial" w:hAnsi="Arial" w:cs="Arial"/>
        </w:rPr>
        <w:t>6</w:t>
      </w:r>
      <w:r w:rsidRPr="00E419B7">
        <w:rPr>
          <w:rFonts w:ascii="Arial" w:hAnsi="Arial" w:cs="Arial"/>
        </w:rPr>
        <w:t>. Government agencies and policy committees relevant to governing marine and coastal resources in Thailand</w:t>
      </w:r>
      <w:bookmarkEnd w:id="17"/>
      <w:r w:rsidRPr="00E419B7">
        <w:rPr>
          <w:rFonts w:ascii="Arial" w:hAnsi="Arial" w:cs="Arial"/>
        </w:rPr>
        <w:t xml:space="preserve">  </w:t>
      </w:r>
    </w:p>
    <w:p w14:paraId="29B9D1B5" w14:textId="77777777" w:rsidR="00931A65" w:rsidRDefault="00931A65" w:rsidP="00BF4E70">
      <w:pPr>
        <w:spacing w:before="120" w:after="120"/>
        <w:jc w:val="thaiDistribute"/>
        <w:rPr>
          <w:rFonts w:ascii="Arial" w:hAnsi="Arial" w:cs="Arial"/>
          <w:b/>
          <w:bCs/>
          <w:color w:val="000000" w:themeColor="text1"/>
        </w:rPr>
      </w:pPr>
    </w:p>
    <w:p w14:paraId="071DA9F3" w14:textId="3E49A132" w:rsidR="005F4B96" w:rsidRPr="00E419B7" w:rsidRDefault="00F23B93" w:rsidP="00BF4E70">
      <w:pPr>
        <w:spacing w:before="120" w:after="120"/>
        <w:jc w:val="thaiDistribute"/>
        <w:rPr>
          <w:rFonts w:ascii="Arial" w:hAnsi="Arial" w:cs="Arial"/>
          <w:b/>
          <w:bCs/>
          <w:color w:val="000000" w:themeColor="text1"/>
        </w:rPr>
      </w:pPr>
      <w:r w:rsidRPr="00E419B7">
        <w:rPr>
          <w:rFonts w:ascii="Arial" w:hAnsi="Arial" w:cs="Arial"/>
          <w:b/>
          <w:bCs/>
          <w:color w:val="000000" w:themeColor="text1"/>
        </w:rPr>
        <w:t xml:space="preserve">6.2.2.2 </w:t>
      </w:r>
      <w:r w:rsidR="00153C00" w:rsidRPr="00E419B7">
        <w:rPr>
          <w:rFonts w:ascii="Arial" w:hAnsi="Arial" w:cs="Arial"/>
          <w:b/>
          <w:bCs/>
          <w:color w:val="000000" w:themeColor="text1"/>
        </w:rPr>
        <w:t>Regional Governance, Bilateral and Multilateral</w:t>
      </w:r>
      <w:r w:rsidR="00827728" w:rsidRPr="00E419B7">
        <w:rPr>
          <w:rFonts w:ascii="Arial" w:hAnsi="Arial" w:cs="Arial"/>
          <w:b/>
          <w:bCs/>
          <w:color w:val="000000" w:themeColor="text1"/>
        </w:rPr>
        <w:t xml:space="preserve"> Engagement</w:t>
      </w:r>
    </w:p>
    <w:p w14:paraId="62C97CDA" w14:textId="77777777" w:rsidR="00522A8A" w:rsidRPr="00E419B7" w:rsidRDefault="00522A8A" w:rsidP="00BF4E70">
      <w:pPr>
        <w:rPr>
          <w:rFonts w:ascii="Arial" w:hAnsi="Arial" w:cs="Arial"/>
          <w:color w:val="000000" w:themeColor="text1"/>
        </w:rPr>
      </w:pPr>
    </w:p>
    <w:p w14:paraId="5CA9A73B" w14:textId="77777777" w:rsidR="00522A8A" w:rsidRPr="00E419B7" w:rsidRDefault="00522A8A" w:rsidP="00E419B7">
      <w:pPr>
        <w:jc w:val="thaiDistribute"/>
        <w:rPr>
          <w:rFonts w:ascii="Arial" w:hAnsi="Arial" w:cs="Arial"/>
          <w:color w:val="000000" w:themeColor="text1"/>
        </w:rPr>
      </w:pPr>
      <w:r w:rsidRPr="00E419B7">
        <w:rPr>
          <w:rFonts w:ascii="Arial" w:hAnsi="Arial" w:cs="Arial"/>
          <w:color w:val="000000" w:themeColor="text1"/>
        </w:rPr>
        <w:t>The Department of Marine and Coastal Resources (DMCR) plays a central role in advancing Thailand’s regional and international engagement for sustainable marine and coastal governance. Through active participation in global, regional, and bilateral cooperation frameworks, Thailand aligns national marine management with international commitments, including the 2030 Agenda for Sustainable Development, the Kunming–Montreal Global Biodiversity Framework (GBF), and the UN Decade of Ocean Science (2021–2030).</w:t>
      </w:r>
    </w:p>
    <w:p w14:paraId="7B64E624" w14:textId="77777777" w:rsidR="00522A8A" w:rsidRPr="00E419B7" w:rsidRDefault="00522A8A" w:rsidP="00522A8A">
      <w:pPr>
        <w:rPr>
          <w:rFonts w:ascii="Arial" w:hAnsi="Arial" w:cs="Arial"/>
          <w:color w:val="000000" w:themeColor="text1"/>
        </w:rPr>
      </w:pPr>
    </w:p>
    <w:p w14:paraId="73815813" w14:textId="5F8B3B0A" w:rsidR="00522A8A" w:rsidRPr="00E419B7" w:rsidRDefault="00522A8A" w:rsidP="00E419B7">
      <w:pPr>
        <w:jc w:val="thaiDistribute"/>
        <w:rPr>
          <w:rFonts w:ascii="Arial" w:hAnsi="Arial" w:cs="Arial"/>
          <w:color w:val="000000" w:themeColor="text1"/>
        </w:rPr>
      </w:pPr>
      <w:r w:rsidRPr="00E419B7">
        <w:rPr>
          <w:rFonts w:ascii="Arial" w:hAnsi="Arial" w:cs="Arial"/>
          <w:color w:val="000000" w:themeColor="text1"/>
        </w:rPr>
        <w:t xml:space="preserve">At the </w:t>
      </w:r>
      <w:r w:rsidRPr="00E419B7">
        <w:rPr>
          <w:rFonts w:ascii="Arial" w:hAnsi="Arial" w:cs="Arial"/>
          <w:color w:val="000000" w:themeColor="text1"/>
          <w:u w:val="single"/>
        </w:rPr>
        <w:t>global level</w:t>
      </w:r>
      <w:r w:rsidRPr="00E419B7">
        <w:rPr>
          <w:rFonts w:ascii="Arial" w:hAnsi="Arial" w:cs="Arial"/>
          <w:color w:val="000000" w:themeColor="text1"/>
        </w:rPr>
        <w:t xml:space="preserve">, DMCR cooperates closely with key international organizations such as UNESCO, IOC, UNEP, IOI, and CMS, supporting marine science, biodiversity conservation, marine litter management, protection of migratory species, and capacity development. </w:t>
      </w:r>
      <w:r w:rsidRPr="00E419B7">
        <w:rPr>
          <w:rFonts w:ascii="Arial" w:hAnsi="Arial" w:cs="Arial"/>
          <w:color w:val="000000" w:themeColor="text1"/>
        </w:rPr>
        <w:lastRenderedPageBreak/>
        <w:t>Thailand also participates in major international legal and policy processes, including the BBNJ Agreement under UNCLOS, enhancing its role in global ocean governance.</w:t>
      </w:r>
    </w:p>
    <w:p w14:paraId="3BE84474" w14:textId="77777777" w:rsidR="00522A8A" w:rsidRPr="00E419B7" w:rsidRDefault="00522A8A" w:rsidP="00522A8A">
      <w:pPr>
        <w:rPr>
          <w:rFonts w:ascii="Arial" w:hAnsi="Arial" w:cs="Arial"/>
          <w:color w:val="000000" w:themeColor="text1"/>
        </w:rPr>
      </w:pPr>
    </w:p>
    <w:p w14:paraId="441CC258" w14:textId="751EDBEF" w:rsidR="00522A8A" w:rsidRPr="00E419B7" w:rsidRDefault="00522A8A" w:rsidP="00E419B7">
      <w:pPr>
        <w:jc w:val="thaiDistribute"/>
        <w:rPr>
          <w:rFonts w:ascii="Arial" w:hAnsi="Arial" w:cs="Arial"/>
          <w:color w:val="000000" w:themeColor="text1"/>
        </w:rPr>
      </w:pPr>
      <w:r w:rsidRPr="00E419B7">
        <w:rPr>
          <w:rFonts w:ascii="Arial" w:hAnsi="Arial" w:cs="Arial"/>
          <w:color w:val="000000" w:themeColor="text1"/>
        </w:rPr>
        <w:t xml:space="preserve">At the </w:t>
      </w:r>
      <w:r w:rsidRPr="00E419B7">
        <w:rPr>
          <w:rFonts w:ascii="Arial" w:hAnsi="Arial" w:cs="Arial"/>
          <w:color w:val="000000" w:themeColor="text1"/>
          <w:u w:val="single"/>
        </w:rPr>
        <w:t>regional level</w:t>
      </w:r>
      <w:r w:rsidRPr="00E419B7">
        <w:rPr>
          <w:rFonts w:ascii="Arial" w:hAnsi="Arial" w:cs="Arial"/>
          <w:color w:val="000000" w:themeColor="text1"/>
        </w:rPr>
        <w:t>, Thailand is actively engaged through ASEAN, COBSEA, APEC, and the Indian Ocean Rim Association (IORA), contributing to regional initiatives on marine pollution control, climate change adaptation, sustainable fisheries, blue economy development, and marine scientific cooperation. DMCR further strengthens regional integration through leadership roles in ASEAN working groups and technical subcommittees related to coastal and marine environments.</w:t>
      </w:r>
    </w:p>
    <w:p w14:paraId="70F5F981" w14:textId="77777777" w:rsidR="00522A8A" w:rsidRPr="00E419B7" w:rsidRDefault="00522A8A" w:rsidP="00522A8A">
      <w:pPr>
        <w:rPr>
          <w:rFonts w:ascii="Arial" w:hAnsi="Arial" w:cs="Arial"/>
          <w:color w:val="000000" w:themeColor="text1"/>
        </w:rPr>
      </w:pPr>
    </w:p>
    <w:p w14:paraId="1E58841C" w14:textId="49F256BA" w:rsidR="00522A8A" w:rsidRPr="00E419B7" w:rsidRDefault="00522A8A" w:rsidP="00E419B7">
      <w:pPr>
        <w:jc w:val="thaiDistribute"/>
        <w:rPr>
          <w:rFonts w:ascii="Arial" w:hAnsi="Arial" w:cs="Arial"/>
          <w:color w:val="000000" w:themeColor="text1"/>
        </w:rPr>
      </w:pPr>
      <w:r w:rsidRPr="00E419B7">
        <w:rPr>
          <w:rFonts w:ascii="Arial" w:hAnsi="Arial" w:cs="Arial"/>
          <w:color w:val="000000" w:themeColor="text1"/>
          <w:u w:val="single"/>
        </w:rPr>
        <w:t>Bilateral</w:t>
      </w:r>
      <w:r w:rsidRPr="00E419B7">
        <w:rPr>
          <w:rFonts w:ascii="Arial" w:hAnsi="Arial" w:cs="Arial"/>
          <w:color w:val="000000" w:themeColor="text1"/>
        </w:rPr>
        <w:t xml:space="preserve"> and innovation-based partnerships also support Thailand’s marine governance, particularly through public–private collaboration on marine debris management and technological solutions for pollution reduction.</w:t>
      </w:r>
    </w:p>
    <w:p w14:paraId="1DBA7FD8" w14:textId="77777777" w:rsidR="00522A8A" w:rsidRPr="00E419B7" w:rsidRDefault="00522A8A" w:rsidP="00E419B7">
      <w:pPr>
        <w:jc w:val="thaiDistribute"/>
        <w:rPr>
          <w:rFonts w:ascii="Arial" w:hAnsi="Arial" w:cs="Arial"/>
          <w:color w:val="000000" w:themeColor="text1"/>
        </w:rPr>
      </w:pPr>
    </w:p>
    <w:p w14:paraId="44D0ED5B" w14:textId="3D14BC2C" w:rsidR="00522A8A" w:rsidRPr="00E419B7" w:rsidRDefault="00522A8A" w:rsidP="00E419B7">
      <w:pPr>
        <w:jc w:val="thaiDistribute"/>
        <w:rPr>
          <w:rFonts w:ascii="Arial" w:hAnsi="Arial" w:cs="Arial"/>
          <w:color w:val="000000" w:themeColor="text1"/>
        </w:rPr>
      </w:pPr>
      <w:r w:rsidRPr="00E419B7">
        <w:rPr>
          <w:rFonts w:ascii="Arial" w:hAnsi="Arial" w:cs="Arial"/>
          <w:color w:val="000000" w:themeColor="text1"/>
        </w:rPr>
        <w:t>Overall, Thailand’s extensive engagement across multilateral, regional, and bilateral platforms reflects a strong commitment to cooperative, science-based, and integrated ocean governance. These partnerships enhance Thailand’s technical capacity, regional leadership, and contribution to sustainable marine and coastal management in the South China Sea and the wider Indo-Pacific region (</w:t>
      </w:r>
      <w:r w:rsidRPr="00E419B7">
        <w:rPr>
          <w:rFonts w:ascii="Arial" w:hAnsi="Arial" w:cs="Arial"/>
          <w:color w:val="EE0000"/>
        </w:rPr>
        <w:t>see Annex 8</w:t>
      </w:r>
      <w:r w:rsidR="00E419B7">
        <w:rPr>
          <w:rFonts w:ascii="Arial" w:hAnsi="Arial" w:cs="Arial"/>
          <w:color w:val="EE0000"/>
        </w:rPr>
        <w:t>)</w:t>
      </w:r>
      <w:r w:rsidRPr="00E419B7">
        <w:rPr>
          <w:rFonts w:ascii="Arial" w:hAnsi="Arial" w:cs="Arial"/>
          <w:color w:val="EE0000"/>
        </w:rPr>
        <w:t>.</w:t>
      </w:r>
    </w:p>
    <w:p w14:paraId="05CFA0B9" w14:textId="77777777" w:rsidR="00522A8A" w:rsidRPr="00E419B7" w:rsidRDefault="00522A8A" w:rsidP="00E419B7">
      <w:pPr>
        <w:jc w:val="thaiDistribute"/>
        <w:rPr>
          <w:rFonts w:ascii="Arial" w:hAnsi="Arial" w:cs="Arial"/>
          <w:b/>
          <w:bCs/>
          <w:color w:val="000000" w:themeColor="text1"/>
        </w:rPr>
      </w:pPr>
    </w:p>
    <w:p w14:paraId="6A968E59" w14:textId="2B6056A0" w:rsidR="002C60BE" w:rsidRPr="00E419B7" w:rsidRDefault="00307478" w:rsidP="00E419B7">
      <w:pPr>
        <w:jc w:val="thaiDistribute"/>
        <w:rPr>
          <w:rFonts w:ascii="Arial" w:hAnsi="Arial" w:cs="Arial"/>
          <w:b/>
          <w:bCs/>
          <w:sz w:val="32"/>
          <w:szCs w:val="32"/>
        </w:rPr>
      </w:pPr>
      <w:bookmarkStart w:id="18" w:name="_Hlk213680748"/>
      <w:bookmarkEnd w:id="12"/>
      <w:commentRangeStart w:id="19"/>
      <w:commentRangeStart w:id="20"/>
      <w:commentRangeStart w:id="21"/>
      <w:commentRangeStart w:id="22"/>
      <w:r w:rsidRPr="00E419B7">
        <w:rPr>
          <w:rFonts w:ascii="Arial" w:hAnsi="Arial" w:cs="Arial"/>
          <w:b/>
          <w:bCs/>
          <w:sz w:val="32"/>
          <w:szCs w:val="32"/>
        </w:rPr>
        <w:t xml:space="preserve">6.2.3 </w:t>
      </w:r>
      <w:r w:rsidR="002C60BE" w:rsidRPr="00E419B7">
        <w:rPr>
          <w:rFonts w:ascii="Arial" w:hAnsi="Arial" w:cs="Arial"/>
          <w:b/>
          <w:bCs/>
          <w:sz w:val="32"/>
          <w:szCs w:val="32"/>
        </w:rPr>
        <w:t>Leg</w:t>
      </w:r>
      <w:r w:rsidR="00B17498" w:rsidRPr="00E419B7">
        <w:rPr>
          <w:rFonts w:ascii="Arial" w:hAnsi="Arial" w:cs="Arial"/>
          <w:b/>
          <w:bCs/>
          <w:sz w:val="32"/>
          <w:szCs w:val="32"/>
        </w:rPr>
        <w:t xml:space="preserve">al and Policy Setting </w:t>
      </w:r>
      <w:commentRangeEnd w:id="19"/>
      <w:r w:rsidRPr="00E419B7">
        <w:rPr>
          <w:rStyle w:val="CommentReference"/>
          <w:rFonts w:ascii="Arial" w:hAnsi="Arial" w:cs="Arial"/>
          <w:sz w:val="32"/>
          <w:szCs w:val="32"/>
        </w:rPr>
        <w:commentReference w:id="19"/>
      </w:r>
      <w:commentRangeEnd w:id="20"/>
      <w:r w:rsidR="00E22743" w:rsidRPr="00E419B7">
        <w:rPr>
          <w:rStyle w:val="CommentReference"/>
          <w:rFonts w:ascii="Arial" w:hAnsi="Arial" w:cs="Arial"/>
          <w:sz w:val="32"/>
          <w:szCs w:val="32"/>
        </w:rPr>
        <w:commentReference w:id="20"/>
      </w:r>
      <w:commentRangeEnd w:id="21"/>
      <w:r w:rsidR="001C209D" w:rsidRPr="00E419B7">
        <w:rPr>
          <w:rStyle w:val="CommentReference"/>
          <w:rFonts w:ascii="Arial" w:hAnsi="Arial" w:cs="Arial"/>
          <w:sz w:val="32"/>
          <w:szCs w:val="32"/>
        </w:rPr>
        <w:commentReference w:id="21"/>
      </w:r>
      <w:commentRangeEnd w:id="22"/>
      <w:r w:rsidR="00BF4D85" w:rsidRPr="00E419B7">
        <w:rPr>
          <w:rStyle w:val="CommentReference"/>
          <w:rFonts w:ascii="Arial" w:hAnsi="Arial" w:cs="Arial"/>
        </w:rPr>
        <w:commentReference w:id="22"/>
      </w:r>
    </w:p>
    <w:p w14:paraId="7C26202E" w14:textId="77777777" w:rsidR="00AE447D" w:rsidRPr="00E419B7" w:rsidRDefault="00AE447D" w:rsidP="00E419B7">
      <w:pPr>
        <w:jc w:val="thaiDistribute"/>
        <w:rPr>
          <w:rFonts w:ascii="Arial" w:hAnsi="Arial" w:cs="Arial"/>
          <w:b/>
          <w:bCs/>
          <w:color w:val="0070C0"/>
        </w:rPr>
      </w:pPr>
    </w:p>
    <w:p w14:paraId="2339C497" w14:textId="087E817B" w:rsidR="00966BD5" w:rsidRPr="00E419B7" w:rsidRDefault="00966BD5" w:rsidP="00E419B7">
      <w:pPr>
        <w:jc w:val="thaiDistribute"/>
        <w:rPr>
          <w:rFonts w:ascii="Arial" w:hAnsi="Arial" w:cs="Arial"/>
        </w:rPr>
      </w:pPr>
      <w:r w:rsidRPr="00E419B7">
        <w:rPr>
          <w:rFonts w:ascii="Arial" w:hAnsi="Arial" w:cs="Arial"/>
        </w:rPr>
        <w:t>Thailand’s marine and coastal governance is underpinned by a comprehensive legal and policy framework that integrates international obligations, regional cooperation, and national implementation. These instruments define mandates, principles, and mechanisms for addressing key challenges such as biodiversity conservation, marine pollution, climate change, and sustainable resource use. Thailand’s frameworks are closely aligned with global commitments, including the 2030 Agenda for Sustainable Development, the Kunming–Montreal Global Biodiversity Framework (GBF), and the UN Decade of Ocean Science for Sustainable Development (2021–2030).</w:t>
      </w:r>
    </w:p>
    <w:p w14:paraId="4CFDE50C" w14:textId="77777777" w:rsidR="00C42227" w:rsidRPr="00E419B7" w:rsidRDefault="00C42227" w:rsidP="00E419B7">
      <w:pPr>
        <w:jc w:val="thaiDistribute"/>
        <w:rPr>
          <w:rFonts w:ascii="Arial" w:hAnsi="Arial" w:cs="Arial"/>
          <w:b/>
          <w:bCs/>
          <w:strike/>
        </w:rPr>
      </w:pPr>
    </w:p>
    <w:p w14:paraId="06F00C54" w14:textId="1E45F5AF" w:rsidR="00F0474E" w:rsidRPr="00E419B7" w:rsidRDefault="00F23B93" w:rsidP="00E419B7">
      <w:pPr>
        <w:jc w:val="thaiDistribute"/>
        <w:rPr>
          <w:rFonts w:ascii="Arial" w:hAnsi="Arial" w:cs="Arial"/>
          <w:b/>
          <w:bCs/>
        </w:rPr>
      </w:pPr>
      <w:r w:rsidRPr="00E419B7">
        <w:rPr>
          <w:rFonts w:ascii="Arial" w:hAnsi="Arial" w:cs="Arial"/>
          <w:b/>
          <w:bCs/>
        </w:rPr>
        <w:t>6.2.</w:t>
      </w:r>
      <w:r w:rsidR="00F0474E" w:rsidRPr="00E419B7">
        <w:rPr>
          <w:rFonts w:ascii="Arial" w:hAnsi="Arial" w:cs="Arial"/>
          <w:b/>
          <w:bCs/>
        </w:rPr>
        <w:t>3.1 International Legal and Policy Frameworks</w:t>
      </w:r>
    </w:p>
    <w:p w14:paraId="29A26C47" w14:textId="77777777" w:rsidR="00C42227" w:rsidRPr="00E419B7" w:rsidRDefault="00C42227" w:rsidP="00E419B7">
      <w:pPr>
        <w:jc w:val="thaiDistribute"/>
        <w:rPr>
          <w:rFonts w:ascii="Arial" w:hAnsi="Arial" w:cs="Arial"/>
          <w:b/>
          <w:bCs/>
          <w:i/>
          <w:iCs/>
        </w:rPr>
      </w:pPr>
    </w:p>
    <w:p w14:paraId="657FDA71" w14:textId="11E89D54" w:rsidR="00966BD5" w:rsidRPr="00E419B7" w:rsidRDefault="00966BD5" w:rsidP="00E419B7">
      <w:pPr>
        <w:jc w:val="thaiDistribute"/>
        <w:rPr>
          <w:rFonts w:ascii="Arial" w:hAnsi="Arial" w:cs="Arial"/>
        </w:rPr>
      </w:pPr>
      <w:r w:rsidRPr="00E419B7">
        <w:rPr>
          <w:rFonts w:ascii="Arial" w:hAnsi="Arial" w:cs="Arial"/>
        </w:rPr>
        <w:t>Thailand is Party to major international conventions governing biodiversity, pollution, and climate change (</w:t>
      </w:r>
      <w:r w:rsidRPr="00E419B7">
        <w:rPr>
          <w:rFonts w:ascii="Arial" w:hAnsi="Arial" w:cs="Arial"/>
          <w:color w:val="EE0000"/>
        </w:rPr>
        <w:t xml:space="preserve">Annex </w:t>
      </w:r>
      <w:r w:rsidR="00E419B7">
        <w:rPr>
          <w:rFonts w:ascii="Arial" w:hAnsi="Arial" w:cs="Arial"/>
          <w:color w:val="EE0000"/>
        </w:rPr>
        <w:t>9</w:t>
      </w:r>
      <w:r w:rsidRPr="00E419B7">
        <w:rPr>
          <w:rFonts w:ascii="Arial" w:hAnsi="Arial" w:cs="Arial"/>
        </w:rPr>
        <w:t>). Biodiversity governance is guided by the Convention on Biological Diversity (CBD) and the GBF, including the 30x30 marine protection target. Additional instruments include the Ramsar Convention, CITES, the World Heritage Convention, and the Convention on Migratory Species (CMS), supporting protection of wetlands, endangered species, and migratory marine fauna.</w:t>
      </w:r>
    </w:p>
    <w:p w14:paraId="0DF01340" w14:textId="77777777" w:rsidR="00966BD5" w:rsidRPr="00E419B7" w:rsidRDefault="00966BD5" w:rsidP="00E419B7">
      <w:pPr>
        <w:jc w:val="thaiDistribute"/>
        <w:rPr>
          <w:rFonts w:ascii="Arial" w:hAnsi="Arial" w:cs="Arial"/>
        </w:rPr>
      </w:pPr>
    </w:p>
    <w:p w14:paraId="74EC1470" w14:textId="77777777" w:rsidR="00966BD5" w:rsidRPr="00E419B7" w:rsidRDefault="00966BD5" w:rsidP="00E419B7">
      <w:pPr>
        <w:jc w:val="thaiDistribute"/>
        <w:rPr>
          <w:rFonts w:ascii="Arial" w:hAnsi="Arial" w:cs="Arial"/>
        </w:rPr>
      </w:pPr>
      <w:r w:rsidRPr="00E419B7">
        <w:rPr>
          <w:rFonts w:ascii="Arial" w:hAnsi="Arial" w:cs="Arial"/>
        </w:rPr>
        <w:t>Marine pollution and maritime governance are shaped by UNCLOS, MARPOL, the London Convention, Basel Convention, OPRC, Rotterdam Convention, and Stockholm Convention. Climate governance is guided by the UNFCCC, Kyoto Protocol, Paris Agreement, Montreal Protocol, and UNCCD, forming the basis for mitigation, adaptation, and ecosystem-based resilience in coastal systems. Thailand integrates these obligations into national laws and action plans.</w:t>
      </w:r>
    </w:p>
    <w:p w14:paraId="487E590E" w14:textId="5B18566E" w:rsidR="00F0474E" w:rsidRPr="00E419B7" w:rsidRDefault="00F23B93" w:rsidP="00E419B7">
      <w:pPr>
        <w:spacing w:before="120" w:after="120"/>
        <w:jc w:val="thaiDistribute"/>
        <w:rPr>
          <w:rFonts w:ascii="Arial" w:hAnsi="Arial" w:cs="Arial"/>
          <w:b/>
          <w:bCs/>
        </w:rPr>
      </w:pPr>
      <w:r w:rsidRPr="00E419B7">
        <w:rPr>
          <w:rFonts w:ascii="Arial" w:hAnsi="Arial" w:cs="Arial"/>
          <w:b/>
          <w:bCs/>
        </w:rPr>
        <w:lastRenderedPageBreak/>
        <w:t>6.2.</w:t>
      </w:r>
      <w:r w:rsidR="00F0474E" w:rsidRPr="00E419B7">
        <w:rPr>
          <w:rFonts w:ascii="Arial" w:hAnsi="Arial" w:cs="Arial"/>
          <w:b/>
          <w:bCs/>
        </w:rPr>
        <w:t>3.2 Regional Legal Policy Frameworks and Forums</w:t>
      </w:r>
    </w:p>
    <w:p w14:paraId="6A92F81C" w14:textId="10774A65" w:rsidR="004B08A2" w:rsidRPr="00E419B7" w:rsidRDefault="004B08A2" w:rsidP="00E419B7">
      <w:pPr>
        <w:jc w:val="thaiDistribute"/>
        <w:rPr>
          <w:rFonts w:ascii="Arial" w:hAnsi="Arial" w:cs="Arial"/>
        </w:rPr>
      </w:pPr>
    </w:p>
    <w:p w14:paraId="16551469" w14:textId="390FE661" w:rsidR="004B08A2" w:rsidRPr="00E419B7" w:rsidRDefault="004B08A2" w:rsidP="00E419B7">
      <w:pPr>
        <w:jc w:val="thaiDistribute"/>
        <w:rPr>
          <w:rFonts w:ascii="Arial" w:hAnsi="Arial" w:cs="Arial"/>
        </w:rPr>
      </w:pPr>
      <w:r w:rsidRPr="00E419B7">
        <w:rPr>
          <w:rFonts w:ascii="Arial" w:hAnsi="Arial" w:cs="Arial"/>
        </w:rPr>
        <w:t>Thailand actively participates in regional cooperation mechanisms in the East Asian Seas and Indian Ocean regions (</w:t>
      </w:r>
      <w:r w:rsidRPr="00E419B7">
        <w:rPr>
          <w:rFonts w:ascii="Arial" w:hAnsi="Arial" w:cs="Arial"/>
          <w:color w:val="EE0000"/>
        </w:rPr>
        <w:t xml:space="preserve">Annex </w:t>
      </w:r>
      <w:r w:rsidR="00E419B7">
        <w:rPr>
          <w:rFonts w:ascii="Arial" w:hAnsi="Arial" w:cs="Arial"/>
          <w:color w:val="EE0000"/>
        </w:rPr>
        <w:t>10</w:t>
      </w:r>
      <w:r w:rsidRPr="00E419B7">
        <w:rPr>
          <w:rFonts w:ascii="Arial" w:hAnsi="Arial" w:cs="Arial"/>
        </w:rPr>
        <w:t>), strengthening transboundary governance and ecosystem-based management. Key platforms include PEMSEA for Integrated Coastal Management (ICM) and Marine Spatial Planning (MSP); ASEAN environmental agreements and working groups; and the Indian Ocean Tuna Commission (IOTC) for tuna fisheries management and IUU fishing control.</w:t>
      </w:r>
    </w:p>
    <w:p w14:paraId="5C08871B" w14:textId="77777777" w:rsidR="004B08A2" w:rsidRPr="00E419B7" w:rsidRDefault="004B08A2" w:rsidP="00E419B7">
      <w:pPr>
        <w:jc w:val="thaiDistribute"/>
        <w:rPr>
          <w:rFonts w:ascii="Arial" w:hAnsi="Arial" w:cs="Arial"/>
        </w:rPr>
      </w:pPr>
    </w:p>
    <w:p w14:paraId="58FCB917" w14:textId="7C8D83DC" w:rsidR="004B08A2" w:rsidRPr="00E419B7" w:rsidRDefault="004B08A2" w:rsidP="00E419B7">
      <w:pPr>
        <w:jc w:val="thaiDistribute"/>
        <w:rPr>
          <w:rFonts w:ascii="Arial" w:hAnsi="Arial" w:cs="Arial"/>
        </w:rPr>
      </w:pPr>
      <w:r w:rsidRPr="00E419B7">
        <w:rPr>
          <w:rFonts w:ascii="Arial" w:hAnsi="Arial" w:cs="Arial"/>
        </w:rPr>
        <w:t>Thailand also engages in the ASEAN Agreement on the Conservation of Nature and Natural Resources and the Regional Plan of Action to Combat IUU Fishing (RPOA–IUU), enhancing regional coordination on monitoring, enforcement, and information exchange. Collectively, these regional frameworks reinforce Thailand’s commitment to cooperative and transboundary marine governance aligned with global sustainability goals.</w:t>
      </w:r>
    </w:p>
    <w:p w14:paraId="227DBB8C" w14:textId="77777777" w:rsidR="00C42227" w:rsidRPr="00E419B7" w:rsidRDefault="00C42227" w:rsidP="00E419B7">
      <w:pPr>
        <w:jc w:val="thaiDistribute"/>
        <w:rPr>
          <w:rFonts w:ascii="Arial" w:hAnsi="Arial" w:cs="Arial"/>
          <w:b/>
          <w:bCs/>
        </w:rPr>
      </w:pPr>
    </w:p>
    <w:p w14:paraId="1FA470C4" w14:textId="2FD33BED" w:rsidR="00C42227" w:rsidRPr="00E419B7" w:rsidRDefault="00F23B93" w:rsidP="00E419B7">
      <w:pPr>
        <w:jc w:val="thaiDistribute"/>
        <w:rPr>
          <w:rFonts w:ascii="Arial" w:hAnsi="Arial" w:cs="Arial"/>
          <w:b/>
          <w:bCs/>
        </w:rPr>
      </w:pPr>
      <w:bookmarkStart w:id="23" w:name="_Hlk211521521"/>
      <w:r w:rsidRPr="00E419B7">
        <w:rPr>
          <w:rFonts w:ascii="Arial" w:hAnsi="Arial" w:cs="Arial"/>
          <w:b/>
          <w:bCs/>
        </w:rPr>
        <w:t>6.2.</w:t>
      </w:r>
      <w:r w:rsidR="00C42227" w:rsidRPr="00E419B7">
        <w:rPr>
          <w:rFonts w:ascii="Arial" w:hAnsi="Arial" w:cs="Arial"/>
          <w:b/>
          <w:bCs/>
        </w:rPr>
        <w:t>3.3 National Policies and Strategies Relevant to Marine and Coastal Resources</w:t>
      </w:r>
    </w:p>
    <w:p w14:paraId="0286CB00" w14:textId="77777777" w:rsidR="00C42227" w:rsidRPr="00E419B7" w:rsidRDefault="00C42227" w:rsidP="00E419B7">
      <w:pPr>
        <w:jc w:val="thaiDistribute"/>
        <w:rPr>
          <w:rFonts w:ascii="Arial" w:hAnsi="Arial" w:cs="Arial"/>
        </w:rPr>
      </w:pPr>
      <w:r w:rsidRPr="00E419B7">
        <w:rPr>
          <w:rFonts w:ascii="Arial" w:hAnsi="Arial" w:cs="Arial"/>
        </w:rPr>
        <w:t>Thailand has established a comprehensive legal and policy framework for the management, conservation, and sustainable use of its marine and coastal resources. These frameworks translate the country’s international and regional commitments into national implementation through laws, strategic plans, and coordinated action among multiple government agencies. Together, they provide the legal and institutional foundation for promoting ecosystem-based management, blue economy development, and climate-resilient coastal governance in the South China Sea (SCS) and the Gulf of Thailand.</w:t>
      </w:r>
    </w:p>
    <w:bookmarkEnd w:id="23"/>
    <w:p w14:paraId="621AFEC2" w14:textId="77777777" w:rsidR="00C42227" w:rsidRPr="00E419B7" w:rsidRDefault="00C42227" w:rsidP="00E419B7">
      <w:pPr>
        <w:jc w:val="thaiDistribute"/>
        <w:rPr>
          <w:rFonts w:ascii="Arial" w:hAnsi="Arial" w:cs="Arial"/>
          <w:b/>
          <w:bCs/>
        </w:rPr>
      </w:pPr>
    </w:p>
    <w:p w14:paraId="08267088" w14:textId="5DBC6E11" w:rsidR="00C42227" w:rsidRPr="00E419B7" w:rsidRDefault="00A55CFF" w:rsidP="00E419B7">
      <w:pPr>
        <w:jc w:val="thaiDistribute"/>
        <w:rPr>
          <w:rFonts w:ascii="Arial" w:hAnsi="Arial" w:cs="Arial"/>
          <w:b/>
          <w:bCs/>
        </w:rPr>
      </w:pPr>
      <w:r w:rsidRPr="00E419B7">
        <w:rPr>
          <w:rFonts w:ascii="Arial" w:hAnsi="Arial" w:cs="Arial"/>
          <w:b/>
          <w:bCs/>
        </w:rPr>
        <w:t xml:space="preserve"> a) </w:t>
      </w:r>
      <w:r w:rsidR="00C42227" w:rsidRPr="00E419B7">
        <w:rPr>
          <w:rFonts w:ascii="Arial" w:hAnsi="Arial" w:cs="Arial"/>
          <w:b/>
          <w:bCs/>
        </w:rPr>
        <w:t xml:space="preserve"> Key Legal Frameworks</w:t>
      </w:r>
    </w:p>
    <w:p w14:paraId="49BE14E4" w14:textId="77777777" w:rsidR="00650840" w:rsidRPr="00E419B7" w:rsidRDefault="00650840" w:rsidP="00E419B7">
      <w:pPr>
        <w:jc w:val="thaiDistribute"/>
        <w:rPr>
          <w:rFonts w:ascii="Arial" w:hAnsi="Arial" w:cs="Arial"/>
        </w:rPr>
      </w:pPr>
    </w:p>
    <w:p w14:paraId="5294E122" w14:textId="77777777" w:rsidR="00650840" w:rsidRPr="00E419B7" w:rsidRDefault="00650840" w:rsidP="00E419B7">
      <w:pPr>
        <w:jc w:val="thaiDistribute"/>
        <w:rPr>
          <w:rFonts w:ascii="Arial" w:hAnsi="Arial" w:cs="Arial"/>
        </w:rPr>
      </w:pPr>
      <w:r w:rsidRPr="00E419B7">
        <w:rPr>
          <w:rFonts w:ascii="Arial" w:hAnsi="Arial" w:cs="Arial"/>
        </w:rPr>
        <w:t>Thailand’s marine and coastal governance is underpinned by a comprehensive legal framework emphasizing participatory management, biodiversity conservation, and sustainable resource use. Core legislation includes the Promotion of Marine and Coastal Resources Management Act (2015), which establishes national and provincial committees and provides the legal basis for marine and coastal protected areas; the Royal Ordinance on Fisheries (2015), which strengthens sustainable fisheries management and IUU fishing control; and the National Environmental Quality Promotion and Conservation Act (1992, amended 2018), which governs pollution control and Environmental Impact Assessment (EIA).</w:t>
      </w:r>
    </w:p>
    <w:p w14:paraId="171AF048" w14:textId="77777777" w:rsidR="00650840" w:rsidRPr="00E419B7" w:rsidRDefault="00650840" w:rsidP="00E419B7">
      <w:pPr>
        <w:jc w:val="thaiDistribute"/>
        <w:rPr>
          <w:rFonts w:ascii="Arial" w:hAnsi="Arial" w:cs="Arial"/>
        </w:rPr>
      </w:pPr>
    </w:p>
    <w:p w14:paraId="348DBEB4" w14:textId="4808DD34" w:rsidR="00650840" w:rsidRPr="00E419B7" w:rsidRDefault="00650840" w:rsidP="00E419B7">
      <w:pPr>
        <w:jc w:val="thaiDistribute"/>
        <w:rPr>
          <w:rFonts w:ascii="Arial" w:hAnsi="Arial" w:cs="Arial"/>
        </w:rPr>
      </w:pPr>
      <w:r w:rsidRPr="00E419B7">
        <w:rPr>
          <w:rFonts w:ascii="Arial" w:hAnsi="Arial" w:cs="Arial"/>
        </w:rPr>
        <w:t>Additional key laws include the Wildlife Preservation and Protection Act (2019), the National Park Act (2019), the Marine Interest Protection Act (2019), and the Protection and Promotion of Ethnic Groups’ Way of Life Act (2025). Two major draft laws—the Climate Change Act and the National Biodiversity Act—are currently under parliamentary consideration and are expected to significantly strengthen Thailand’s climate and biodiversity governance once enacted.</w:t>
      </w:r>
    </w:p>
    <w:p w14:paraId="1A3C9DBE" w14:textId="77777777" w:rsidR="00650840" w:rsidRPr="00E419B7" w:rsidRDefault="00650840" w:rsidP="00E419B7">
      <w:pPr>
        <w:jc w:val="thaiDistribute"/>
        <w:rPr>
          <w:rFonts w:ascii="Arial" w:hAnsi="Arial" w:cs="Arial"/>
        </w:rPr>
      </w:pPr>
    </w:p>
    <w:p w14:paraId="3CD9C1B4" w14:textId="2A5E82BD" w:rsidR="00650840" w:rsidRPr="00E419B7" w:rsidRDefault="00650840" w:rsidP="00E419B7">
      <w:pPr>
        <w:jc w:val="thaiDistribute"/>
        <w:rPr>
          <w:rFonts w:ascii="Arial" w:hAnsi="Arial" w:cs="Arial"/>
        </w:rPr>
      </w:pPr>
      <w:r w:rsidRPr="00E419B7">
        <w:rPr>
          <w:rFonts w:ascii="Arial" w:hAnsi="Arial" w:cs="Arial"/>
        </w:rPr>
        <w:t xml:space="preserve">These primary laws are supported by ministerial regulations, technical guidelines, and sector-specific legislation that operationalize standards for conservation, pollution control, and participatory management (see </w:t>
      </w:r>
      <w:r w:rsidRPr="00E419B7">
        <w:rPr>
          <w:rFonts w:ascii="Arial" w:hAnsi="Arial" w:cs="Arial"/>
          <w:color w:val="EE0000"/>
        </w:rPr>
        <w:t xml:space="preserve">Annex </w:t>
      </w:r>
      <w:r w:rsidR="00E419B7">
        <w:rPr>
          <w:rFonts w:ascii="Arial" w:hAnsi="Arial" w:cs="Arial"/>
          <w:color w:val="EE0000"/>
        </w:rPr>
        <w:t>11</w:t>
      </w:r>
      <w:r w:rsidRPr="00E419B7">
        <w:rPr>
          <w:rFonts w:ascii="Arial" w:hAnsi="Arial" w:cs="Arial"/>
        </w:rPr>
        <w:t>).</w:t>
      </w:r>
    </w:p>
    <w:p w14:paraId="0E8522FB" w14:textId="77777777" w:rsidR="00650840" w:rsidRPr="00E419B7" w:rsidRDefault="00650840" w:rsidP="00C42227">
      <w:pPr>
        <w:rPr>
          <w:rFonts w:ascii="Arial" w:hAnsi="Arial" w:cs="Arial"/>
        </w:rPr>
      </w:pPr>
    </w:p>
    <w:p w14:paraId="77A56FB6" w14:textId="740412F2" w:rsidR="00267D61" w:rsidRPr="00E419B7" w:rsidRDefault="00A55CFF" w:rsidP="00267D61">
      <w:pPr>
        <w:rPr>
          <w:rFonts w:ascii="Arial" w:hAnsi="Arial" w:cs="Arial"/>
          <w:b/>
          <w:bCs/>
        </w:rPr>
      </w:pPr>
      <w:r w:rsidRPr="00E419B7">
        <w:rPr>
          <w:rFonts w:ascii="Arial" w:hAnsi="Arial" w:cs="Arial"/>
          <w:b/>
          <w:bCs/>
        </w:rPr>
        <w:t xml:space="preserve">b) </w:t>
      </w:r>
      <w:r w:rsidR="00267D61" w:rsidRPr="00E419B7">
        <w:rPr>
          <w:rFonts w:ascii="Arial" w:hAnsi="Arial" w:cs="Arial"/>
          <w:b/>
          <w:bCs/>
        </w:rPr>
        <w:t xml:space="preserve"> National Policy Frameworks and Strategic Plans</w:t>
      </w:r>
    </w:p>
    <w:p w14:paraId="1C7E474E" w14:textId="77777777" w:rsidR="002F7A7C" w:rsidRPr="00E419B7" w:rsidRDefault="002F7A7C" w:rsidP="00267D61">
      <w:pPr>
        <w:rPr>
          <w:rFonts w:ascii="Arial" w:hAnsi="Arial" w:cs="Arial"/>
        </w:rPr>
      </w:pPr>
    </w:p>
    <w:p w14:paraId="0E55E55B" w14:textId="7DE1ADEF" w:rsidR="002F7A7C" w:rsidRPr="00E419B7" w:rsidRDefault="002F7A7C" w:rsidP="00E419B7">
      <w:pPr>
        <w:jc w:val="thaiDistribute"/>
        <w:rPr>
          <w:rFonts w:ascii="Arial" w:hAnsi="Arial" w:cs="Arial"/>
        </w:rPr>
      </w:pPr>
      <w:r w:rsidRPr="00E419B7">
        <w:rPr>
          <w:rFonts w:ascii="Arial" w:hAnsi="Arial" w:cs="Arial"/>
        </w:rPr>
        <w:t>Thailand’s marine and coastal governance is guided by integrated national strategies aligned with the Sufficiency Economy Philosophy (SEP) and international sustainability commitments (</w:t>
      </w:r>
      <w:r w:rsidRPr="00E419B7">
        <w:rPr>
          <w:rFonts w:ascii="Arial" w:hAnsi="Arial" w:cs="Arial"/>
          <w:color w:val="EE0000"/>
        </w:rPr>
        <w:t>Annex 1</w:t>
      </w:r>
      <w:r w:rsidR="00E419B7">
        <w:rPr>
          <w:rFonts w:ascii="Arial" w:hAnsi="Arial" w:cs="Arial"/>
        </w:rPr>
        <w:t>2</w:t>
      </w:r>
      <w:r w:rsidRPr="00E419B7">
        <w:rPr>
          <w:rFonts w:ascii="Arial" w:hAnsi="Arial" w:cs="Arial"/>
        </w:rPr>
        <w:t>). Key frameworks include the 20-Year National Strategy, the 13th National Economic and Social Development Plan, the National Environmental Quality Management Plan, the Climate Change Master Plan and National Adaptation Plan, the National Biodiversity Strategies (NBSAP and Long-term Biodiversity Strategy), and the National Marine and Coastal Resources Management Policy and Plan. Together, these policies establish the foundation for biodiversity conservation, blue economy development, and climate-resilient coastal governance.</w:t>
      </w:r>
    </w:p>
    <w:p w14:paraId="126CB646" w14:textId="77777777" w:rsidR="002F7A7C" w:rsidRPr="00E419B7" w:rsidRDefault="002F7A7C" w:rsidP="00267D61">
      <w:pPr>
        <w:rPr>
          <w:rFonts w:ascii="Arial" w:hAnsi="Arial" w:cs="Arial"/>
        </w:rPr>
      </w:pPr>
    </w:p>
    <w:p w14:paraId="06C2F003" w14:textId="67AFE652" w:rsidR="00267D61" w:rsidRPr="00E419B7" w:rsidRDefault="00A55CFF" w:rsidP="00267D61">
      <w:pPr>
        <w:rPr>
          <w:rFonts w:ascii="Arial" w:hAnsi="Arial" w:cs="Arial"/>
          <w:b/>
          <w:bCs/>
        </w:rPr>
      </w:pPr>
      <w:r w:rsidRPr="00E419B7">
        <w:rPr>
          <w:rFonts w:ascii="Arial" w:hAnsi="Arial" w:cs="Arial"/>
          <w:b/>
          <w:bCs/>
        </w:rPr>
        <w:t xml:space="preserve">c) </w:t>
      </w:r>
      <w:r w:rsidR="00267D61" w:rsidRPr="00E419B7">
        <w:rPr>
          <w:rFonts w:ascii="Arial" w:hAnsi="Arial" w:cs="Arial"/>
          <w:b/>
          <w:bCs/>
        </w:rPr>
        <w:t xml:space="preserve"> Sectoral Policies and Implementation Mechanisms</w:t>
      </w:r>
    </w:p>
    <w:p w14:paraId="301853DF" w14:textId="77777777" w:rsidR="00EE392A" w:rsidRPr="00E419B7" w:rsidRDefault="00EE392A" w:rsidP="00267D61">
      <w:pPr>
        <w:rPr>
          <w:rFonts w:ascii="Arial" w:hAnsi="Arial" w:cs="Arial"/>
        </w:rPr>
      </w:pPr>
    </w:p>
    <w:p w14:paraId="3D51BAA7" w14:textId="38CAF958" w:rsidR="00EE392A" w:rsidRPr="00E419B7" w:rsidRDefault="00EE392A" w:rsidP="00E419B7">
      <w:pPr>
        <w:jc w:val="thaiDistribute"/>
        <w:rPr>
          <w:rFonts w:ascii="Arial" w:hAnsi="Arial" w:cs="Arial"/>
        </w:rPr>
      </w:pPr>
      <w:r w:rsidRPr="00E419B7">
        <w:rPr>
          <w:rFonts w:ascii="Arial" w:hAnsi="Arial" w:cs="Arial"/>
        </w:rPr>
        <w:t>Sectoral plans translate national strategies into operational action (</w:t>
      </w:r>
      <w:r w:rsidRPr="00E419B7">
        <w:rPr>
          <w:rFonts w:ascii="Arial" w:hAnsi="Arial" w:cs="Arial"/>
          <w:color w:val="EE0000"/>
        </w:rPr>
        <w:t xml:space="preserve">Annex </w:t>
      </w:r>
      <w:r w:rsidR="00E419B7">
        <w:rPr>
          <w:rFonts w:ascii="Arial" w:hAnsi="Arial" w:cs="Arial"/>
        </w:rPr>
        <w:t>13</w:t>
      </w:r>
      <w:r w:rsidRPr="00E419B7">
        <w:rPr>
          <w:rFonts w:ascii="Arial" w:hAnsi="Arial" w:cs="Arial"/>
        </w:rPr>
        <w:t>). Key instruments include the Marine Spatial Planning (MSP) Framework (2023), the National and Marine Debris Management Plans (updated 2023), the Biodiversity Master Plan (2023–2027), and the Coastal Erosion Prevention and Management Master Plan (2023–2037). These frameworks support ecosystem-based management, pollution control, habitat restoration, climate adaptation, and cross-sectoral coordination in marine and coastal areas.</w:t>
      </w:r>
    </w:p>
    <w:p w14:paraId="50E1BE68" w14:textId="77777777" w:rsidR="00267D61" w:rsidRPr="00E419B7" w:rsidRDefault="00267D61" w:rsidP="00267D61">
      <w:pPr>
        <w:rPr>
          <w:rFonts w:ascii="Arial" w:hAnsi="Arial" w:cs="Arial"/>
          <w:b/>
          <w:bCs/>
        </w:rPr>
      </w:pPr>
    </w:p>
    <w:p w14:paraId="04894B8E" w14:textId="1A45F321" w:rsidR="00C25932" w:rsidRPr="00E419B7" w:rsidRDefault="00307478" w:rsidP="00E419B7">
      <w:pPr>
        <w:jc w:val="thaiDistribute"/>
        <w:rPr>
          <w:rFonts w:ascii="Arial" w:hAnsi="Arial" w:cs="Arial"/>
          <w:b/>
          <w:bCs/>
          <w:sz w:val="32"/>
          <w:szCs w:val="32"/>
        </w:rPr>
      </w:pPr>
      <w:bookmarkStart w:id="24" w:name="_Hlk213687526"/>
      <w:bookmarkEnd w:id="18"/>
      <w:commentRangeStart w:id="25"/>
      <w:commentRangeStart w:id="26"/>
      <w:commentRangeStart w:id="27"/>
      <w:r w:rsidRPr="00E419B7">
        <w:rPr>
          <w:rFonts w:ascii="Arial" w:hAnsi="Arial" w:cs="Arial"/>
          <w:b/>
          <w:bCs/>
          <w:sz w:val="32"/>
          <w:szCs w:val="32"/>
        </w:rPr>
        <w:t>6.2.</w:t>
      </w:r>
      <w:r w:rsidR="00C25932" w:rsidRPr="00E419B7">
        <w:rPr>
          <w:rFonts w:ascii="Arial" w:hAnsi="Arial" w:cs="Arial"/>
          <w:b/>
          <w:bCs/>
          <w:sz w:val="32"/>
          <w:szCs w:val="32"/>
        </w:rPr>
        <w:t xml:space="preserve">4. Civil Society and Participation </w:t>
      </w:r>
      <w:commentRangeEnd w:id="25"/>
      <w:r w:rsidRPr="00E419B7">
        <w:rPr>
          <w:rStyle w:val="CommentReference"/>
          <w:rFonts w:ascii="Arial" w:hAnsi="Arial" w:cs="Arial"/>
          <w:sz w:val="32"/>
          <w:szCs w:val="32"/>
        </w:rPr>
        <w:commentReference w:id="25"/>
      </w:r>
      <w:commentRangeEnd w:id="26"/>
      <w:r w:rsidR="00D04485" w:rsidRPr="00E419B7">
        <w:rPr>
          <w:rStyle w:val="CommentReference"/>
          <w:rFonts w:ascii="Arial" w:hAnsi="Arial" w:cs="Arial"/>
          <w:sz w:val="32"/>
          <w:szCs w:val="32"/>
        </w:rPr>
        <w:commentReference w:id="26"/>
      </w:r>
      <w:commentRangeEnd w:id="27"/>
      <w:r w:rsidR="00BF4D85" w:rsidRPr="00E419B7">
        <w:rPr>
          <w:rStyle w:val="CommentReference"/>
          <w:rFonts w:ascii="Arial" w:hAnsi="Arial" w:cs="Arial"/>
        </w:rPr>
        <w:commentReference w:id="27"/>
      </w:r>
    </w:p>
    <w:p w14:paraId="2224289B" w14:textId="77777777" w:rsidR="00C25932" w:rsidRPr="00E419B7" w:rsidRDefault="00C25932" w:rsidP="00E419B7">
      <w:pPr>
        <w:jc w:val="thaiDistribute"/>
        <w:rPr>
          <w:rFonts w:ascii="Arial" w:hAnsi="Arial" w:cs="Arial"/>
        </w:rPr>
      </w:pPr>
    </w:p>
    <w:p w14:paraId="5781F26A" w14:textId="7CC679CE" w:rsidR="00EE392A" w:rsidRPr="00E419B7" w:rsidRDefault="00830FE2" w:rsidP="00E419B7">
      <w:pPr>
        <w:jc w:val="thaiDistribute"/>
        <w:rPr>
          <w:rFonts w:ascii="Arial" w:hAnsi="Arial" w:cs="Arial"/>
        </w:rPr>
      </w:pPr>
      <w:r w:rsidRPr="00E419B7">
        <w:rPr>
          <w:rFonts w:ascii="Arial" w:hAnsi="Arial" w:cs="Arial"/>
        </w:rPr>
        <w:t>Civil society organizations (CSOs), local communities, the private sector, and academic institutions play an important supporting role in Thailand’s marine and coastal governance by contributing to policy implementation, community-based conservation, scientific research, and public awareness. Their engagement strengthens local stewardship, promotes co-management, and enhances governance integration and resilience across coastal areas of the Gulf of Thailand. Participatory and collaborative mechanisms—including community networks, research partnerships, and public–private initiatives—are key channels through which shared responsibility and inclusive governance are advanced at the local level. International engagement mechanisms are addressed separately in Section 6.2.2.2.</w:t>
      </w:r>
    </w:p>
    <w:p w14:paraId="54E020C9" w14:textId="77777777" w:rsidR="00C25932" w:rsidRPr="00E419B7" w:rsidRDefault="00C25932" w:rsidP="00E419B7">
      <w:pPr>
        <w:jc w:val="thaiDistribute"/>
        <w:rPr>
          <w:rFonts w:ascii="Arial" w:hAnsi="Arial" w:cs="Arial"/>
        </w:rPr>
      </w:pPr>
    </w:p>
    <w:p w14:paraId="3556909E" w14:textId="01905DD6" w:rsidR="00C25932" w:rsidRPr="00E419B7" w:rsidRDefault="00307478" w:rsidP="00E419B7">
      <w:pPr>
        <w:jc w:val="thaiDistribute"/>
        <w:rPr>
          <w:rFonts w:ascii="Arial" w:hAnsi="Arial" w:cs="Arial"/>
          <w:b/>
          <w:bCs/>
        </w:rPr>
      </w:pPr>
      <w:r w:rsidRPr="00E419B7">
        <w:rPr>
          <w:rFonts w:ascii="Arial" w:hAnsi="Arial" w:cs="Arial"/>
          <w:b/>
          <w:bCs/>
        </w:rPr>
        <w:t>6.2.4.</w:t>
      </w:r>
      <w:r w:rsidR="00C25932" w:rsidRPr="00E419B7">
        <w:rPr>
          <w:rFonts w:ascii="Arial" w:hAnsi="Arial" w:cs="Arial"/>
          <w:b/>
          <w:bCs/>
        </w:rPr>
        <w:t>1 Key Civil Society and Non-Governmental Organizations (NGOs) in Thailand</w:t>
      </w:r>
    </w:p>
    <w:p w14:paraId="2B965F70" w14:textId="67670DE4" w:rsidR="00BF6E84" w:rsidRPr="00E419B7" w:rsidRDefault="00EE392A" w:rsidP="00E419B7">
      <w:pPr>
        <w:spacing w:before="120" w:after="120"/>
        <w:jc w:val="thaiDistribute"/>
        <w:rPr>
          <w:rFonts w:ascii="Arial" w:hAnsi="Arial" w:cs="Arial"/>
        </w:rPr>
      </w:pPr>
      <w:r w:rsidRPr="00E419B7">
        <w:rPr>
          <w:rFonts w:ascii="Arial" w:hAnsi="Arial" w:cs="Arial"/>
        </w:rPr>
        <w:t xml:space="preserve">Thailand hosts a diverse network of national NGOs, community organizations, and academic institutions active in marine conservation, sustainable livelihoods, and environmental governance, including the Marine Science Association of Thailand, the </w:t>
      </w:r>
      <w:proofErr w:type="spellStart"/>
      <w:r w:rsidRPr="00E419B7">
        <w:rPr>
          <w:rFonts w:ascii="Arial" w:hAnsi="Arial" w:cs="Arial"/>
        </w:rPr>
        <w:t>Seub</w:t>
      </w:r>
      <w:proofErr w:type="spellEnd"/>
      <w:r w:rsidRPr="00E419B7">
        <w:rPr>
          <w:rFonts w:ascii="Arial" w:hAnsi="Arial" w:cs="Arial"/>
        </w:rPr>
        <w:t xml:space="preserve"> </w:t>
      </w:r>
      <w:proofErr w:type="spellStart"/>
      <w:r w:rsidRPr="00E419B7">
        <w:rPr>
          <w:rFonts w:ascii="Arial" w:hAnsi="Arial" w:cs="Arial"/>
        </w:rPr>
        <w:t>Nakhasathien</w:t>
      </w:r>
      <w:proofErr w:type="spellEnd"/>
      <w:r w:rsidRPr="00E419B7">
        <w:rPr>
          <w:rFonts w:ascii="Arial" w:hAnsi="Arial" w:cs="Arial"/>
        </w:rPr>
        <w:t xml:space="preserve"> Foundation, the Environmental Litigation and Advocacy for the Wants (</w:t>
      </w:r>
      <w:proofErr w:type="spellStart"/>
      <w:r w:rsidRPr="00E419B7">
        <w:rPr>
          <w:rFonts w:ascii="Arial" w:hAnsi="Arial" w:cs="Arial"/>
        </w:rPr>
        <w:t>EnLAW</w:t>
      </w:r>
      <w:proofErr w:type="spellEnd"/>
      <w:r w:rsidRPr="00E419B7">
        <w:rPr>
          <w:rFonts w:ascii="Arial" w:hAnsi="Arial" w:cs="Arial"/>
        </w:rPr>
        <w:t xml:space="preserve">) Foundation, the Sustainable Development Foundation (SDF), and the </w:t>
      </w:r>
      <w:proofErr w:type="spellStart"/>
      <w:r w:rsidRPr="00E419B7">
        <w:rPr>
          <w:rFonts w:ascii="Arial" w:hAnsi="Arial" w:cs="Arial"/>
        </w:rPr>
        <w:t>Raks</w:t>
      </w:r>
      <w:proofErr w:type="spellEnd"/>
      <w:r w:rsidRPr="00E419B7">
        <w:rPr>
          <w:rFonts w:ascii="Arial" w:hAnsi="Arial" w:cs="Arial"/>
        </w:rPr>
        <w:t xml:space="preserve"> Thai Foundation. Major universities such as Prince of </w:t>
      </w:r>
      <w:proofErr w:type="spellStart"/>
      <w:r w:rsidRPr="00E419B7">
        <w:rPr>
          <w:rFonts w:ascii="Arial" w:hAnsi="Arial" w:cs="Arial"/>
        </w:rPr>
        <w:t>Songkla</w:t>
      </w:r>
      <w:proofErr w:type="spellEnd"/>
      <w:r w:rsidRPr="00E419B7">
        <w:rPr>
          <w:rFonts w:ascii="Arial" w:hAnsi="Arial" w:cs="Arial"/>
        </w:rPr>
        <w:t xml:space="preserve"> University, Mahidol University, </w:t>
      </w:r>
      <w:proofErr w:type="spellStart"/>
      <w:r w:rsidRPr="00E419B7">
        <w:rPr>
          <w:rFonts w:ascii="Arial" w:hAnsi="Arial" w:cs="Arial"/>
        </w:rPr>
        <w:t>Kasetsart</w:t>
      </w:r>
      <w:proofErr w:type="spellEnd"/>
      <w:r w:rsidRPr="00E419B7">
        <w:rPr>
          <w:rFonts w:ascii="Arial" w:hAnsi="Arial" w:cs="Arial"/>
        </w:rPr>
        <w:t xml:space="preserve"> University, Ramkhamhaeng University, and </w:t>
      </w:r>
      <w:proofErr w:type="spellStart"/>
      <w:r w:rsidRPr="00E419B7">
        <w:rPr>
          <w:rFonts w:ascii="Arial" w:hAnsi="Arial" w:cs="Arial"/>
        </w:rPr>
        <w:t>Burapha</w:t>
      </w:r>
      <w:proofErr w:type="spellEnd"/>
      <w:r w:rsidRPr="00E419B7">
        <w:rPr>
          <w:rFonts w:ascii="Arial" w:hAnsi="Arial" w:cs="Arial"/>
        </w:rPr>
        <w:t xml:space="preserve"> University contribute scientific research, monitoring, and policy-relevant knowledge. Together, these actors form an essential bridge between national policy frameworks and local-level implementation.</w:t>
      </w:r>
    </w:p>
    <w:p w14:paraId="6736D54D" w14:textId="0F7AD093" w:rsidR="00C25932" w:rsidRPr="00E419B7" w:rsidRDefault="00BE6AD2" w:rsidP="00E419B7">
      <w:pPr>
        <w:jc w:val="thaiDistribute"/>
        <w:rPr>
          <w:rFonts w:ascii="Arial" w:hAnsi="Arial" w:cs="Arial"/>
          <w:b/>
          <w:bCs/>
        </w:rPr>
      </w:pPr>
      <w:r w:rsidRPr="00E419B7">
        <w:rPr>
          <w:rFonts w:ascii="Arial" w:hAnsi="Arial" w:cs="Arial"/>
          <w:b/>
          <w:bCs/>
        </w:rPr>
        <w:lastRenderedPageBreak/>
        <w:t>6</w:t>
      </w:r>
      <w:r w:rsidR="00307478" w:rsidRPr="00E419B7">
        <w:rPr>
          <w:rFonts w:ascii="Arial" w:hAnsi="Arial" w:cs="Arial"/>
          <w:b/>
          <w:bCs/>
        </w:rPr>
        <w:t>.2.</w:t>
      </w:r>
      <w:r w:rsidR="00C25932" w:rsidRPr="00E419B7">
        <w:rPr>
          <w:rFonts w:ascii="Arial" w:hAnsi="Arial" w:cs="Arial"/>
          <w:b/>
          <w:bCs/>
        </w:rPr>
        <w:t>4.2</w:t>
      </w:r>
      <w:r w:rsidRPr="00E419B7">
        <w:rPr>
          <w:rFonts w:ascii="Arial" w:hAnsi="Arial" w:cs="Arial"/>
          <w:b/>
          <w:bCs/>
        </w:rPr>
        <w:t xml:space="preserve"> L</w:t>
      </w:r>
      <w:r w:rsidR="00C25932" w:rsidRPr="00E419B7">
        <w:rPr>
          <w:rFonts w:ascii="Arial" w:hAnsi="Arial" w:cs="Arial"/>
          <w:b/>
          <w:bCs/>
        </w:rPr>
        <w:t xml:space="preserve">egal </w:t>
      </w:r>
      <w:r w:rsidR="00EE392A" w:rsidRPr="00E419B7">
        <w:rPr>
          <w:rFonts w:ascii="Arial" w:hAnsi="Arial" w:cs="Arial"/>
          <w:b/>
          <w:bCs/>
        </w:rPr>
        <w:t>Basis fo</w:t>
      </w:r>
      <w:r w:rsidR="00C25932" w:rsidRPr="00E419B7">
        <w:rPr>
          <w:rFonts w:ascii="Arial" w:hAnsi="Arial" w:cs="Arial"/>
          <w:b/>
          <w:bCs/>
        </w:rPr>
        <w:t xml:space="preserve">r </w:t>
      </w:r>
      <w:r w:rsidR="00EE392A" w:rsidRPr="00E419B7">
        <w:rPr>
          <w:rFonts w:ascii="Arial" w:hAnsi="Arial" w:cs="Arial"/>
          <w:b/>
          <w:bCs/>
        </w:rPr>
        <w:t xml:space="preserve">Public </w:t>
      </w:r>
      <w:r w:rsidR="00C25932" w:rsidRPr="00E419B7">
        <w:rPr>
          <w:rFonts w:ascii="Arial" w:hAnsi="Arial" w:cs="Arial"/>
          <w:b/>
          <w:bCs/>
        </w:rPr>
        <w:t>Participation</w:t>
      </w:r>
    </w:p>
    <w:p w14:paraId="4BB4DAD0" w14:textId="77777777" w:rsidR="00C32CEB" w:rsidRPr="00E419B7" w:rsidRDefault="00C32CEB" w:rsidP="00E419B7">
      <w:pPr>
        <w:jc w:val="thaiDistribute"/>
        <w:rPr>
          <w:rFonts w:ascii="Arial" w:hAnsi="Arial" w:cs="Arial"/>
        </w:rPr>
      </w:pPr>
    </w:p>
    <w:p w14:paraId="43064420" w14:textId="77777777" w:rsidR="00EE392A" w:rsidRPr="00E419B7" w:rsidRDefault="00EE392A" w:rsidP="00E419B7">
      <w:pPr>
        <w:jc w:val="thaiDistribute"/>
        <w:rPr>
          <w:rFonts w:ascii="Arial" w:hAnsi="Arial" w:cs="Arial"/>
        </w:rPr>
      </w:pPr>
      <w:r w:rsidRPr="00E419B7">
        <w:rPr>
          <w:rFonts w:ascii="Arial" w:hAnsi="Arial" w:cs="Arial"/>
        </w:rPr>
        <w:t>Thailand has a strong legal foundation for public participation in marine and coastal resource management. The Promotion of Marine and Coastal Resources Management Act (2015) and the Royal Ordinance on Fisheries (2015) mandate participatory committees, co-management arrangements, and community-based fisheries management. Complementary laws—including the Official Information Act, the National Environmental Quality Act, and decentralization legislation—further guarantee access to information, participation in EIAs, and local government authority in environmental management.</w:t>
      </w:r>
    </w:p>
    <w:p w14:paraId="253F3E7A" w14:textId="792275CE" w:rsidR="00EE392A" w:rsidRPr="00E419B7" w:rsidRDefault="00EE392A" w:rsidP="00E419B7">
      <w:pPr>
        <w:jc w:val="thaiDistribute"/>
        <w:rPr>
          <w:rFonts w:ascii="Arial" w:hAnsi="Arial" w:cs="Arial"/>
        </w:rPr>
      </w:pPr>
    </w:p>
    <w:p w14:paraId="62706B25" w14:textId="0FEA294E" w:rsidR="00EE392A" w:rsidRPr="00E419B7" w:rsidRDefault="00EE392A" w:rsidP="00E419B7">
      <w:pPr>
        <w:jc w:val="thaiDistribute"/>
        <w:rPr>
          <w:rFonts w:ascii="Arial" w:hAnsi="Arial" w:cs="Arial"/>
        </w:rPr>
      </w:pPr>
      <w:r w:rsidRPr="00E419B7">
        <w:rPr>
          <w:rFonts w:ascii="Arial" w:hAnsi="Arial" w:cs="Arial"/>
        </w:rPr>
        <w:t>However, empirical studies indicate that the effectiveness of these participatory mechanisms remains uneven. Provincial coordination is often weak, participation can be reactive, and representation of women and small-scale fishers remains limited in some areas (Satumanatpan et al., 2018; 2024).</w:t>
      </w:r>
    </w:p>
    <w:p w14:paraId="22179E69" w14:textId="77777777" w:rsidR="00EE392A" w:rsidRPr="00E419B7" w:rsidRDefault="00EE392A" w:rsidP="00E419B7">
      <w:pPr>
        <w:jc w:val="thaiDistribute"/>
        <w:rPr>
          <w:rFonts w:ascii="Arial" w:hAnsi="Arial" w:cs="Arial"/>
        </w:rPr>
      </w:pPr>
    </w:p>
    <w:p w14:paraId="76337330" w14:textId="13DA35BE" w:rsidR="00C25932" w:rsidRPr="00E419B7" w:rsidRDefault="00307478" w:rsidP="00E419B7">
      <w:pPr>
        <w:spacing w:before="120" w:after="120"/>
        <w:jc w:val="thaiDistribute"/>
        <w:rPr>
          <w:rFonts w:ascii="Arial" w:hAnsi="Arial" w:cs="Arial"/>
          <w:b/>
          <w:bCs/>
        </w:rPr>
      </w:pPr>
      <w:r w:rsidRPr="00E419B7">
        <w:rPr>
          <w:rFonts w:ascii="Arial" w:hAnsi="Arial" w:cs="Arial"/>
          <w:b/>
          <w:bCs/>
        </w:rPr>
        <w:t>6.2.</w:t>
      </w:r>
      <w:r w:rsidR="00C25932" w:rsidRPr="00E419B7">
        <w:rPr>
          <w:rFonts w:ascii="Arial" w:hAnsi="Arial" w:cs="Arial"/>
          <w:b/>
          <w:bCs/>
        </w:rPr>
        <w:t>4.3 Co-management and Participatory Mechanisms</w:t>
      </w:r>
    </w:p>
    <w:p w14:paraId="42666B28" w14:textId="15C6AFD0" w:rsidR="00EE392A" w:rsidRPr="00E419B7" w:rsidRDefault="00EE392A" w:rsidP="00E419B7">
      <w:pPr>
        <w:jc w:val="thaiDistribute"/>
        <w:rPr>
          <w:rFonts w:ascii="Arial" w:hAnsi="Arial" w:cs="Arial"/>
        </w:rPr>
      </w:pPr>
      <w:r w:rsidRPr="00E419B7">
        <w:rPr>
          <w:rFonts w:ascii="Arial" w:hAnsi="Arial" w:cs="Arial"/>
        </w:rPr>
        <w:t xml:space="preserve">Thailand has progressively expanded co-management through provincial marine and coastal committees, community-based conservation networks, and participatory monitoring programs. These mechanisms support mangrove conservation, fisheries management, MPAs, and marine biodiversity monitoring. Public–private partnerships and CSR initiatives increasingly supplement government efforts and financing for conservation. </w:t>
      </w:r>
    </w:p>
    <w:p w14:paraId="205DCA7B" w14:textId="77777777" w:rsidR="00EE392A" w:rsidRPr="00E419B7" w:rsidRDefault="00EE392A" w:rsidP="00E419B7">
      <w:pPr>
        <w:jc w:val="thaiDistribute"/>
        <w:rPr>
          <w:rFonts w:ascii="Arial" w:hAnsi="Arial" w:cs="Arial"/>
        </w:rPr>
      </w:pPr>
    </w:p>
    <w:p w14:paraId="40706636" w14:textId="146D9C99" w:rsidR="00EE392A" w:rsidRPr="00E419B7" w:rsidRDefault="00EE392A" w:rsidP="00E419B7">
      <w:pPr>
        <w:jc w:val="thaiDistribute"/>
        <w:rPr>
          <w:rFonts w:ascii="Arial" w:hAnsi="Arial" w:cs="Arial"/>
        </w:rPr>
      </w:pPr>
      <w:r w:rsidRPr="00E419B7">
        <w:rPr>
          <w:rFonts w:ascii="Arial" w:hAnsi="Arial" w:cs="Arial"/>
        </w:rPr>
        <w:t>Overall, Thailand has established formal structures and practical mechanisms for participation and co-management. While these frameworks represent a major strength of the governance system, their effectiveness is constrained by coordination gaps, uneven capacity, and inclusiveness challenges. Continued institutional strengthening, capacity building, and long-term financial support are required to ensure that participation translates into sustained conservation and livelihood outcomes.</w:t>
      </w:r>
    </w:p>
    <w:p w14:paraId="44B13CAD" w14:textId="77777777" w:rsidR="00EE392A" w:rsidRPr="00E419B7" w:rsidRDefault="00EE392A" w:rsidP="00E419B7">
      <w:pPr>
        <w:jc w:val="thaiDistribute"/>
        <w:rPr>
          <w:rFonts w:ascii="Arial" w:hAnsi="Arial" w:cs="Arial"/>
        </w:rPr>
      </w:pPr>
    </w:p>
    <w:p w14:paraId="7DC77C5F" w14:textId="2919E49D" w:rsidR="00307478" w:rsidRPr="00E419B7" w:rsidRDefault="00307478" w:rsidP="00E419B7">
      <w:pPr>
        <w:jc w:val="thaiDistribute"/>
        <w:rPr>
          <w:rFonts w:ascii="Arial" w:hAnsi="Arial" w:cs="Arial"/>
          <w:b/>
          <w:bCs/>
          <w:sz w:val="32"/>
          <w:szCs w:val="32"/>
        </w:rPr>
      </w:pPr>
      <w:bookmarkStart w:id="28" w:name="_Hlk214193275"/>
      <w:bookmarkEnd w:id="24"/>
      <w:commentRangeStart w:id="29"/>
      <w:commentRangeStart w:id="30"/>
      <w:r w:rsidRPr="00E419B7">
        <w:rPr>
          <w:rFonts w:ascii="Arial" w:hAnsi="Arial" w:cs="Arial"/>
          <w:b/>
          <w:bCs/>
          <w:sz w:val="32"/>
          <w:szCs w:val="32"/>
        </w:rPr>
        <w:t>6.2.5 Governance performance and effectiveness</w:t>
      </w:r>
      <w:commentRangeEnd w:id="29"/>
      <w:r w:rsidRPr="00E419B7">
        <w:rPr>
          <w:rStyle w:val="CommentReference"/>
          <w:rFonts w:ascii="Arial" w:hAnsi="Arial" w:cs="Arial"/>
          <w:b/>
          <w:bCs/>
          <w:sz w:val="32"/>
          <w:szCs w:val="32"/>
        </w:rPr>
        <w:commentReference w:id="29"/>
      </w:r>
      <w:commentRangeEnd w:id="30"/>
      <w:r w:rsidR="00742E51" w:rsidRPr="00E419B7">
        <w:rPr>
          <w:rStyle w:val="CommentReference"/>
          <w:rFonts w:ascii="Arial" w:hAnsi="Arial" w:cs="Arial"/>
        </w:rPr>
        <w:commentReference w:id="30"/>
      </w:r>
    </w:p>
    <w:p w14:paraId="006DEE8C" w14:textId="77777777" w:rsidR="00307478" w:rsidRPr="00E419B7" w:rsidRDefault="00307478" w:rsidP="00E419B7">
      <w:pPr>
        <w:jc w:val="thaiDistribute"/>
        <w:rPr>
          <w:rFonts w:ascii="Arial" w:hAnsi="Arial" w:cs="Arial"/>
          <w:b/>
          <w:bCs/>
          <w:lang w:val="en-PH"/>
        </w:rPr>
      </w:pPr>
    </w:p>
    <w:bookmarkEnd w:id="28"/>
    <w:p w14:paraId="3B81E83D" w14:textId="7F13123D" w:rsidR="004B08A2" w:rsidRPr="00E419B7" w:rsidRDefault="004B08A2" w:rsidP="00E419B7">
      <w:pPr>
        <w:spacing w:after="160" w:line="259" w:lineRule="auto"/>
        <w:jc w:val="thaiDistribute"/>
        <w:rPr>
          <w:rFonts w:ascii="Arial" w:hAnsi="Arial" w:cs="Arial"/>
          <w:color w:val="000000" w:themeColor="text1"/>
        </w:rPr>
      </w:pPr>
      <w:r w:rsidRPr="00E419B7">
        <w:rPr>
          <w:rFonts w:ascii="Arial" w:hAnsi="Arial" w:cs="Arial"/>
          <w:color w:val="000000" w:themeColor="text1"/>
        </w:rPr>
        <w:t>Over the past 15 years, Thailand has established a relatively strong legal, policy, and institutional foundation for marine and coastal governance, with a clear shift from fragmented, sector-based management toward more integrated approaches (Satumanatpan et al., 2018). The Promotion of Marine and Coastal Resources Management Act (2015) marked a major institutional advance by creating formal national and provincial committees for coordination, planning, and annual reporting by the Department of Marine and Coastal Resources (DMCR).</w:t>
      </w:r>
    </w:p>
    <w:p w14:paraId="01B74D59" w14:textId="77777777" w:rsidR="004B08A2" w:rsidRPr="00E419B7" w:rsidRDefault="004B08A2" w:rsidP="00E419B7">
      <w:pPr>
        <w:spacing w:after="160" w:line="259" w:lineRule="auto"/>
        <w:jc w:val="thaiDistribute"/>
        <w:rPr>
          <w:rFonts w:ascii="Arial" w:hAnsi="Arial" w:cs="Arial"/>
          <w:color w:val="000000" w:themeColor="text1"/>
        </w:rPr>
      </w:pPr>
      <w:r w:rsidRPr="00E419B7">
        <w:rPr>
          <w:rFonts w:ascii="Arial" w:hAnsi="Arial" w:cs="Arial"/>
          <w:color w:val="000000" w:themeColor="text1"/>
        </w:rPr>
        <w:t xml:space="preserve">Despite this progress, several structural weaknesses persist. Inter-ministerial coordination at the national level remains largely procedural, with overlapping mandates and regulatory inefficiencies continuing to constrain implementation (Satumanatpan, NEA 2025). While ecosystem-based management (EBM), climate adaptation, and disaster risk reduction are increasingly reflected in policy frameworks, their effectiveness depends on data quality, </w:t>
      </w:r>
      <w:r w:rsidRPr="00E419B7">
        <w:rPr>
          <w:rFonts w:ascii="Arial" w:hAnsi="Arial" w:cs="Arial"/>
          <w:color w:val="000000" w:themeColor="text1"/>
        </w:rPr>
        <w:lastRenderedPageBreak/>
        <w:t>institutional capacity, and the extent to which monitoring results inform adaptive management.</w:t>
      </w:r>
    </w:p>
    <w:p w14:paraId="61970DD1" w14:textId="77777777" w:rsidR="003A1332" w:rsidRPr="00E419B7" w:rsidRDefault="003A1332" w:rsidP="00E419B7">
      <w:pPr>
        <w:spacing w:after="160" w:line="259" w:lineRule="auto"/>
        <w:jc w:val="thaiDistribute"/>
        <w:rPr>
          <w:rFonts w:ascii="Arial" w:hAnsi="Arial" w:cs="Arial"/>
          <w:b/>
          <w:bCs/>
          <w:color w:val="000000" w:themeColor="text1"/>
        </w:rPr>
      </w:pPr>
      <w:r w:rsidRPr="00E419B7">
        <w:rPr>
          <w:rFonts w:ascii="Arial" w:hAnsi="Arial" w:cs="Arial"/>
          <w:b/>
          <w:bCs/>
          <w:color w:val="000000" w:themeColor="text1"/>
        </w:rPr>
        <w:t>Monitoring, Evaluation, and Policy Cycle</w:t>
      </w:r>
    </w:p>
    <w:p w14:paraId="5F8327CB" w14:textId="0726DBBB" w:rsidR="004B08A2" w:rsidRPr="00E419B7" w:rsidRDefault="004B08A2" w:rsidP="00E419B7">
      <w:pPr>
        <w:spacing w:after="160" w:line="259" w:lineRule="auto"/>
        <w:jc w:val="thaiDistribute"/>
        <w:rPr>
          <w:rFonts w:ascii="Arial" w:hAnsi="Arial" w:cs="Arial"/>
          <w:color w:val="000000" w:themeColor="text1"/>
        </w:rPr>
      </w:pPr>
      <w:r w:rsidRPr="00E419B7">
        <w:rPr>
          <w:rFonts w:ascii="Arial" w:hAnsi="Arial" w:cs="Arial"/>
          <w:color w:val="000000" w:themeColor="text1"/>
        </w:rPr>
        <w:t>DMCR conducts long-term monitoring of coral reefs, mangroves, and seagrass, generating valuable biophysical time-series data. However, current indicators focus mainly on habitat condition (e.g., live coral cover) and remain weak in assessing ecosystem services and socio-economic outcomes such as fisheries productivity, shoreline protection, tourism, and community well-being (National Trialogue Workshop, 2025). Stronger integration of ecological, economic, and social indicators is needed to support adaptive governance.</w:t>
      </w:r>
    </w:p>
    <w:p w14:paraId="79D05A1B" w14:textId="77777777" w:rsidR="003A1332" w:rsidRPr="00E419B7" w:rsidRDefault="003A1332" w:rsidP="00E419B7">
      <w:pPr>
        <w:spacing w:after="160" w:line="259" w:lineRule="auto"/>
        <w:jc w:val="thaiDistribute"/>
        <w:rPr>
          <w:rFonts w:ascii="Arial" w:hAnsi="Arial" w:cs="Arial"/>
          <w:b/>
          <w:bCs/>
          <w:color w:val="000000" w:themeColor="text1"/>
        </w:rPr>
      </w:pPr>
      <w:r w:rsidRPr="00E419B7">
        <w:rPr>
          <w:rFonts w:ascii="Arial" w:hAnsi="Arial" w:cs="Arial"/>
          <w:b/>
          <w:bCs/>
          <w:color w:val="000000" w:themeColor="text1"/>
        </w:rPr>
        <w:t>Participation, Coordination, and Stakeholder Engagement</w:t>
      </w:r>
    </w:p>
    <w:p w14:paraId="2022746B" w14:textId="2BDB4D2B" w:rsidR="004B08A2" w:rsidRPr="00E419B7" w:rsidRDefault="004B08A2" w:rsidP="00E419B7">
      <w:pPr>
        <w:spacing w:after="160" w:line="259" w:lineRule="auto"/>
        <w:jc w:val="thaiDistribute"/>
        <w:rPr>
          <w:rFonts w:ascii="Arial" w:hAnsi="Arial" w:cs="Arial"/>
          <w:color w:val="000000" w:themeColor="text1"/>
        </w:rPr>
      </w:pPr>
      <w:r w:rsidRPr="00E419B7">
        <w:rPr>
          <w:rFonts w:ascii="Arial" w:hAnsi="Arial" w:cs="Arial"/>
          <w:color w:val="000000" w:themeColor="text1"/>
        </w:rPr>
        <w:t>Thailand’s legal framework formally enables stakeholder participation through the Marine and Coastal Resources Management Act (2015) and the Royal Ordinance on Fisheries (2015). In practice, however, participatory mechanisms remain uneven. Provincial coastal committees face weak sectoral integration, infrequent meetings, and limited data availability (Satumanatpan et al., 2018). Further constraints include reactive committee agendas, limited women’s representation, and perceived imbalances in decision-making authority (Satumanatpan et al., 2024).</w:t>
      </w:r>
    </w:p>
    <w:p w14:paraId="54BEFDB9" w14:textId="1E815C0C" w:rsidR="003A1332" w:rsidRPr="00E419B7" w:rsidRDefault="003A1332" w:rsidP="00E419B7">
      <w:pPr>
        <w:spacing w:after="160" w:line="259" w:lineRule="auto"/>
        <w:jc w:val="thaiDistribute"/>
        <w:rPr>
          <w:rFonts w:ascii="Arial" w:hAnsi="Arial" w:cs="Arial"/>
          <w:b/>
          <w:bCs/>
          <w:color w:val="000000" w:themeColor="text1"/>
        </w:rPr>
      </w:pPr>
      <w:r w:rsidRPr="00E419B7">
        <w:rPr>
          <w:rFonts w:ascii="Arial" w:hAnsi="Arial" w:cs="Arial"/>
          <w:b/>
          <w:bCs/>
          <w:color w:val="000000" w:themeColor="text1"/>
        </w:rPr>
        <w:t>Governance Principle</w:t>
      </w:r>
      <w:r w:rsidR="00066204" w:rsidRPr="00E419B7">
        <w:rPr>
          <w:rFonts w:ascii="Arial" w:hAnsi="Arial" w:cs="Arial"/>
          <w:b/>
          <w:bCs/>
          <w:color w:val="000000" w:themeColor="text1"/>
        </w:rPr>
        <w:t>s</w:t>
      </w:r>
    </w:p>
    <w:p w14:paraId="6695F4D5" w14:textId="5F6BD84F" w:rsidR="001C4FBC" w:rsidRPr="00E419B7" w:rsidRDefault="001C4FBC" w:rsidP="00E419B7">
      <w:pPr>
        <w:spacing w:after="160" w:line="259" w:lineRule="auto"/>
        <w:jc w:val="thaiDistribute"/>
        <w:rPr>
          <w:rFonts w:ascii="Arial" w:hAnsi="Arial" w:cs="Arial"/>
          <w:color w:val="000000" w:themeColor="text1"/>
        </w:rPr>
      </w:pPr>
      <w:r w:rsidRPr="00E419B7">
        <w:rPr>
          <w:rFonts w:ascii="Arial" w:hAnsi="Arial" w:cs="Arial"/>
          <w:color w:val="000000" w:themeColor="text1"/>
        </w:rPr>
        <w:t>Although this assessment does not directly evaluate transparency, accountability, and equity, these principles are supported by Thailand’s broader legal framework, including the Official Information Act (1997), the Civil Service Act (2008), the 2017 Constitution, and the Gender Equality Act (2015). Together, these laws establish an enabling environment for participatory and accountable governance, although enforcement and practical application remain uneven.</w:t>
      </w:r>
    </w:p>
    <w:p w14:paraId="489E0EE6" w14:textId="77777777" w:rsidR="00066204" w:rsidRPr="00E419B7" w:rsidRDefault="00066204" w:rsidP="00E419B7">
      <w:pPr>
        <w:spacing w:after="160" w:line="259" w:lineRule="auto"/>
        <w:jc w:val="thaiDistribute"/>
        <w:rPr>
          <w:rFonts w:ascii="Arial" w:hAnsi="Arial" w:cs="Arial"/>
          <w:color w:val="000000" w:themeColor="text1"/>
        </w:rPr>
      </w:pPr>
      <w:r w:rsidRPr="00E419B7">
        <w:rPr>
          <w:rFonts w:ascii="Arial" w:hAnsi="Arial" w:cs="Arial"/>
          <w:color w:val="000000" w:themeColor="text1"/>
        </w:rPr>
        <w:t xml:space="preserve">Overall, Thailand’s marine and coastal governance </w:t>
      </w:r>
      <w:proofErr w:type="gramStart"/>
      <w:r w:rsidRPr="00E419B7">
        <w:rPr>
          <w:rFonts w:ascii="Arial" w:hAnsi="Arial" w:cs="Arial"/>
          <w:color w:val="000000" w:themeColor="text1"/>
        </w:rPr>
        <w:t>shows</w:t>
      </w:r>
      <w:proofErr w:type="gramEnd"/>
      <w:r w:rsidRPr="00E419B7">
        <w:rPr>
          <w:rFonts w:ascii="Arial" w:hAnsi="Arial" w:cs="Arial"/>
          <w:color w:val="000000" w:themeColor="text1"/>
        </w:rPr>
        <w:t xml:space="preserve"> significant institutional progress, but its effectiveness is constrained by coordination gaps, limited socio-economic monitoring, and uneven stakeholder inclusion. Strengthening adaptive monitoring systems, inclusive participation, and inter-agency coordination remains essential for improving long-term governance performance.</w:t>
      </w:r>
    </w:p>
    <w:p w14:paraId="1EBFB01B" w14:textId="77777777" w:rsidR="00307478" w:rsidRPr="00E419B7" w:rsidRDefault="00307478" w:rsidP="00E419B7">
      <w:pPr>
        <w:jc w:val="thaiDistribute"/>
        <w:rPr>
          <w:rFonts w:ascii="Arial" w:hAnsi="Arial" w:cs="Arial"/>
        </w:rPr>
      </w:pPr>
    </w:p>
    <w:p w14:paraId="0E0FF58E" w14:textId="2E6456CC" w:rsidR="00867078" w:rsidRPr="00E419B7" w:rsidRDefault="00867078" w:rsidP="00E419B7">
      <w:pPr>
        <w:spacing w:before="120" w:after="120"/>
        <w:ind w:firstLine="1134"/>
        <w:jc w:val="thaiDistribute"/>
        <w:rPr>
          <w:rFonts w:ascii="Arial" w:hAnsi="Arial" w:cs="Arial"/>
        </w:rPr>
      </w:pPr>
      <w:r w:rsidRPr="00E419B7">
        <w:rPr>
          <w:rFonts w:ascii="Arial" w:hAnsi="Arial" w:cs="Arial"/>
        </w:rPr>
        <w:br w:type="page"/>
      </w:r>
    </w:p>
    <w:p w14:paraId="004DE713" w14:textId="6EEE26A0" w:rsidR="00307478" w:rsidRPr="00E419B7" w:rsidRDefault="00307478" w:rsidP="00E419B7">
      <w:pPr>
        <w:pStyle w:val="ListParagraph"/>
        <w:numPr>
          <w:ilvl w:val="1"/>
          <w:numId w:val="87"/>
        </w:numPr>
        <w:jc w:val="thaiDistribute"/>
        <w:rPr>
          <w:rFonts w:ascii="Arial" w:hAnsi="Arial" w:cs="Arial"/>
          <w:b/>
          <w:bCs/>
          <w:sz w:val="32"/>
          <w:szCs w:val="32"/>
        </w:rPr>
      </w:pPr>
      <w:r w:rsidRPr="00E419B7">
        <w:rPr>
          <w:rFonts w:ascii="Arial" w:hAnsi="Arial" w:cs="Arial"/>
          <w:b/>
          <w:bCs/>
          <w:sz w:val="32"/>
          <w:szCs w:val="32"/>
        </w:rPr>
        <w:lastRenderedPageBreak/>
        <w:t xml:space="preserve">Discussion and Conclusions </w:t>
      </w:r>
    </w:p>
    <w:p w14:paraId="4EAE0058" w14:textId="77777777" w:rsidR="00867078" w:rsidRPr="00E419B7" w:rsidRDefault="00867078" w:rsidP="00E419B7">
      <w:pPr>
        <w:pStyle w:val="ListParagraph"/>
        <w:ind w:left="660"/>
        <w:jc w:val="thaiDistribute"/>
        <w:rPr>
          <w:rFonts w:ascii="Arial" w:hAnsi="Arial" w:cs="Arial"/>
          <w:b/>
          <w:bCs/>
          <w:sz w:val="32"/>
          <w:szCs w:val="32"/>
        </w:rPr>
      </w:pPr>
    </w:p>
    <w:p w14:paraId="073F0F85" w14:textId="53F38328" w:rsidR="00307478" w:rsidRPr="00E419B7" w:rsidRDefault="00F919FB" w:rsidP="00E419B7">
      <w:pPr>
        <w:jc w:val="thaiDistribute"/>
        <w:rPr>
          <w:rFonts w:ascii="Arial" w:hAnsi="Arial" w:cs="Arial"/>
        </w:rPr>
      </w:pPr>
      <w:r w:rsidRPr="00E419B7">
        <w:rPr>
          <w:rFonts w:ascii="Arial" w:hAnsi="Arial" w:cs="Arial"/>
        </w:rPr>
        <w:t>6.3.1 Risk Assessment: Current Governance Capacity</w:t>
      </w:r>
    </w:p>
    <w:p w14:paraId="378CF581" w14:textId="33227774" w:rsidR="00FC07F1" w:rsidRPr="00E419B7" w:rsidRDefault="00FC07F1" w:rsidP="00E419B7">
      <w:pPr>
        <w:jc w:val="thaiDistribute"/>
        <w:rPr>
          <w:rFonts w:ascii="Arial" w:hAnsi="Arial" w:cs="Arial"/>
        </w:rPr>
      </w:pPr>
      <w:commentRangeStart w:id="31"/>
      <w:r w:rsidRPr="00E419B7">
        <w:rPr>
          <w:rFonts w:ascii="Arial" w:hAnsi="Arial" w:cs="Arial"/>
          <w:noProof/>
        </w:rPr>
        <w:drawing>
          <wp:inline distT="0" distB="0" distL="0" distR="0" wp14:anchorId="4C4D68D1" wp14:editId="1C73B376">
            <wp:extent cx="3573780" cy="3472199"/>
            <wp:effectExtent l="0" t="0" r="7620" b="0"/>
            <wp:docPr id="1026" name="Picture 2" descr="A diagram of a diagram&#10;&#10;Description automatically generated">
              <a:extLst xmlns:a="http://schemas.openxmlformats.org/drawingml/2006/main">
                <a:ext uri="{FF2B5EF4-FFF2-40B4-BE49-F238E27FC236}">
                  <a16:creationId xmlns:a16="http://schemas.microsoft.com/office/drawing/2014/main" id="{80EA6912-F49B-8C25-82A6-BB26A90895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A diagram of a diagram&#10;&#10;Description automatically generated">
                      <a:extLst>
                        <a:ext uri="{FF2B5EF4-FFF2-40B4-BE49-F238E27FC236}">
                          <a16:creationId xmlns:a16="http://schemas.microsoft.com/office/drawing/2014/main" id="{80EA6912-F49B-8C25-82A6-BB26A90895AE}"/>
                        </a:ext>
                      </a:extLst>
                    </pic:cNvP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3141" cy="3500725"/>
                    </a:xfrm>
                    <a:prstGeom prst="rect">
                      <a:avLst/>
                    </a:prstGeom>
                    <a:noFill/>
                  </pic:spPr>
                </pic:pic>
              </a:graphicData>
            </a:graphic>
          </wp:inline>
        </w:drawing>
      </w:r>
      <w:commentRangeEnd w:id="31"/>
      <w:r w:rsidRPr="00E419B7">
        <w:rPr>
          <w:rStyle w:val="CommentReference"/>
          <w:rFonts w:ascii="Arial" w:hAnsi="Arial" w:cs="Arial"/>
        </w:rPr>
        <w:commentReference w:id="31"/>
      </w:r>
    </w:p>
    <w:p w14:paraId="0CBEE309" w14:textId="77777777" w:rsidR="00FC07F1" w:rsidRPr="00E419B7" w:rsidRDefault="00FC07F1" w:rsidP="00E419B7">
      <w:pPr>
        <w:jc w:val="thaiDistribute"/>
        <w:rPr>
          <w:rFonts w:ascii="Arial" w:hAnsi="Arial" w:cs="Arial"/>
        </w:rPr>
      </w:pPr>
    </w:p>
    <w:p w14:paraId="4DDCA421" w14:textId="05AF0460" w:rsidR="00F919FB" w:rsidRPr="00E419B7" w:rsidRDefault="00F919FB" w:rsidP="00E419B7">
      <w:pPr>
        <w:jc w:val="thaiDistribute"/>
        <w:rPr>
          <w:rFonts w:ascii="Arial" w:hAnsi="Arial" w:cs="Arial"/>
        </w:rPr>
      </w:pPr>
      <w:r w:rsidRPr="00E419B7">
        <w:rPr>
          <w:rFonts w:ascii="Arial" w:hAnsi="Arial" w:cs="Arial"/>
        </w:rPr>
        <w:t>National indicators suggest that Thailand’s overall governance capacity for coastal and marine management is moderate but uneven. Under the Environmental Performance Index (EPI 2024), Thailand ranks 90th globally, with improvements in climate change performance (+12.5) and ecosystem vitality (+1.9), but declining trends in biodiversity and habitat (–0.7) and fisheries (–1.9), alongside persistently weak water resource management. These patterns reflect continuing stress on coastal ecosystems.</w:t>
      </w:r>
    </w:p>
    <w:p w14:paraId="6CE0B984" w14:textId="77777777" w:rsidR="00F919FB" w:rsidRPr="00E419B7" w:rsidRDefault="00F919FB" w:rsidP="00E419B7">
      <w:pPr>
        <w:jc w:val="thaiDistribute"/>
        <w:rPr>
          <w:rFonts w:ascii="Arial" w:hAnsi="Arial" w:cs="Arial"/>
        </w:rPr>
      </w:pPr>
    </w:p>
    <w:p w14:paraId="59445F73" w14:textId="77777777" w:rsidR="00F62B2E" w:rsidRPr="00E419B7" w:rsidRDefault="00625558" w:rsidP="00E419B7">
      <w:pPr>
        <w:jc w:val="thaiDistribute"/>
        <w:rPr>
          <w:rFonts w:ascii="Arial" w:hAnsi="Arial" w:cs="Arial"/>
        </w:rPr>
      </w:pPr>
      <w:r w:rsidRPr="00E419B7">
        <w:rPr>
          <w:rFonts w:ascii="Arial" w:hAnsi="Arial" w:cs="Arial"/>
        </w:rPr>
        <w:t xml:space="preserve">World Bank Worldwide Governance Indicators place Thailand in the medium tier for government effectiveness and regulatory quality, with a declining trend in regulatory performance and low control of corruption (World Bank, 2025). </w:t>
      </w:r>
      <w:r w:rsidR="00F62B2E" w:rsidRPr="00E419B7">
        <w:rPr>
          <w:rFonts w:ascii="Arial" w:hAnsi="Arial" w:cs="Arial"/>
        </w:rPr>
        <w:t xml:space="preserve"> These national-level governance constraints influence provincial capacity, particularly consistency in policy implementation, enforcement, and multi-agency coordination.</w:t>
      </w:r>
    </w:p>
    <w:p w14:paraId="708F9B91" w14:textId="77777777" w:rsidR="00F62B2E" w:rsidRPr="00E419B7" w:rsidRDefault="00F62B2E" w:rsidP="00E419B7">
      <w:pPr>
        <w:jc w:val="thaiDistribute"/>
        <w:rPr>
          <w:rFonts w:ascii="Arial" w:hAnsi="Arial" w:cs="Arial"/>
        </w:rPr>
      </w:pPr>
    </w:p>
    <w:p w14:paraId="322BA6F7" w14:textId="111C4D34" w:rsidR="00F62B2E" w:rsidRPr="00E419B7" w:rsidRDefault="00F62B2E" w:rsidP="00E419B7">
      <w:pPr>
        <w:jc w:val="thaiDistribute"/>
        <w:rPr>
          <w:rFonts w:ascii="Arial" w:hAnsi="Arial" w:cs="Arial"/>
        </w:rPr>
      </w:pPr>
      <w:r w:rsidRPr="00E419B7">
        <w:rPr>
          <w:rFonts w:ascii="Arial" w:hAnsi="Arial" w:cs="Arial"/>
        </w:rPr>
        <w:t>At the provincial level, governance performance varies widely. Coastal committee studies reveal weak sectoral integration, infrequent meetings, and limited stakeholder engagement (Satumanatpan et al., 2018). Further constraints include reactive committee agendas, low women’s representation, and imbalances in committee composition affecting small-scale fishers (Satumanatpan et al., 2024). These shortcomings undermine social equity, inclusion, and adaptive capacity.</w:t>
      </w:r>
    </w:p>
    <w:p w14:paraId="7656631A" w14:textId="77777777" w:rsidR="00625558" w:rsidRPr="00E419B7" w:rsidRDefault="00625558" w:rsidP="00E419B7">
      <w:pPr>
        <w:jc w:val="thaiDistribute"/>
        <w:rPr>
          <w:rFonts w:ascii="Arial" w:hAnsi="Arial" w:cs="Arial"/>
        </w:rPr>
      </w:pPr>
    </w:p>
    <w:p w14:paraId="5855D07F" w14:textId="190DEA70" w:rsidR="002C4967" w:rsidRDefault="002C4967" w:rsidP="00E419B7">
      <w:pPr>
        <w:jc w:val="thaiDistribute"/>
        <w:rPr>
          <w:rFonts w:ascii="Arial" w:hAnsi="Arial" w:cs="Arial"/>
        </w:rPr>
      </w:pPr>
      <w:r w:rsidRPr="00E419B7">
        <w:rPr>
          <w:rFonts w:ascii="Arial" w:hAnsi="Arial" w:cs="Arial"/>
        </w:rPr>
        <w:t>Overall, Thailand exhibits moderate national governance capacity, but uneven provincial implementation remains a key risk to effective ecosystem protection and human well-being.</w:t>
      </w:r>
    </w:p>
    <w:p w14:paraId="45E78941" w14:textId="77777777" w:rsidR="00931A65" w:rsidRPr="00E419B7" w:rsidRDefault="00931A65" w:rsidP="00E419B7">
      <w:pPr>
        <w:jc w:val="thaiDistribute"/>
        <w:rPr>
          <w:rFonts w:ascii="Arial" w:hAnsi="Arial" w:cs="Arial"/>
        </w:rPr>
      </w:pPr>
    </w:p>
    <w:p w14:paraId="6F2C7DF6" w14:textId="77777777" w:rsidR="002C4967" w:rsidRPr="00E419B7" w:rsidRDefault="002C4967" w:rsidP="00E419B7">
      <w:pPr>
        <w:jc w:val="thaiDistribute"/>
        <w:rPr>
          <w:rFonts w:ascii="Arial" w:hAnsi="Arial" w:cs="Arial"/>
        </w:rPr>
      </w:pPr>
      <w:r w:rsidRPr="00E419B7">
        <w:rPr>
          <w:rFonts w:ascii="Arial" w:hAnsi="Arial" w:cs="Arial"/>
        </w:rPr>
        <w:t>TWAP Governance Architecture Self-Assessment (Fanning et al., 2017) shows:</w:t>
      </w:r>
    </w:p>
    <w:p w14:paraId="18E940CE" w14:textId="77777777" w:rsidR="002C4967" w:rsidRPr="00E419B7" w:rsidRDefault="002C4967" w:rsidP="00E419B7">
      <w:pPr>
        <w:numPr>
          <w:ilvl w:val="0"/>
          <w:numId w:val="88"/>
        </w:numPr>
        <w:jc w:val="thaiDistribute"/>
        <w:rPr>
          <w:rFonts w:ascii="Arial" w:hAnsi="Arial" w:cs="Arial"/>
        </w:rPr>
      </w:pPr>
      <w:r w:rsidRPr="00E419B7">
        <w:rPr>
          <w:rFonts w:ascii="Arial" w:hAnsi="Arial" w:cs="Arial"/>
        </w:rPr>
        <w:t>Completeness = 50 (basic institutional and legal structures exist),</w:t>
      </w:r>
    </w:p>
    <w:p w14:paraId="4767CAD2" w14:textId="77777777" w:rsidR="002C4967" w:rsidRPr="00E419B7" w:rsidRDefault="002C4967" w:rsidP="00E419B7">
      <w:pPr>
        <w:numPr>
          <w:ilvl w:val="0"/>
          <w:numId w:val="88"/>
        </w:numPr>
        <w:jc w:val="thaiDistribute"/>
        <w:rPr>
          <w:rFonts w:ascii="Arial" w:hAnsi="Arial" w:cs="Arial"/>
        </w:rPr>
      </w:pPr>
      <w:r w:rsidRPr="00E419B7">
        <w:rPr>
          <w:rFonts w:ascii="Arial" w:hAnsi="Arial" w:cs="Arial"/>
        </w:rPr>
        <w:t>Integration = 0.1 (very weak cross-sectoral and multi-level coordination),</w:t>
      </w:r>
    </w:p>
    <w:p w14:paraId="73DCA5AA" w14:textId="77777777" w:rsidR="002C4967" w:rsidRPr="00E419B7" w:rsidRDefault="002C4967" w:rsidP="00E419B7">
      <w:pPr>
        <w:numPr>
          <w:ilvl w:val="0"/>
          <w:numId w:val="88"/>
        </w:numPr>
        <w:jc w:val="thaiDistribute"/>
        <w:rPr>
          <w:rFonts w:ascii="Arial" w:hAnsi="Arial" w:cs="Arial"/>
        </w:rPr>
      </w:pPr>
      <w:r w:rsidRPr="00E419B7">
        <w:rPr>
          <w:rFonts w:ascii="Arial" w:hAnsi="Arial" w:cs="Arial"/>
        </w:rPr>
        <w:t>Engagement = 70 (relatively strong stakeholder participation).</w:t>
      </w:r>
    </w:p>
    <w:p w14:paraId="72CC609E" w14:textId="77777777" w:rsidR="002C4967" w:rsidRPr="00E419B7" w:rsidRDefault="002C4967" w:rsidP="00E419B7">
      <w:pPr>
        <w:jc w:val="thaiDistribute"/>
        <w:rPr>
          <w:rFonts w:ascii="Arial" w:hAnsi="Arial" w:cs="Arial"/>
        </w:rPr>
      </w:pPr>
      <w:r w:rsidRPr="00E419B7">
        <w:rPr>
          <w:rFonts w:ascii="Arial" w:hAnsi="Arial" w:cs="Arial"/>
        </w:rPr>
        <w:t>This indicates that while institutions and participation mechanisms are in place, fragmented integration remains the principal structural weakness constraining adaptive, ecosystem-based, and transboundary governance in the South China Sea and Gulf of Thailand.</w:t>
      </w:r>
    </w:p>
    <w:p w14:paraId="16A3476C" w14:textId="77777777" w:rsidR="00601B4A" w:rsidRPr="00A66A97" w:rsidRDefault="00601B4A" w:rsidP="00E419B7">
      <w:pPr>
        <w:jc w:val="thaiDistribute"/>
        <w:rPr>
          <w:rFonts w:ascii="Arial" w:hAnsi="Arial" w:cs="Arial"/>
          <w:sz w:val="22"/>
          <w:szCs w:val="22"/>
        </w:rPr>
      </w:pPr>
    </w:p>
    <w:p w14:paraId="74A71271" w14:textId="6A6C4DBD" w:rsidR="00307478" w:rsidRPr="00E419B7" w:rsidRDefault="00307478" w:rsidP="00E419B7">
      <w:pPr>
        <w:spacing w:before="120" w:after="120"/>
        <w:jc w:val="thaiDistribute"/>
        <w:rPr>
          <w:rFonts w:ascii="Arial" w:hAnsi="Arial" w:cs="Arial"/>
          <w:b/>
          <w:bCs/>
        </w:rPr>
      </w:pPr>
      <w:commentRangeStart w:id="32"/>
      <w:commentRangeStart w:id="33"/>
      <w:r w:rsidRPr="00E419B7">
        <w:rPr>
          <w:rFonts w:ascii="Arial" w:hAnsi="Arial" w:cs="Arial"/>
          <w:b/>
          <w:bCs/>
        </w:rPr>
        <w:t xml:space="preserve">6.3.2 Current governance capacity to respond to climate and major environmental changes, as well as population growth and </w:t>
      </w:r>
      <w:commentRangeStart w:id="34"/>
      <w:commentRangeStart w:id="35"/>
      <w:r w:rsidRPr="00E419B7">
        <w:rPr>
          <w:rFonts w:ascii="Arial" w:hAnsi="Arial" w:cs="Arial"/>
          <w:b/>
          <w:bCs/>
        </w:rPr>
        <w:t>demand</w:t>
      </w:r>
      <w:commentRangeEnd w:id="34"/>
      <w:r w:rsidR="00AE27F7" w:rsidRPr="00E419B7">
        <w:rPr>
          <w:rStyle w:val="CommentReference"/>
          <w:rFonts w:ascii="Arial" w:hAnsi="Arial" w:cs="Arial"/>
        </w:rPr>
        <w:commentReference w:id="34"/>
      </w:r>
      <w:commentRangeEnd w:id="35"/>
      <w:r w:rsidR="00667440" w:rsidRPr="00E419B7">
        <w:rPr>
          <w:rStyle w:val="CommentReference"/>
          <w:rFonts w:ascii="Arial" w:hAnsi="Arial" w:cs="Arial"/>
        </w:rPr>
        <w:commentReference w:id="35"/>
      </w:r>
      <w:r w:rsidR="00EB67A5" w:rsidRPr="00E419B7">
        <w:rPr>
          <w:rFonts w:ascii="Arial" w:hAnsi="Arial" w:cs="Arial"/>
          <w:b/>
          <w:bCs/>
        </w:rPr>
        <w:t xml:space="preserve"> </w:t>
      </w:r>
    </w:p>
    <w:p w14:paraId="354702B7" w14:textId="77777777" w:rsidR="00404EE8" w:rsidRPr="00E419B7" w:rsidRDefault="00404EE8" w:rsidP="00E419B7">
      <w:pPr>
        <w:jc w:val="thaiDistribute"/>
        <w:rPr>
          <w:rFonts w:ascii="Arial" w:hAnsi="Arial" w:cs="Arial"/>
        </w:rPr>
      </w:pPr>
      <w:r w:rsidRPr="00E419B7">
        <w:rPr>
          <w:rFonts w:ascii="Arial" w:hAnsi="Arial" w:cs="Arial"/>
        </w:rPr>
        <w:t>Thailand shows moderate capacity to respond to climate and environmental change, supported by national frameworks but constrained by fragmented coordination and uneven enforcement. Core agencies (DMCR, DCCE, DOF) possess growing technical capacity, yet the absence of an enacted Climate Change Act weakens legal coherence.</w:t>
      </w:r>
    </w:p>
    <w:p w14:paraId="33D524C1" w14:textId="77777777" w:rsidR="00404EE8" w:rsidRPr="00E419B7" w:rsidRDefault="00404EE8" w:rsidP="00E419B7">
      <w:pPr>
        <w:jc w:val="thaiDistribute"/>
        <w:rPr>
          <w:rFonts w:ascii="Arial" w:hAnsi="Arial" w:cs="Arial"/>
        </w:rPr>
      </w:pPr>
    </w:p>
    <w:p w14:paraId="003FE92C" w14:textId="2633FF48" w:rsidR="00404EE8" w:rsidRPr="00E419B7" w:rsidRDefault="00404EE8" w:rsidP="00E419B7">
      <w:pPr>
        <w:jc w:val="thaiDistribute"/>
        <w:rPr>
          <w:rFonts w:ascii="Arial" w:hAnsi="Arial" w:cs="Arial"/>
        </w:rPr>
      </w:pPr>
      <w:r w:rsidRPr="00E419B7">
        <w:rPr>
          <w:rFonts w:ascii="Arial" w:hAnsi="Arial" w:cs="Arial"/>
        </w:rPr>
        <w:t>Climate and coastal monitoring systems exist but remain poorly integrated, limiting their effectiveness for planning. Provincial governments face persistent staffing and budget constraints, while rapid urbanization, coastal development, and resource demand outpace institutional capacity. These conditions underscore the need for stronger coordination, clearer legal mandates, and adaptive governance mechanisms.</w:t>
      </w:r>
    </w:p>
    <w:p w14:paraId="59345370" w14:textId="77777777" w:rsidR="00307478" w:rsidRPr="00E419B7" w:rsidRDefault="00307478" w:rsidP="00E419B7">
      <w:pPr>
        <w:jc w:val="thaiDistribute"/>
        <w:rPr>
          <w:rFonts w:ascii="Arial" w:hAnsi="Arial" w:cs="Arial"/>
        </w:rPr>
      </w:pPr>
    </w:p>
    <w:p w14:paraId="433FB41F" w14:textId="03E61679" w:rsidR="00307478" w:rsidRPr="00E419B7" w:rsidRDefault="00307478" w:rsidP="00E419B7">
      <w:pPr>
        <w:jc w:val="thaiDistribute"/>
        <w:rPr>
          <w:rFonts w:ascii="Arial" w:hAnsi="Arial" w:cs="Arial"/>
          <w:b/>
          <w:bCs/>
        </w:rPr>
      </w:pPr>
      <w:r w:rsidRPr="00E419B7">
        <w:rPr>
          <w:rFonts w:ascii="Arial" w:hAnsi="Arial" w:cs="Arial"/>
          <w:b/>
          <w:bCs/>
        </w:rPr>
        <w:t>6.3.3 Strategies to enhance government responses to climate change and achieve sustainability of the coastal and marine environments</w:t>
      </w:r>
    </w:p>
    <w:p w14:paraId="45455B9C" w14:textId="6ABE1B9B" w:rsidR="006D3550" w:rsidRPr="00E419B7" w:rsidRDefault="006D3550" w:rsidP="00E419B7">
      <w:pPr>
        <w:jc w:val="thaiDistribute"/>
        <w:rPr>
          <w:rFonts w:ascii="Arial" w:hAnsi="Arial" w:cs="Arial"/>
        </w:rPr>
      </w:pPr>
    </w:p>
    <w:p w14:paraId="434BFAB1" w14:textId="1ACDE546" w:rsidR="00404EE8" w:rsidRPr="00E419B7" w:rsidRDefault="00404EE8" w:rsidP="00E419B7">
      <w:pPr>
        <w:jc w:val="thaiDistribute"/>
        <w:rPr>
          <w:rFonts w:ascii="Arial" w:hAnsi="Arial" w:cs="Arial"/>
        </w:rPr>
      </w:pPr>
      <w:r w:rsidRPr="00E419B7">
        <w:rPr>
          <w:rFonts w:ascii="Arial" w:hAnsi="Arial" w:cs="Arial"/>
        </w:rPr>
        <w:t>Thailand’s climate response is guided by the Climate Change Master Plan (2015–2050) and the National Adaptation Plan, which emphasize resilience and ecosystem-based adaptation in coastal and marine areas. The draft Climate Change Act, currently under parliamentary consideration, is expected to strengthen the legal foundation for coordinated, cross-sectoral climate governance and long-term sustainability.</w:t>
      </w:r>
    </w:p>
    <w:p w14:paraId="683116C4" w14:textId="77777777" w:rsidR="00307478" w:rsidRPr="00E419B7" w:rsidRDefault="00307478" w:rsidP="00E419B7">
      <w:pPr>
        <w:jc w:val="thaiDistribute"/>
        <w:rPr>
          <w:rFonts w:ascii="Arial" w:hAnsi="Arial" w:cs="Arial"/>
        </w:rPr>
      </w:pPr>
    </w:p>
    <w:p w14:paraId="25902953" w14:textId="5071ACA2" w:rsidR="00307478" w:rsidRPr="00E419B7" w:rsidRDefault="00307478" w:rsidP="00E419B7">
      <w:pPr>
        <w:jc w:val="thaiDistribute"/>
        <w:rPr>
          <w:rFonts w:ascii="Arial" w:hAnsi="Arial" w:cs="Arial"/>
          <w:b/>
          <w:bCs/>
        </w:rPr>
      </w:pPr>
      <w:r w:rsidRPr="00E419B7">
        <w:rPr>
          <w:rFonts w:ascii="Arial" w:hAnsi="Arial" w:cs="Arial"/>
          <w:b/>
          <w:bCs/>
        </w:rPr>
        <w:t>6.3.4 Recommended priority actions including regional cooperation</w:t>
      </w:r>
      <w:commentRangeEnd w:id="32"/>
      <w:r w:rsidRPr="00E419B7">
        <w:rPr>
          <w:rStyle w:val="CommentReference"/>
          <w:rFonts w:ascii="Arial" w:hAnsi="Arial" w:cs="Arial"/>
          <w:b/>
          <w:bCs/>
        </w:rPr>
        <w:commentReference w:id="32"/>
      </w:r>
      <w:commentRangeEnd w:id="33"/>
      <w:r w:rsidR="005C740E" w:rsidRPr="00E419B7">
        <w:rPr>
          <w:rStyle w:val="CommentReference"/>
          <w:rFonts w:ascii="Arial" w:hAnsi="Arial" w:cs="Arial"/>
        </w:rPr>
        <w:commentReference w:id="33"/>
      </w:r>
    </w:p>
    <w:p w14:paraId="70468D06" w14:textId="77777777" w:rsidR="00307478" w:rsidRPr="00E419B7" w:rsidRDefault="00307478" w:rsidP="00E419B7">
      <w:pPr>
        <w:jc w:val="thaiDistribute"/>
        <w:rPr>
          <w:rFonts w:ascii="Arial" w:hAnsi="Arial" w:cs="Arial"/>
        </w:rPr>
      </w:pPr>
    </w:p>
    <w:p w14:paraId="5D46F1CA" w14:textId="069ED920" w:rsidR="00404EE8" w:rsidRPr="00E419B7" w:rsidRDefault="00404EE8" w:rsidP="00E419B7">
      <w:pPr>
        <w:spacing w:after="160" w:line="259" w:lineRule="auto"/>
        <w:jc w:val="thaiDistribute"/>
        <w:rPr>
          <w:rFonts w:ascii="Arial" w:hAnsi="Arial" w:cs="Arial"/>
        </w:rPr>
      </w:pPr>
      <w:r w:rsidRPr="00E419B7">
        <w:rPr>
          <w:rFonts w:ascii="Arial" w:hAnsi="Arial" w:cs="Arial"/>
        </w:rPr>
        <w:t>Based on identified risks and governance gaps, the following priority actions are recommended:</w:t>
      </w:r>
    </w:p>
    <w:p w14:paraId="0F0DE936" w14:textId="22E90C55" w:rsidR="009B3BA7" w:rsidRDefault="001E6536" w:rsidP="00F715DB">
      <w:pPr>
        <w:spacing w:after="160" w:line="259" w:lineRule="auto"/>
        <w:jc w:val="thaiDistribute"/>
        <w:rPr>
          <w:rFonts w:ascii="Arial" w:hAnsi="Arial" w:cs="Arial"/>
        </w:rPr>
      </w:pPr>
      <w:r w:rsidRPr="00E419B7">
        <w:rPr>
          <w:rFonts w:ascii="Arial" w:hAnsi="Arial" w:cs="Arial"/>
          <w:b/>
          <w:bCs/>
        </w:rPr>
        <w:t>1. Improve cross-sectoral and multi-level coordination.</w:t>
      </w:r>
    </w:p>
    <w:p w14:paraId="27097174" w14:textId="665AFFF0" w:rsidR="001E6536" w:rsidRDefault="001E6536" w:rsidP="00F715DB">
      <w:pPr>
        <w:spacing w:after="160" w:line="259" w:lineRule="auto"/>
        <w:jc w:val="thaiDistribute"/>
        <w:rPr>
          <w:rFonts w:ascii="Arial" w:hAnsi="Arial" w:cs="Arial"/>
        </w:rPr>
      </w:pPr>
      <w:r w:rsidRPr="00E419B7">
        <w:rPr>
          <w:rFonts w:ascii="Arial" w:hAnsi="Arial" w:cs="Arial"/>
        </w:rPr>
        <w:t>Enhance institutional linkages among DMCR, DCCE, DOF, ONEP, DNP, the Marine Department, and provincial authorities to ensure coherent implementation of national policies. Strengthening the operational effectiveness of coastal provincial committees—including regular meetings, clear agendas, and technical support—will be essential for more consistent provincial-level implementation.</w:t>
      </w:r>
    </w:p>
    <w:p w14:paraId="4C19912C" w14:textId="0BE32FE9" w:rsidR="009B3BA7" w:rsidRDefault="009B3BA7" w:rsidP="00F715DB">
      <w:pPr>
        <w:spacing w:after="160" w:line="259" w:lineRule="auto"/>
        <w:jc w:val="thaiDistribute"/>
        <w:rPr>
          <w:rFonts w:ascii="Arial" w:hAnsi="Arial" w:cs="Arial"/>
        </w:rPr>
      </w:pPr>
    </w:p>
    <w:p w14:paraId="25B1B8D7" w14:textId="77777777" w:rsidR="009B3BA7" w:rsidRPr="00E419B7" w:rsidRDefault="009B3BA7" w:rsidP="00E419B7">
      <w:pPr>
        <w:spacing w:after="160" w:line="259" w:lineRule="auto"/>
        <w:jc w:val="thaiDistribute"/>
        <w:rPr>
          <w:rFonts w:ascii="Arial" w:hAnsi="Arial" w:cs="Arial"/>
        </w:rPr>
      </w:pPr>
    </w:p>
    <w:p w14:paraId="2D67FDB6" w14:textId="618AE11C" w:rsidR="009B3BA7" w:rsidRDefault="001E6536" w:rsidP="00F715DB">
      <w:pPr>
        <w:spacing w:after="160" w:line="259" w:lineRule="auto"/>
        <w:jc w:val="thaiDistribute"/>
        <w:rPr>
          <w:rFonts w:ascii="Arial" w:hAnsi="Arial" w:cs="Arial"/>
        </w:rPr>
      </w:pPr>
      <w:r w:rsidRPr="00E419B7">
        <w:rPr>
          <w:rFonts w:ascii="Arial" w:hAnsi="Arial" w:cs="Arial"/>
          <w:b/>
          <w:bCs/>
        </w:rPr>
        <w:lastRenderedPageBreak/>
        <w:t>2. Enhance legal coherence for climate and environmental governance.</w:t>
      </w:r>
    </w:p>
    <w:p w14:paraId="30524589" w14:textId="2B245F47" w:rsidR="001E6536" w:rsidRPr="00E419B7" w:rsidRDefault="001E6536" w:rsidP="00E419B7">
      <w:pPr>
        <w:spacing w:after="160" w:line="259" w:lineRule="auto"/>
        <w:jc w:val="thaiDistribute"/>
        <w:rPr>
          <w:rFonts w:ascii="Arial" w:hAnsi="Arial" w:cs="Arial"/>
        </w:rPr>
      </w:pPr>
      <w:r w:rsidRPr="00E419B7">
        <w:rPr>
          <w:rFonts w:ascii="Arial" w:hAnsi="Arial" w:cs="Arial"/>
        </w:rPr>
        <w:t xml:space="preserve">Finalizing and enacting the draft </w:t>
      </w:r>
      <w:r w:rsidRPr="00E419B7">
        <w:rPr>
          <w:rFonts w:ascii="Arial" w:hAnsi="Arial" w:cs="Arial"/>
          <w:i/>
          <w:iCs/>
        </w:rPr>
        <w:t>Climate Change Act</w:t>
      </w:r>
      <w:r w:rsidRPr="00E419B7">
        <w:rPr>
          <w:rFonts w:ascii="Arial" w:hAnsi="Arial" w:cs="Arial"/>
        </w:rPr>
        <w:t xml:space="preserve"> should be prioritized to provide a binding legal framework for climate action. Aligning climate-related frameworks with the Marine and Coastal Resources Management Act (2015), National Adaptation Plan, and marine spatial planning processes will support integrated land–sea management and long-term resilience planning.</w:t>
      </w:r>
    </w:p>
    <w:p w14:paraId="169996DC" w14:textId="27EACCE9" w:rsidR="009B3BA7" w:rsidRDefault="001E6536" w:rsidP="00F715DB">
      <w:pPr>
        <w:spacing w:after="160" w:line="259" w:lineRule="auto"/>
        <w:jc w:val="thaiDistribute"/>
        <w:rPr>
          <w:rFonts w:ascii="Arial" w:hAnsi="Arial" w:cs="Arial"/>
        </w:rPr>
      </w:pPr>
      <w:r w:rsidRPr="00E419B7">
        <w:rPr>
          <w:rFonts w:ascii="Arial" w:hAnsi="Arial" w:cs="Arial"/>
          <w:b/>
          <w:bCs/>
        </w:rPr>
        <w:t>3. Strengthen provincial implementation capacity.</w:t>
      </w:r>
    </w:p>
    <w:p w14:paraId="5F425CCE" w14:textId="1B188456" w:rsidR="001E6536" w:rsidRPr="00E419B7" w:rsidRDefault="001E6536" w:rsidP="00E419B7">
      <w:pPr>
        <w:spacing w:after="160" w:line="259" w:lineRule="auto"/>
        <w:jc w:val="thaiDistribute"/>
        <w:rPr>
          <w:rFonts w:ascii="Arial" w:hAnsi="Arial" w:cs="Arial"/>
        </w:rPr>
      </w:pPr>
      <w:r w:rsidRPr="00E419B7">
        <w:rPr>
          <w:rFonts w:ascii="Arial" w:hAnsi="Arial" w:cs="Arial"/>
        </w:rPr>
        <w:t>Increase technical staffing, financial resources, and targeted training for provincial and local authorities, particularly in areas facing high exposure to coastal erosion, flooding, pollution, and fisheries pressures. Integrating climate risk assessments into local planning and enhancing monitoring capacity will improve adaptive responses.</w:t>
      </w:r>
    </w:p>
    <w:p w14:paraId="477F720B" w14:textId="75C3C309" w:rsidR="009B3BA7" w:rsidRDefault="001E6536" w:rsidP="00F715DB">
      <w:pPr>
        <w:spacing w:after="160" w:line="259" w:lineRule="auto"/>
        <w:jc w:val="thaiDistribute"/>
        <w:rPr>
          <w:rFonts w:ascii="Arial" w:hAnsi="Arial" w:cs="Arial"/>
        </w:rPr>
      </w:pPr>
      <w:r w:rsidRPr="00E419B7">
        <w:rPr>
          <w:rFonts w:ascii="Arial" w:hAnsi="Arial" w:cs="Arial"/>
          <w:b/>
          <w:bCs/>
        </w:rPr>
        <w:t>4. Promote inclusive and equitable stakeholder participation.</w:t>
      </w:r>
    </w:p>
    <w:p w14:paraId="0FEF21FB" w14:textId="4FA351A1" w:rsidR="001E6536" w:rsidRPr="00E419B7" w:rsidRDefault="001E6536" w:rsidP="00E419B7">
      <w:pPr>
        <w:spacing w:after="160" w:line="259" w:lineRule="auto"/>
        <w:jc w:val="thaiDistribute"/>
        <w:rPr>
          <w:rFonts w:ascii="Arial" w:hAnsi="Arial" w:cs="Arial"/>
        </w:rPr>
      </w:pPr>
      <w:r w:rsidRPr="00E419B7">
        <w:rPr>
          <w:rFonts w:ascii="Arial" w:hAnsi="Arial" w:cs="Arial"/>
        </w:rPr>
        <w:t>Enhance mechanisms for the meaningful involvement of small-scale fishers, women, and community-based organizations in provincial decision-making processes. Expanding representation and improving transparency can strengthen governance legitimacy and support socially just outcomes.</w:t>
      </w:r>
    </w:p>
    <w:p w14:paraId="3640AD3D" w14:textId="721E198B" w:rsidR="009B3BA7" w:rsidRDefault="001E6536" w:rsidP="00F715DB">
      <w:pPr>
        <w:spacing w:after="160" w:line="259" w:lineRule="auto"/>
        <w:jc w:val="thaiDistribute"/>
        <w:rPr>
          <w:rFonts w:ascii="Arial" w:hAnsi="Arial" w:cs="Arial"/>
        </w:rPr>
      </w:pPr>
      <w:r w:rsidRPr="00E419B7">
        <w:rPr>
          <w:rFonts w:ascii="Arial" w:hAnsi="Arial" w:cs="Arial"/>
          <w:b/>
          <w:bCs/>
        </w:rPr>
        <w:t>5. Accelerate ecosystem protection and climate-resilient management.</w:t>
      </w:r>
    </w:p>
    <w:p w14:paraId="63F7572C" w14:textId="5D26D831" w:rsidR="001E6536" w:rsidRPr="00E419B7" w:rsidRDefault="001E6536" w:rsidP="00E419B7">
      <w:pPr>
        <w:spacing w:after="160" w:line="259" w:lineRule="auto"/>
        <w:jc w:val="thaiDistribute"/>
        <w:rPr>
          <w:rFonts w:ascii="Arial" w:hAnsi="Arial" w:cs="Arial"/>
        </w:rPr>
      </w:pPr>
      <w:r w:rsidRPr="00E419B7">
        <w:rPr>
          <w:rFonts w:ascii="Arial" w:hAnsi="Arial" w:cs="Arial"/>
        </w:rPr>
        <w:t>Scale up mangrove, seagrass, and coral reef restoration; strengthen pollution control; and expand protected area management using nature-based and ecosystem-based approaches. Improving enforcement and compliance mechanisms will be critical for reducing ecosystem stresses.</w:t>
      </w:r>
    </w:p>
    <w:p w14:paraId="0A73B58A" w14:textId="07C6CB48" w:rsidR="009B3BA7" w:rsidRDefault="001E6536" w:rsidP="00F715DB">
      <w:pPr>
        <w:spacing w:after="160" w:line="259" w:lineRule="auto"/>
        <w:jc w:val="thaiDistribute"/>
        <w:rPr>
          <w:rFonts w:ascii="Arial" w:hAnsi="Arial" w:cs="Arial"/>
        </w:rPr>
      </w:pPr>
      <w:r w:rsidRPr="00E419B7">
        <w:rPr>
          <w:rFonts w:ascii="Arial" w:hAnsi="Arial" w:cs="Arial"/>
          <w:b/>
          <w:bCs/>
        </w:rPr>
        <w:t>6. Strengthen data integration and science–policy linkages.</w:t>
      </w:r>
    </w:p>
    <w:p w14:paraId="22D82DA5" w14:textId="1E67AD65" w:rsidR="001E6536" w:rsidRPr="00E419B7" w:rsidRDefault="001E6536" w:rsidP="00E419B7">
      <w:pPr>
        <w:spacing w:after="160" w:line="259" w:lineRule="auto"/>
        <w:jc w:val="thaiDistribute"/>
        <w:rPr>
          <w:rFonts w:ascii="Arial" w:hAnsi="Arial" w:cs="Arial"/>
        </w:rPr>
      </w:pPr>
      <w:r w:rsidRPr="00E419B7">
        <w:rPr>
          <w:rFonts w:ascii="Arial" w:hAnsi="Arial" w:cs="Arial"/>
        </w:rPr>
        <w:t>Develop interoperable data systems among national agencies and increase the use of shared datasets for planning and decision-making. Enhancing collaboration with research institutions will support monitoring of environmental change, fisheries productivity, and climate impacts.</w:t>
      </w:r>
    </w:p>
    <w:p w14:paraId="6810E0AC" w14:textId="70713E47" w:rsidR="009B3BA7" w:rsidRDefault="001E6536" w:rsidP="00F715DB">
      <w:pPr>
        <w:spacing w:after="160" w:line="259" w:lineRule="auto"/>
        <w:jc w:val="thaiDistribute"/>
        <w:rPr>
          <w:rFonts w:ascii="Arial" w:hAnsi="Arial" w:cs="Arial"/>
        </w:rPr>
      </w:pPr>
      <w:r w:rsidRPr="00E419B7">
        <w:rPr>
          <w:rFonts w:ascii="Arial" w:hAnsi="Arial" w:cs="Arial"/>
          <w:b/>
          <w:bCs/>
        </w:rPr>
        <w:t>7. Enhance regional cooperation in the South China Sea.</w:t>
      </w:r>
    </w:p>
    <w:p w14:paraId="5A5BD3AE" w14:textId="1871FD58" w:rsidR="001E6536" w:rsidRPr="00E419B7" w:rsidRDefault="001E6536" w:rsidP="00E419B7">
      <w:pPr>
        <w:spacing w:after="160" w:line="259" w:lineRule="auto"/>
        <w:jc w:val="thaiDistribute"/>
        <w:rPr>
          <w:rFonts w:ascii="Arial" w:hAnsi="Arial" w:cs="Arial"/>
        </w:rPr>
      </w:pPr>
      <w:r w:rsidRPr="00E419B7">
        <w:rPr>
          <w:rFonts w:ascii="Arial" w:hAnsi="Arial" w:cs="Arial"/>
        </w:rPr>
        <w:t>Deepen engagement through ASEAN, COBSEA, PEMSEA, SEAFDEC, and UNEP/GEF platforms to improve coordinated monitoring of marine pollution, management of shared fish stocks, exchange of adaptation practices, and development of regional early warning systems. Establishing regional protocols for data-sharing and transboundary ecosystem management should be prioritized.</w:t>
      </w:r>
    </w:p>
    <w:p w14:paraId="52ACE093" w14:textId="436F21AE" w:rsidR="009B3BA7" w:rsidRDefault="001E6536" w:rsidP="00E419B7">
      <w:pPr>
        <w:spacing w:before="120" w:after="120"/>
        <w:jc w:val="thaiDistribute"/>
        <w:rPr>
          <w:rFonts w:ascii="Arial" w:hAnsi="Arial" w:cs="Arial"/>
        </w:rPr>
      </w:pPr>
      <w:r w:rsidRPr="00E419B7">
        <w:rPr>
          <w:rFonts w:ascii="Arial" w:hAnsi="Arial" w:cs="Arial"/>
          <w:b/>
          <w:bCs/>
        </w:rPr>
        <w:t>8. Mobilize sustainable and long-term financing.</w:t>
      </w:r>
    </w:p>
    <w:p w14:paraId="018E21B6" w14:textId="2F9DCEED" w:rsidR="00034137" w:rsidRPr="00E419B7" w:rsidRDefault="001E6536" w:rsidP="00E419B7">
      <w:pPr>
        <w:spacing w:before="120" w:after="120"/>
        <w:jc w:val="thaiDistribute"/>
        <w:rPr>
          <w:rFonts w:ascii="Arial" w:hAnsi="Arial" w:cs="Arial"/>
          <w:b/>
          <w:bCs/>
          <w:sz w:val="28"/>
          <w:szCs w:val="28"/>
        </w:rPr>
      </w:pPr>
      <w:r w:rsidRPr="00E419B7">
        <w:rPr>
          <w:rFonts w:ascii="Arial" w:hAnsi="Arial" w:cs="Arial"/>
        </w:rPr>
        <w:t>Strengthen domestic budgeting for climate and coastal management and explore regional and international financing mechanisms, including climate funds, blue carbon financing, and blended finance instruments to support implementation and monitoring at national and provincial levels.</w:t>
      </w:r>
    </w:p>
    <w:p w14:paraId="4532C1B9" w14:textId="198C56A1" w:rsidR="00267D61" w:rsidRPr="00E419B7" w:rsidRDefault="000A367B" w:rsidP="00E419B7">
      <w:pPr>
        <w:pStyle w:val="ListParagraph"/>
        <w:numPr>
          <w:ilvl w:val="1"/>
          <w:numId w:val="87"/>
        </w:numPr>
        <w:jc w:val="thaiDistribute"/>
        <w:rPr>
          <w:rFonts w:ascii="Arial" w:hAnsi="Arial" w:cs="Arial"/>
          <w:b/>
          <w:bCs/>
          <w:sz w:val="28"/>
          <w:szCs w:val="28"/>
        </w:rPr>
      </w:pPr>
      <w:r w:rsidRPr="00E419B7">
        <w:rPr>
          <w:rFonts w:ascii="Arial" w:hAnsi="Arial" w:cs="Arial"/>
          <w:b/>
          <w:bCs/>
          <w:sz w:val="28"/>
          <w:szCs w:val="28"/>
        </w:rPr>
        <w:lastRenderedPageBreak/>
        <w:t xml:space="preserve">Methodology and analysis </w:t>
      </w:r>
    </w:p>
    <w:p w14:paraId="2F64E309" w14:textId="77777777" w:rsidR="00404EE8" w:rsidRPr="00E419B7" w:rsidRDefault="00404EE8" w:rsidP="00E419B7">
      <w:pPr>
        <w:pStyle w:val="ListParagraph"/>
        <w:ind w:left="900"/>
        <w:jc w:val="thaiDistribute"/>
        <w:rPr>
          <w:rFonts w:ascii="Arial" w:hAnsi="Arial" w:cs="Arial"/>
          <w:b/>
          <w:bCs/>
          <w:sz w:val="28"/>
          <w:szCs w:val="28"/>
        </w:rPr>
      </w:pPr>
    </w:p>
    <w:p w14:paraId="1B7585DF" w14:textId="16FC57C6" w:rsidR="00867078" w:rsidRPr="00E419B7" w:rsidRDefault="00034137" w:rsidP="00E419B7">
      <w:pPr>
        <w:spacing w:before="120" w:after="120"/>
        <w:jc w:val="thaiDistribute"/>
        <w:rPr>
          <w:rFonts w:ascii="Arial" w:hAnsi="Arial" w:cs="Arial"/>
        </w:rPr>
      </w:pPr>
      <w:r w:rsidRPr="00E419B7">
        <w:rPr>
          <w:rFonts w:ascii="Arial" w:hAnsi="Arial" w:cs="Arial"/>
        </w:rPr>
        <w:t xml:space="preserve">This governance assessment was conducted using a desk-based analytical approach combined with comparative indicator-based evaluation, aligned with the Transboundary Water Assessment </w:t>
      </w:r>
      <w:proofErr w:type="spellStart"/>
      <w:r w:rsidRPr="00E419B7">
        <w:rPr>
          <w:rFonts w:ascii="Arial" w:hAnsi="Arial" w:cs="Arial"/>
        </w:rPr>
        <w:t>Programme</w:t>
      </w:r>
      <w:proofErr w:type="spellEnd"/>
      <w:r w:rsidRPr="00E419B7">
        <w:rPr>
          <w:rFonts w:ascii="Arial" w:hAnsi="Arial" w:cs="Arial"/>
        </w:rPr>
        <w:t xml:space="preserve"> (TWAP) Governance Architecture Assessment Framework (Fanning et al., 2017). The analysis focuses on four core governance components: economic arrangements, institutional setting, legal and policy frameworks, and civil society and stakeholder engagement.</w:t>
      </w:r>
    </w:p>
    <w:p w14:paraId="6367C428" w14:textId="77777777" w:rsidR="00034137" w:rsidRPr="00E419B7" w:rsidRDefault="00034137" w:rsidP="00E419B7">
      <w:pPr>
        <w:spacing w:before="120" w:after="120"/>
        <w:jc w:val="thaiDistribute"/>
        <w:rPr>
          <w:rFonts w:ascii="Arial" w:hAnsi="Arial" w:cs="Arial"/>
        </w:rPr>
      </w:pPr>
      <w:bookmarkStart w:id="36" w:name="_Hlk214619300"/>
      <w:r w:rsidRPr="00E419B7">
        <w:rPr>
          <w:rFonts w:ascii="Arial" w:hAnsi="Arial" w:cs="Arial"/>
        </w:rPr>
        <w:t>Data were compiled through a desk-based review of official government documents, national strategies and legislation, budget and investment statistics, international reporting instruments, and peer-reviewed literature. Key national data sources included the Department of Marine and Coastal Resources (DMCR), Office of the National Economic and Social Development Council (NESDC), Bureau of the Budget, Board of Investment (BOI), and relevant ministry reports. International governance indicators, including the World Bank Worldwide Governance Indicators and the Environmental Performance Index (EPI), were used to contextualize national governance performance.</w:t>
      </w:r>
    </w:p>
    <w:p w14:paraId="3FE8146F" w14:textId="77777777" w:rsidR="00034137" w:rsidRPr="00E419B7" w:rsidRDefault="00034137" w:rsidP="00E419B7">
      <w:pPr>
        <w:spacing w:before="120" w:after="120"/>
        <w:jc w:val="thaiDistribute"/>
        <w:rPr>
          <w:rFonts w:ascii="Arial" w:hAnsi="Arial" w:cs="Arial"/>
        </w:rPr>
      </w:pPr>
      <w:r w:rsidRPr="00E419B7">
        <w:rPr>
          <w:rFonts w:ascii="Arial" w:hAnsi="Arial" w:cs="Arial"/>
        </w:rPr>
        <w:t>To assess transboundary governance architecture, Thailand’s national governance system was evaluated using the TWAP Governance Architecture Assessment Framework, based on three dimensions: completeness, integration, and engagement. A structured self-assessment was conducted using expert judgment informed by institutional mandates, legal coverage, participation mechanisms, and inter-agency coordination arrangements. Supporting quantitative and qualitative evidence from previous regional studies and project reports was used to validate the assessment results.</w:t>
      </w:r>
    </w:p>
    <w:p w14:paraId="2CAD21A7" w14:textId="77777777" w:rsidR="00034137" w:rsidRPr="00E419B7" w:rsidRDefault="00034137" w:rsidP="00E419B7">
      <w:pPr>
        <w:spacing w:before="120" w:after="120"/>
        <w:jc w:val="thaiDistribute"/>
        <w:rPr>
          <w:rFonts w:ascii="Arial" w:hAnsi="Arial" w:cs="Arial"/>
        </w:rPr>
      </w:pPr>
      <w:r w:rsidRPr="00E419B7">
        <w:rPr>
          <w:rFonts w:ascii="Arial" w:hAnsi="Arial" w:cs="Arial"/>
        </w:rPr>
        <w:t>The analysis integrates findings across governance components to identify systemic strengths, gaps, risks, and enabling conditions relevant to transboundary ecosystem management. Particular attention is given to stakeholder participation, inter-sectoral coordination, financing capacity, and implementation effectiveness at both national and provincial levels. All detailed datasets, methodological tools, and supplementary materials used in this assessment are provided in the Annexes to support transparency and replicability.</w:t>
      </w:r>
    </w:p>
    <w:p w14:paraId="79398F85" w14:textId="77777777" w:rsidR="002A4C93" w:rsidRDefault="002A4C93" w:rsidP="00B20E44">
      <w:pPr>
        <w:spacing w:before="120" w:after="120"/>
        <w:jc w:val="thaiDistribute"/>
        <w:rPr>
          <w:rFonts w:ascii="Arial" w:hAnsi="Arial" w:cs="Arial"/>
          <w:b/>
          <w:bCs/>
        </w:rPr>
      </w:pPr>
    </w:p>
    <w:p w14:paraId="4D0B965C" w14:textId="15B5C454" w:rsidR="00EE39D4" w:rsidRPr="00F052B0" w:rsidRDefault="00EE39D4" w:rsidP="00B20E44">
      <w:pPr>
        <w:spacing w:before="120" w:after="120"/>
        <w:jc w:val="thaiDistribute"/>
        <w:rPr>
          <w:rFonts w:ascii="Arial" w:hAnsi="Arial" w:cs="Arial"/>
          <w:color w:val="EE0000"/>
        </w:rPr>
      </w:pPr>
      <w:r w:rsidRPr="00F052B0">
        <w:rPr>
          <w:rFonts w:ascii="Arial" w:hAnsi="Arial" w:cs="Arial"/>
          <w:b/>
          <w:bCs/>
          <w:color w:val="EE0000"/>
        </w:rPr>
        <w:t>Glossary</w:t>
      </w:r>
    </w:p>
    <w:p w14:paraId="5C84C335" w14:textId="77777777" w:rsidR="002A4C93" w:rsidRPr="00F052B0" w:rsidRDefault="00EE39D4" w:rsidP="00F052B0">
      <w:pPr>
        <w:jc w:val="thaiDistribute"/>
        <w:rPr>
          <w:rFonts w:ascii="Arial" w:hAnsi="Arial" w:cs="Arial"/>
          <w:color w:val="EE0000"/>
        </w:rPr>
      </w:pPr>
      <w:r w:rsidRPr="00F052B0">
        <w:rPr>
          <w:rFonts w:ascii="Arial" w:hAnsi="Arial" w:cs="Arial"/>
          <w:color w:val="EE0000"/>
        </w:rPr>
        <w:t>DMCR</w:t>
      </w:r>
      <w:r w:rsidRPr="00F052B0">
        <w:rPr>
          <w:rFonts w:ascii="Arial" w:hAnsi="Arial" w:cs="Arial"/>
          <w:color w:val="EE0000"/>
        </w:rPr>
        <w:tab/>
      </w:r>
      <w:r w:rsidRPr="00F052B0">
        <w:rPr>
          <w:rFonts w:ascii="Arial" w:hAnsi="Arial" w:cs="Arial"/>
          <w:color w:val="EE0000"/>
        </w:rPr>
        <w:tab/>
        <w:t xml:space="preserve">Department of Marine and Coastal Resources </w:t>
      </w:r>
    </w:p>
    <w:p w14:paraId="6828A4C8" w14:textId="46A2832A" w:rsidR="002A4C93" w:rsidRPr="00F052B0" w:rsidRDefault="002A4C93" w:rsidP="00F052B0">
      <w:pPr>
        <w:jc w:val="thaiDistribute"/>
        <w:rPr>
          <w:rFonts w:ascii="Arial" w:hAnsi="Arial" w:cs="Arial"/>
          <w:color w:val="EE0000"/>
        </w:rPr>
      </w:pPr>
      <w:r w:rsidRPr="00F052B0">
        <w:rPr>
          <w:rFonts w:ascii="Arial" w:hAnsi="Arial" w:cs="Arial"/>
          <w:color w:val="EE0000"/>
        </w:rPr>
        <w:t>DCCE</w:t>
      </w:r>
      <w:r w:rsidRPr="00F052B0">
        <w:rPr>
          <w:rFonts w:ascii="Arial" w:hAnsi="Arial" w:cs="Arial"/>
          <w:color w:val="EE0000"/>
        </w:rPr>
        <w:tab/>
      </w:r>
      <w:r w:rsidRPr="00F052B0">
        <w:rPr>
          <w:rFonts w:ascii="Arial" w:hAnsi="Arial" w:cs="Arial"/>
          <w:color w:val="EE0000"/>
        </w:rPr>
        <w:tab/>
        <w:t>Department of Climate Change and Environment, the primary</w:t>
      </w:r>
    </w:p>
    <w:p w14:paraId="7A468AC2" w14:textId="666EBB77" w:rsidR="002A4C93" w:rsidRPr="00F052B0" w:rsidRDefault="002A4C93" w:rsidP="00F052B0">
      <w:pPr>
        <w:ind w:left="720" w:firstLine="720"/>
        <w:jc w:val="thaiDistribute"/>
        <w:rPr>
          <w:rFonts w:ascii="Arial" w:hAnsi="Arial" w:cs="Arial"/>
          <w:color w:val="EE0000"/>
        </w:rPr>
      </w:pPr>
      <w:r w:rsidRPr="00F052B0">
        <w:rPr>
          <w:rFonts w:ascii="Arial" w:hAnsi="Arial" w:cs="Arial"/>
          <w:color w:val="EE0000"/>
        </w:rPr>
        <w:t>A government agency in Thailand responsible for climate policy and</w:t>
      </w:r>
    </w:p>
    <w:p w14:paraId="02131B73" w14:textId="77777777" w:rsidR="002A4C93" w:rsidRPr="00F052B0" w:rsidRDefault="002A4C93" w:rsidP="00F052B0">
      <w:pPr>
        <w:ind w:left="720" w:firstLine="720"/>
        <w:jc w:val="thaiDistribute"/>
        <w:rPr>
          <w:rFonts w:ascii="Arial" w:hAnsi="Arial" w:cstheme="minorBidi"/>
          <w:color w:val="EE0000"/>
        </w:rPr>
      </w:pPr>
      <w:r w:rsidRPr="00F052B0">
        <w:rPr>
          <w:rFonts w:ascii="Arial" w:hAnsi="Arial" w:cs="Arial"/>
          <w:color w:val="EE0000"/>
        </w:rPr>
        <w:t>environmental management</w:t>
      </w:r>
      <w:r w:rsidRPr="00F052B0">
        <w:rPr>
          <w:rFonts w:ascii="Arial" w:hAnsi="Arial" w:cs="Arial"/>
          <w:color w:val="EE0000"/>
          <w:cs/>
        </w:rPr>
        <w:t>.</w:t>
      </w:r>
    </w:p>
    <w:p w14:paraId="33A091DC" w14:textId="4568FAC9" w:rsidR="00C43F12" w:rsidRPr="00F052B0" w:rsidRDefault="00C43F12" w:rsidP="00F052B0">
      <w:pPr>
        <w:jc w:val="thaiDistribute"/>
        <w:rPr>
          <w:rFonts w:ascii="Arial" w:hAnsi="Arial" w:cstheme="minorBidi"/>
          <w:color w:val="EE0000"/>
        </w:rPr>
      </w:pPr>
      <w:r w:rsidRPr="00F052B0">
        <w:rPr>
          <w:rFonts w:ascii="Arial" w:hAnsi="Arial" w:cstheme="minorBidi"/>
          <w:color w:val="EE0000"/>
        </w:rPr>
        <w:t xml:space="preserve">DOF </w:t>
      </w:r>
      <w:r w:rsidR="00A549AA" w:rsidRPr="00F052B0">
        <w:rPr>
          <w:rFonts w:ascii="Arial" w:hAnsi="Arial" w:cstheme="minorBidi"/>
          <w:color w:val="EE0000"/>
        </w:rPr>
        <w:tab/>
      </w:r>
      <w:r w:rsidR="00A549AA" w:rsidRPr="00F052B0">
        <w:rPr>
          <w:rFonts w:ascii="Arial" w:hAnsi="Arial" w:cstheme="minorBidi"/>
          <w:color w:val="EE0000"/>
        </w:rPr>
        <w:tab/>
        <w:t xml:space="preserve">Department of Fisheries </w:t>
      </w:r>
    </w:p>
    <w:p w14:paraId="099FF5E5" w14:textId="2CB03C79" w:rsidR="002A4C93" w:rsidRPr="00F052B0" w:rsidRDefault="002A4C93" w:rsidP="00F052B0">
      <w:pPr>
        <w:jc w:val="thaiDistribute"/>
        <w:rPr>
          <w:rFonts w:ascii="Arial" w:hAnsi="Arial" w:cs="Arial"/>
          <w:color w:val="EE0000"/>
        </w:rPr>
      </w:pPr>
      <w:r w:rsidRPr="00F052B0">
        <w:rPr>
          <w:rFonts w:ascii="Arial" w:hAnsi="Arial" w:cs="Arial"/>
          <w:color w:val="EE0000"/>
        </w:rPr>
        <w:t xml:space="preserve">GDP </w:t>
      </w:r>
      <w:r w:rsidRPr="00F052B0">
        <w:rPr>
          <w:rFonts w:ascii="Arial" w:hAnsi="Arial" w:cs="Arial"/>
          <w:color w:val="EE0000"/>
        </w:rPr>
        <w:tab/>
      </w:r>
      <w:r w:rsidRPr="00F052B0">
        <w:rPr>
          <w:rFonts w:ascii="Arial" w:hAnsi="Arial" w:cs="Arial"/>
          <w:color w:val="EE0000"/>
        </w:rPr>
        <w:tab/>
        <w:t>Gross Domestic Product: the total monetary or market value of all</w:t>
      </w:r>
    </w:p>
    <w:p w14:paraId="58A90D3C" w14:textId="77777777" w:rsidR="002A4C93" w:rsidRPr="00F052B0" w:rsidRDefault="002A4C93" w:rsidP="00F052B0">
      <w:pPr>
        <w:ind w:left="720" w:firstLine="720"/>
        <w:jc w:val="thaiDistribute"/>
        <w:rPr>
          <w:rFonts w:ascii="Arial" w:hAnsi="Arial" w:cs="Arial"/>
          <w:color w:val="EE0000"/>
        </w:rPr>
      </w:pPr>
      <w:r w:rsidRPr="00F052B0">
        <w:rPr>
          <w:rFonts w:ascii="Arial" w:hAnsi="Arial" w:cs="Arial"/>
          <w:color w:val="EE0000"/>
        </w:rPr>
        <w:t>the finished goods and services produced within a country's</w:t>
      </w:r>
    </w:p>
    <w:p w14:paraId="13086CD1" w14:textId="77777777" w:rsidR="002A4C93" w:rsidRPr="00F052B0" w:rsidRDefault="002A4C93" w:rsidP="00F052B0">
      <w:pPr>
        <w:ind w:left="720" w:firstLine="720"/>
        <w:jc w:val="thaiDistribute"/>
        <w:rPr>
          <w:rFonts w:ascii="Arial" w:hAnsi="Arial" w:cs="Arial"/>
          <w:color w:val="EE0000"/>
        </w:rPr>
      </w:pPr>
      <w:r w:rsidRPr="00F052B0">
        <w:rPr>
          <w:rFonts w:ascii="Arial" w:hAnsi="Arial" w:cs="Arial"/>
          <w:color w:val="EE0000"/>
        </w:rPr>
        <w:t>borders in a specific time period</w:t>
      </w:r>
      <w:r w:rsidRPr="00F052B0">
        <w:rPr>
          <w:rFonts w:ascii="Arial" w:hAnsi="Arial" w:cs="Arial"/>
          <w:color w:val="EE0000"/>
          <w:cs/>
        </w:rPr>
        <w:t>.</w:t>
      </w:r>
    </w:p>
    <w:p w14:paraId="55BA6540" w14:textId="77777777" w:rsidR="002A4C93" w:rsidRPr="00F052B0" w:rsidRDefault="002A4C93" w:rsidP="00F052B0">
      <w:pPr>
        <w:jc w:val="thaiDistribute"/>
        <w:rPr>
          <w:rFonts w:ascii="Arial" w:hAnsi="Arial" w:cs="Arial"/>
          <w:color w:val="EE0000"/>
        </w:rPr>
      </w:pPr>
      <w:r w:rsidRPr="00F052B0">
        <w:rPr>
          <w:rFonts w:ascii="Arial" w:hAnsi="Arial" w:cs="Arial"/>
          <w:color w:val="EE0000"/>
        </w:rPr>
        <w:t>GPP</w:t>
      </w:r>
      <w:r w:rsidRPr="00F052B0">
        <w:rPr>
          <w:rFonts w:ascii="Arial" w:hAnsi="Arial" w:cs="Arial"/>
          <w:color w:val="EE0000"/>
        </w:rPr>
        <w:tab/>
      </w:r>
      <w:r w:rsidRPr="00F052B0">
        <w:rPr>
          <w:rFonts w:ascii="Arial" w:hAnsi="Arial" w:cs="Arial"/>
          <w:color w:val="EE0000"/>
        </w:rPr>
        <w:tab/>
        <w:t>Gross Provincial Product; the total economic value of all final</w:t>
      </w:r>
    </w:p>
    <w:p w14:paraId="6ACB37F7" w14:textId="77777777" w:rsidR="002A4C93" w:rsidRPr="00F052B0" w:rsidRDefault="002A4C93" w:rsidP="00F052B0">
      <w:pPr>
        <w:ind w:left="720" w:firstLine="720"/>
        <w:jc w:val="thaiDistribute"/>
        <w:rPr>
          <w:rFonts w:ascii="Arial" w:hAnsi="Arial" w:cs="Arial"/>
          <w:color w:val="EE0000"/>
        </w:rPr>
      </w:pPr>
      <w:r w:rsidRPr="00F052B0">
        <w:rPr>
          <w:rFonts w:ascii="Arial" w:hAnsi="Arial" w:cs="Arial"/>
          <w:color w:val="EE0000"/>
        </w:rPr>
        <w:t>goods and services produced within a specific province during a</w:t>
      </w:r>
    </w:p>
    <w:p w14:paraId="4B8B8CF4" w14:textId="77777777" w:rsidR="002A4C93" w:rsidRPr="00F052B0" w:rsidRDefault="002A4C93" w:rsidP="00F052B0">
      <w:pPr>
        <w:ind w:left="720" w:firstLine="720"/>
        <w:jc w:val="thaiDistribute"/>
        <w:rPr>
          <w:rFonts w:ascii="Arial" w:hAnsi="Arial" w:cs="Arial"/>
          <w:color w:val="EE0000"/>
        </w:rPr>
      </w:pPr>
      <w:r w:rsidRPr="00F052B0">
        <w:rPr>
          <w:rFonts w:ascii="Arial" w:hAnsi="Arial" w:cs="Arial"/>
          <w:color w:val="EE0000"/>
        </w:rPr>
        <w:t>given period</w:t>
      </w:r>
      <w:r w:rsidRPr="00F052B0">
        <w:rPr>
          <w:rFonts w:ascii="Arial" w:hAnsi="Arial" w:cs="Arial"/>
          <w:color w:val="EE0000"/>
          <w:cs/>
        </w:rPr>
        <w:t>.</w:t>
      </w:r>
      <w:r w:rsidRPr="00F052B0">
        <w:rPr>
          <w:rFonts w:ascii="Arial" w:hAnsi="Arial" w:cs="Arial"/>
          <w:color w:val="EE0000"/>
        </w:rPr>
        <w:t xml:space="preserve"> </w:t>
      </w:r>
    </w:p>
    <w:p w14:paraId="14E71EDB" w14:textId="145F426B" w:rsidR="00C43F12" w:rsidRPr="00F052B0" w:rsidRDefault="00C43F12" w:rsidP="00F052B0">
      <w:pPr>
        <w:jc w:val="thaiDistribute"/>
        <w:rPr>
          <w:rFonts w:ascii="Arial" w:hAnsi="Arial" w:cs="Arial"/>
          <w:color w:val="EE0000"/>
        </w:rPr>
      </w:pPr>
      <w:r w:rsidRPr="00F052B0">
        <w:rPr>
          <w:rFonts w:ascii="Arial" w:hAnsi="Arial" w:cs="Arial"/>
          <w:color w:val="EE0000"/>
        </w:rPr>
        <w:lastRenderedPageBreak/>
        <w:t>TDA</w:t>
      </w:r>
      <w:r w:rsidRPr="00F052B0">
        <w:rPr>
          <w:rFonts w:ascii="Arial" w:hAnsi="Arial" w:cs="Arial"/>
          <w:color w:val="EE0000"/>
        </w:rPr>
        <w:tab/>
      </w:r>
      <w:r w:rsidRPr="00F052B0">
        <w:rPr>
          <w:rFonts w:ascii="Arial" w:hAnsi="Arial" w:cs="Arial"/>
          <w:color w:val="EE0000"/>
        </w:rPr>
        <w:tab/>
        <w:t>Transboundary Diagnostic Analysis</w:t>
      </w:r>
    </w:p>
    <w:p w14:paraId="62065A33" w14:textId="197104C5" w:rsidR="00C43F12" w:rsidRPr="00F052B0" w:rsidRDefault="00C43F12" w:rsidP="00A549AA">
      <w:pPr>
        <w:ind w:left="720" w:hanging="720"/>
        <w:jc w:val="thaiDistribute"/>
        <w:rPr>
          <w:rFonts w:ascii="Arial" w:hAnsi="Arial" w:cs="Arial"/>
          <w:color w:val="EE0000"/>
        </w:rPr>
      </w:pPr>
      <w:r w:rsidRPr="00F052B0">
        <w:rPr>
          <w:rFonts w:ascii="Arial" w:hAnsi="Arial" w:cs="Arial"/>
          <w:color w:val="EE0000"/>
        </w:rPr>
        <w:t xml:space="preserve">TWAP </w:t>
      </w:r>
      <w:r w:rsidRPr="00F052B0">
        <w:rPr>
          <w:rFonts w:ascii="Arial" w:hAnsi="Arial" w:cs="Arial"/>
          <w:color w:val="EE0000"/>
        </w:rPr>
        <w:tab/>
        <w:t xml:space="preserve">Transboundary Water Assessment </w:t>
      </w:r>
      <w:proofErr w:type="spellStart"/>
      <w:r w:rsidRPr="00F052B0">
        <w:rPr>
          <w:rFonts w:ascii="Arial" w:hAnsi="Arial" w:cs="Arial"/>
          <w:color w:val="EE0000"/>
        </w:rPr>
        <w:t>Programme</w:t>
      </w:r>
      <w:proofErr w:type="spellEnd"/>
    </w:p>
    <w:p w14:paraId="6C0E7013" w14:textId="7618706A" w:rsidR="00A549AA" w:rsidRPr="00F052B0" w:rsidRDefault="00A549AA" w:rsidP="00F052B0">
      <w:pPr>
        <w:ind w:left="720" w:hanging="720"/>
        <w:jc w:val="thaiDistribute"/>
        <w:rPr>
          <w:rFonts w:ascii="Arial" w:hAnsi="Arial" w:cs="Arial"/>
          <w:color w:val="EE0000"/>
        </w:rPr>
      </w:pPr>
      <w:r w:rsidRPr="00F052B0">
        <w:rPr>
          <w:rFonts w:ascii="Arial" w:hAnsi="Arial" w:cs="Arial"/>
          <w:color w:val="EE0000"/>
        </w:rPr>
        <w:t xml:space="preserve">More </w:t>
      </w:r>
      <w:proofErr w:type="spellStart"/>
      <w:r w:rsidRPr="00F052B0">
        <w:rPr>
          <w:rFonts w:ascii="Arial" w:hAnsi="Arial" w:cs="Arial"/>
          <w:color w:val="EE0000"/>
        </w:rPr>
        <w:t>xxxx</w:t>
      </w:r>
      <w:proofErr w:type="spellEnd"/>
      <w:r w:rsidRPr="00F052B0">
        <w:rPr>
          <w:rFonts w:ascii="Arial" w:hAnsi="Arial" w:cs="Arial"/>
          <w:color w:val="EE0000"/>
        </w:rPr>
        <w:t xml:space="preserve"> </w:t>
      </w:r>
    </w:p>
    <w:p w14:paraId="42928AC3" w14:textId="77777777" w:rsidR="002A4C93" w:rsidRPr="00F052B0" w:rsidRDefault="002A4C93" w:rsidP="002A4C93">
      <w:pPr>
        <w:spacing w:before="120" w:after="120"/>
        <w:ind w:left="720" w:firstLine="720"/>
        <w:jc w:val="thaiDistribute"/>
        <w:rPr>
          <w:rFonts w:ascii="Arial" w:hAnsi="Arial" w:cs="Arial"/>
          <w:color w:val="EE0000"/>
        </w:rPr>
      </w:pPr>
    </w:p>
    <w:p w14:paraId="768EE5C3" w14:textId="77777777" w:rsidR="002A4C93" w:rsidRPr="00F052B0" w:rsidRDefault="002A4C93" w:rsidP="002A4C93">
      <w:pPr>
        <w:spacing w:before="120" w:after="120"/>
        <w:ind w:left="720" w:hanging="720"/>
        <w:jc w:val="thaiDistribute"/>
        <w:rPr>
          <w:rFonts w:ascii="Arial" w:hAnsi="Arial" w:cs="Arial"/>
          <w:color w:val="EE0000"/>
        </w:rPr>
      </w:pPr>
      <w:r w:rsidRPr="00F052B0">
        <w:rPr>
          <w:rFonts w:ascii="Arial" w:hAnsi="Arial" w:cs="Arial"/>
          <w:b/>
          <w:bCs/>
          <w:color w:val="EE0000"/>
        </w:rPr>
        <w:t>Acknowledgement</w:t>
      </w:r>
      <w:r w:rsidRPr="00F052B0">
        <w:rPr>
          <w:rFonts w:ascii="Arial" w:hAnsi="Arial" w:cs="Arial"/>
          <w:color w:val="EE0000"/>
        </w:rPr>
        <w:t xml:space="preserve"> </w:t>
      </w:r>
    </w:p>
    <w:p w14:paraId="1013888A" w14:textId="77777777" w:rsidR="002A4C93" w:rsidRPr="00F052B0" w:rsidRDefault="002A4C93" w:rsidP="00F052B0">
      <w:pPr>
        <w:ind w:left="720" w:hanging="720"/>
        <w:jc w:val="thaiDistribute"/>
        <w:rPr>
          <w:rFonts w:ascii="Arial" w:hAnsi="Arial" w:cs="Arial"/>
          <w:color w:val="EE0000"/>
        </w:rPr>
      </w:pPr>
      <w:r w:rsidRPr="00F052B0">
        <w:rPr>
          <w:rFonts w:ascii="Arial" w:hAnsi="Arial" w:cs="Arial"/>
          <w:color w:val="EE0000"/>
        </w:rPr>
        <w:t>The author gratefully acknowledges the Department of Marine and Coastal Resources</w:t>
      </w:r>
    </w:p>
    <w:p w14:paraId="5869CB55" w14:textId="77777777" w:rsidR="002A4C93" w:rsidRPr="00F052B0" w:rsidRDefault="002A4C93" w:rsidP="00F052B0">
      <w:pPr>
        <w:ind w:left="720" w:hanging="720"/>
        <w:jc w:val="thaiDistribute"/>
        <w:rPr>
          <w:rFonts w:ascii="Arial" w:hAnsi="Arial" w:cs="Arial"/>
          <w:color w:val="EE0000"/>
        </w:rPr>
      </w:pPr>
      <w:r w:rsidRPr="00F052B0">
        <w:rPr>
          <w:rFonts w:ascii="Arial" w:hAnsi="Arial" w:cs="Arial"/>
          <w:color w:val="EE0000"/>
          <w:cs/>
        </w:rPr>
        <w:t>(</w:t>
      </w:r>
      <w:r w:rsidRPr="00F052B0">
        <w:rPr>
          <w:rFonts w:ascii="Arial" w:hAnsi="Arial" w:cs="Arial"/>
          <w:color w:val="EE0000"/>
        </w:rPr>
        <w:t>DMCR</w:t>
      </w:r>
      <w:r w:rsidRPr="00F052B0">
        <w:rPr>
          <w:rFonts w:ascii="Arial" w:hAnsi="Arial" w:cs="Arial"/>
          <w:color w:val="EE0000"/>
          <w:cs/>
        </w:rPr>
        <w:t xml:space="preserve">) </w:t>
      </w:r>
      <w:r w:rsidRPr="00F052B0">
        <w:rPr>
          <w:rFonts w:ascii="Arial" w:hAnsi="Arial" w:cs="Arial"/>
          <w:color w:val="EE0000"/>
        </w:rPr>
        <w:t>for serving as the National Coordinator for Thailand</w:t>
      </w:r>
      <w:r w:rsidRPr="00F052B0">
        <w:rPr>
          <w:rFonts w:ascii="Arial" w:hAnsi="Arial" w:cs="Arial"/>
          <w:color w:val="EE0000"/>
          <w:cs/>
        </w:rPr>
        <w:t xml:space="preserve">. </w:t>
      </w:r>
      <w:r w:rsidRPr="00F052B0">
        <w:rPr>
          <w:rFonts w:ascii="Arial" w:hAnsi="Arial" w:cs="Arial"/>
          <w:color w:val="EE0000"/>
        </w:rPr>
        <w:t>Sincere appreciation is</w:t>
      </w:r>
    </w:p>
    <w:p w14:paraId="6DAA545E" w14:textId="77777777" w:rsidR="002A4C93" w:rsidRPr="00F052B0" w:rsidRDefault="002A4C93" w:rsidP="00F052B0">
      <w:pPr>
        <w:ind w:left="720" w:hanging="720"/>
        <w:jc w:val="thaiDistribute"/>
        <w:rPr>
          <w:rFonts w:ascii="Arial" w:hAnsi="Arial" w:cs="Arial"/>
          <w:color w:val="EE0000"/>
        </w:rPr>
      </w:pPr>
      <w:r w:rsidRPr="00F052B0">
        <w:rPr>
          <w:rFonts w:ascii="Arial" w:hAnsi="Arial" w:cs="Arial"/>
          <w:color w:val="EE0000"/>
        </w:rPr>
        <w:t>extended to the regional team for their technical guidance, and to all experts and</w:t>
      </w:r>
    </w:p>
    <w:p w14:paraId="3A7387D8" w14:textId="77777777" w:rsidR="002A4C93" w:rsidRPr="00F052B0" w:rsidRDefault="002A4C93" w:rsidP="00F052B0">
      <w:pPr>
        <w:ind w:left="720" w:hanging="720"/>
        <w:jc w:val="thaiDistribute"/>
        <w:rPr>
          <w:rFonts w:ascii="Arial" w:hAnsi="Arial" w:cs="Arial"/>
          <w:color w:val="EE0000"/>
        </w:rPr>
      </w:pPr>
      <w:r w:rsidRPr="00F052B0">
        <w:rPr>
          <w:rFonts w:ascii="Arial" w:hAnsi="Arial" w:cs="Arial"/>
          <w:color w:val="EE0000"/>
        </w:rPr>
        <w:t>stakeholders for their contributions to the completion of this National Transboundary</w:t>
      </w:r>
    </w:p>
    <w:p w14:paraId="15644C2D" w14:textId="77777777" w:rsidR="00E0342A" w:rsidRPr="00F052B0" w:rsidRDefault="002A4C93" w:rsidP="00F052B0">
      <w:pPr>
        <w:ind w:left="720" w:hanging="720"/>
        <w:jc w:val="thaiDistribute"/>
        <w:rPr>
          <w:rFonts w:ascii="Arial" w:hAnsi="Arial" w:cs="Arial"/>
          <w:color w:val="EE0000"/>
        </w:rPr>
      </w:pPr>
      <w:r w:rsidRPr="00F052B0">
        <w:rPr>
          <w:rFonts w:ascii="Arial" w:hAnsi="Arial" w:cs="Arial"/>
          <w:color w:val="EE0000"/>
        </w:rPr>
        <w:t>Diagnostic Analysis</w:t>
      </w:r>
      <w:r w:rsidRPr="00F052B0">
        <w:rPr>
          <w:rFonts w:ascii="Arial" w:hAnsi="Arial" w:cs="Arial"/>
          <w:color w:val="EE0000"/>
          <w:cs/>
        </w:rPr>
        <w:t>.</w:t>
      </w:r>
    </w:p>
    <w:p w14:paraId="167084F0" w14:textId="77777777" w:rsidR="00E0342A" w:rsidRPr="00F052B0" w:rsidRDefault="00E0342A" w:rsidP="002A4C93">
      <w:pPr>
        <w:spacing w:before="120" w:after="120"/>
        <w:ind w:left="720" w:hanging="720"/>
        <w:jc w:val="thaiDistribute"/>
        <w:rPr>
          <w:rFonts w:ascii="Arial" w:hAnsi="Arial" w:cs="Arial"/>
          <w:color w:val="EE0000"/>
        </w:rPr>
      </w:pPr>
    </w:p>
    <w:p w14:paraId="6801B9FE" w14:textId="77777777" w:rsidR="00E0342A" w:rsidRPr="00F052B0" w:rsidRDefault="00E0342A" w:rsidP="00E0342A">
      <w:pPr>
        <w:spacing w:before="120" w:after="120"/>
        <w:ind w:left="720" w:hanging="720"/>
        <w:jc w:val="thaiDistribute"/>
        <w:rPr>
          <w:rFonts w:ascii="Arial" w:hAnsi="Arial" w:cs="Arial"/>
          <w:b/>
          <w:bCs/>
          <w:color w:val="EE0000"/>
        </w:rPr>
      </w:pPr>
      <w:r w:rsidRPr="00F052B0">
        <w:rPr>
          <w:rFonts w:ascii="Arial" w:hAnsi="Arial" w:cs="Arial"/>
          <w:b/>
          <w:bCs/>
          <w:color w:val="EE0000"/>
        </w:rPr>
        <w:t>Author contributions</w:t>
      </w:r>
    </w:p>
    <w:p w14:paraId="254925A2" w14:textId="3AA92E97" w:rsidR="00E0342A" w:rsidRPr="00F052B0" w:rsidRDefault="00E0342A" w:rsidP="00F052B0">
      <w:pPr>
        <w:ind w:left="720" w:hanging="720"/>
        <w:jc w:val="thaiDistribute"/>
        <w:rPr>
          <w:rFonts w:ascii="Arial" w:hAnsi="Arial" w:cs="Arial"/>
          <w:color w:val="EE0000"/>
        </w:rPr>
      </w:pPr>
      <w:r w:rsidRPr="00F052B0">
        <w:rPr>
          <w:rFonts w:ascii="Arial" w:hAnsi="Arial" w:cs="Arial"/>
          <w:color w:val="EE0000"/>
        </w:rPr>
        <w:t>Suvaluck Satumanatpan</w:t>
      </w:r>
      <w:r w:rsidRPr="00F052B0">
        <w:rPr>
          <w:rFonts w:ascii="Arial" w:hAnsi="Arial" w:cs="Arial"/>
          <w:color w:val="EE0000"/>
          <w:cs/>
        </w:rPr>
        <w:t>:</w:t>
      </w:r>
      <w:r w:rsidR="00C43F12" w:rsidRPr="00F052B0">
        <w:rPr>
          <w:rFonts w:ascii="Arial" w:hAnsi="Arial" w:cs="Arial"/>
          <w:color w:val="EE0000"/>
        </w:rPr>
        <w:t xml:space="preserve"> M</w:t>
      </w:r>
      <w:r w:rsidRPr="00F052B0">
        <w:rPr>
          <w:rFonts w:ascii="Arial" w:hAnsi="Arial" w:cs="Arial"/>
          <w:color w:val="EE0000"/>
        </w:rPr>
        <w:t xml:space="preserve">ethodology, </w:t>
      </w:r>
      <w:r w:rsidR="00C43F12" w:rsidRPr="00F052B0">
        <w:rPr>
          <w:rFonts w:ascii="Arial" w:hAnsi="Arial" w:cs="Arial"/>
          <w:color w:val="EE0000"/>
        </w:rPr>
        <w:t>Validation, Investigation, V</w:t>
      </w:r>
      <w:r w:rsidRPr="00F052B0">
        <w:rPr>
          <w:rFonts w:ascii="Arial" w:hAnsi="Arial" w:cs="Arial"/>
          <w:color w:val="EE0000"/>
        </w:rPr>
        <w:t>isualization,</w:t>
      </w:r>
    </w:p>
    <w:p w14:paraId="59CCE337" w14:textId="1D119EDF" w:rsidR="00034137" w:rsidRPr="00E419B7" w:rsidRDefault="00C43F12" w:rsidP="00F052B0">
      <w:pPr>
        <w:ind w:left="720" w:hanging="720"/>
        <w:jc w:val="thaiDistribute"/>
        <w:rPr>
          <w:rFonts w:ascii="Arial" w:hAnsi="Arial" w:cs="Arial"/>
        </w:rPr>
      </w:pPr>
      <w:r w:rsidRPr="00F052B0">
        <w:rPr>
          <w:rFonts w:ascii="Arial" w:hAnsi="Arial" w:cs="Arial"/>
          <w:color w:val="EE0000"/>
        </w:rPr>
        <w:t>W</w:t>
      </w:r>
      <w:r w:rsidR="00E0342A" w:rsidRPr="00F052B0">
        <w:rPr>
          <w:rFonts w:ascii="Arial" w:hAnsi="Arial" w:cs="Arial"/>
          <w:color w:val="EE0000"/>
        </w:rPr>
        <w:t>riting</w:t>
      </w:r>
      <w:r w:rsidR="00E0342A" w:rsidRPr="00F052B0">
        <w:rPr>
          <w:rFonts w:ascii="Arial" w:hAnsi="Arial" w:cs="Arial"/>
          <w:color w:val="EE0000"/>
          <w:cs/>
        </w:rPr>
        <w:t>-</w:t>
      </w:r>
      <w:r w:rsidRPr="00F052B0">
        <w:rPr>
          <w:rFonts w:ascii="Arial" w:hAnsi="Arial" w:cstheme="minorBidi"/>
          <w:color w:val="EE0000"/>
        </w:rPr>
        <w:t>O</w:t>
      </w:r>
      <w:r w:rsidR="00E0342A" w:rsidRPr="00F052B0">
        <w:rPr>
          <w:rFonts w:ascii="Arial" w:hAnsi="Arial" w:cs="Arial"/>
          <w:color w:val="EE0000"/>
        </w:rPr>
        <w:t xml:space="preserve">riginal draft, </w:t>
      </w:r>
      <w:r w:rsidRPr="00F052B0">
        <w:rPr>
          <w:rFonts w:ascii="Arial" w:hAnsi="Arial" w:cs="Arial"/>
          <w:color w:val="EE0000"/>
        </w:rPr>
        <w:t>W</w:t>
      </w:r>
      <w:r w:rsidR="00E0342A" w:rsidRPr="00F052B0">
        <w:rPr>
          <w:rFonts w:ascii="Arial" w:hAnsi="Arial" w:cs="Arial"/>
          <w:color w:val="EE0000"/>
        </w:rPr>
        <w:t>riting</w:t>
      </w:r>
      <w:r w:rsidR="00E0342A" w:rsidRPr="00F052B0">
        <w:rPr>
          <w:rFonts w:ascii="Arial" w:hAnsi="Arial" w:cs="Arial"/>
          <w:color w:val="EE0000"/>
          <w:cs/>
        </w:rPr>
        <w:t>-</w:t>
      </w:r>
      <w:r w:rsidRPr="00F052B0">
        <w:rPr>
          <w:rFonts w:ascii="Arial" w:hAnsi="Arial" w:cstheme="minorBidi"/>
          <w:color w:val="EE0000"/>
        </w:rPr>
        <w:t>R</w:t>
      </w:r>
      <w:r w:rsidR="00E0342A" w:rsidRPr="00F052B0">
        <w:rPr>
          <w:rFonts w:ascii="Arial" w:hAnsi="Arial" w:cs="Arial"/>
          <w:color w:val="EE0000"/>
        </w:rPr>
        <w:t>eview</w:t>
      </w:r>
      <w:r w:rsidRPr="00F052B0">
        <w:rPr>
          <w:rFonts w:ascii="Arial" w:hAnsi="Arial" w:cs="Arial"/>
          <w:color w:val="EE0000"/>
        </w:rPr>
        <w:t xml:space="preserve"> &amp; </w:t>
      </w:r>
      <w:proofErr w:type="gramStart"/>
      <w:r w:rsidRPr="00F052B0">
        <w:rPr>
          <w:rFonts w:ascii="Arial" w:hAnsi="Arial" w:cs="Arial"/>
          <w:color w:val="EE0000"/>
        </w:rPr>
        <w:t>Editing</w:t>
      </w:r>
      <w:r w:rsidR="00E0342A" w:rsidRPr="00F052B0">
        <w:rPr>
          <w:rFonts w:ascii="Arial" w:hAnsi="Arial" w:cs="Arial"/>
          <w:color w:val="EE0000"/>
        </w:rPr>
        <w:t>,  Megan</w:t>
      </w:r>
      <w:proofErr w:type="gramEnd"/>
      <w:r w:rsidRPr="00F052B0">
        <w:rPr>
          <w:rFonts w:ascii="Arial" w:hAnsi="Arial" w:cs="Arial"/>
          <w:color w:val="EE0000"/>
        </w:rPr>
        <w:t xml:space="preserve"> Kinght</w:t>
      </w:r>
      <w:r w:rsidR="00E0342A" w:rsidRPr="00F052B0">
        <w:rPr>
          <w:rFonts w:ascii="Arial" w:hAnsi="Arial" w:cs="Arial"/>
          <w:color w:val="EE0000"/>
        </w:rPr>
        <w:t xml:space="preserve">: </w:t>
      </w:r>
      <w:r w:rsidRPr="00F052B0">
        <w:rPr>
          <w:rFonts w:ascii="Arial" w:hAnsi="Arial" w:cs="Arial"/>
          <w:color w:val="EE0000"/>
        </w:rPr>
        <w:t>M</w:t>
      </w:r>
      <w:r w:rsidR="00E0342A" w:rsidRPr="00F052B0">
        <w:rPr>
          <w:rFonts w:ascii="Arial" w:hAnsi="Arial" w:cs="Arial"/>
          <w:color w:val="EE0000"/>
        </w:rPr>
        <w:t xml:space="preserve">ethodology, </w:t>
      </w:r>
      <w:r w:rsidRPr="00F052B0">
        <w:rPr>
          <w:rFonts w:ascii="Arial" w:hAnsi="Arial" w:cs="Arial"/>
          <w:color w:val="EE0000"/>
        </w:rPr>
        <w:t>W</w:t>
      </w:r>
      <w:r w:rsidR="00E0342A" w:rsidRPr="00F052B0">
        <w:rPr>
          <w:rFonts w:ascii="Arial" w:hAnsi="Arial" w:cs="Arial"/>
          <w:color w:val="EE0000"/>
        </w:rPr>
        <w:t>riting</w:t>
      </w:r>
      <w:r w:rsidR="00E0342A" w:rsidRPr="00F052B0">
        <w:rPr>
          <w:rFonts w:ascii="Arial" w:hAnsi="Arial" w:cs="Arial"/>
          <w:color w:val="EE0000"/>
          <w:cs/>
        </w:rPr>
        <w:t>-</w:t>
      </w:r>
      <w:r w:rsidRPr="00F052B0">
        <w:rPr>
          <w:rFonts w:ascii="Arial" w:hAnsi="Arial" w:cstheme="minorBidi"/>
          <w:color w:val="EE0000"/>
        </w:rPr>
        <w:t>R</w:t>
      </w:r>
      <w:r w:rsidR="00E0342A" w:rsidRPr="00F052B0">
        <w:rPr>
          <w:rFonts w:ascii="Arial" w:hAnsi="Arial" w:cs="Arial"/>
          <w:color w:val="EE0000"/>
        </w:rPr>
        <w:t>eview</w:t>
      </w:r>
      <w:r w:rsidRPr="00F052B0">
        <w:rPr>
          <w:rFonts w:ascii="Arial" w:hAnsi="Arial" w:cs="Arial"/>
          <w:color w:val="EE0000"/>
        </w:rPr>
        <w:t xml:space="preserve"> &amp;</w:t>
      </w:r>
      <w:r w:rsidR="00E0342A" w:rsidRPr="00F052B0">
        <w:rPr>
          <w:rFonts w:ascii="Arial" w:hAnsi="Arial" w:cs="Arial"/>
          <w:color w:val="EE0000"/>
        </w:rPr>
        <w:t xml:space="preserve"> </w:t>
      </w:r>
      <w:r w:rsidRPr="00F052B0">
        <w:rPr>
          <w:rFonts w:ascii="Arial" w:hAnsi="Arial" w:cs="Arial"/>
          <w:color w:val="EE0000"/>
        </w:rPr>
        <w:t>E</w:t>
      </w:r>
      <w:r w:rsidR="00E0342A" w:rsidRPr="00F052B0">
        <w:rPr>
          <w:rFonts w:ascii="Arial" w:hAnsi="Arial" w:cs="Arial"/>
          <w:color w:val="EE0000"/>
        </w:rPr>
        <w:t>diting</w:t>
      </w:r>
      <w:r w:rsidR="00034137" w:rsidRPr="00F052B0">
        <w:rPr>
          <w:rFonts w:ascii="Arial" w:hAnsi="Arial" w:cs="Arial"/>
          <w:color w:val="EE0000"/>
        </w:rPr>
        <w:br w:type="page"/>
      </w:r>
    </w:p>
    <w:p w14:paraId="18F86874" w14:textId="7EE3AC15" w:rsidR="00E76394" w:rsidRPr="00E419B7" w:rsidRDefault="00E60FB3" w:rsidP="00BF4E70">
      <w:pPr>
        <w:spacing w:before="120" w:after="120"/>
        <w:jc w:val="thaiDistribute"/>
        <w:rPr>
          <w:rFonts w:ascii="Arial" w:hAnsi="Arial" w:cs="Arial"/>
          <w:b/>
          <w:bCs/>
        </w:rPr>
      </w:pPr>
      <w:r w:rsidRPr="00E419B7">
        <w:rPr>
          <w:rFonts w:ascii="Arial" w:hAnsi="Arial" w:cs="Arial"/>
          <w:b/>
          <w:bCs/>
        </w:rPr>
        <w:lastRenderedPageBreak/>
        <w:t xml:space="preserve">References </w:t>
      </w:r>
      <w:r w:rsidR="00B90B30" w:rsidRPr="00E419B7">
        <w:rPr>
          <w:rFonts w:ascii="Arial" w:hAnsi="Arial" w:cs="Arial"/>
          <w:b/>
          <w:bCs/>
        </w:rPr>
        <w:t>(</w:t>
      </w:r>
      <w:r w:rsidR="00906D3B">
        <w:rPr>
          <w:rFonts w:ascii="Arial" w:hAnsi="Arial" w:cs="Arial"/>
          <w:b/>
          <w:bCs/>
        </w:rPr>
        <w:t xml:space="preserve">Dec </w:t>
      </w:r>
      <w:proofErr w:type="gramStart"/>
      <w:r w:rsidR="00906D3B">
        <w:rPr>
          <w:rFonts w:ascii="Arial" w:hAnsi="Arial" w:cs="Arial"/>
          <w:b/>
          <w:bCs/>
        </w:rPr>
        <w:t xml:space="preserve">4, </w:t>
      </w:r>
      <w:r w:rsidR="00B90B30" w:rsidRPr="00E419B7">
        <w:rPr>
          <w:rFonts w:ascii="Arial" w:hAnsi="Arial" w:cs="Arial"/>
          <w:b/>
          <w:bCs/>
        </w:rPr>
        <w:t xml:space="preserve"> 2025</w:t>
      </w:r>
      <w:proofErr w:type="gramEnd"/>
      <w:r w:rsidR="00B90B30" w:rsidRPr="00E419B7">
        <w:rPr>
          <w:rFonts w:ascii="Arial" w:hAnsi="Arial" w:cs="Arial"/>
          <w:b/>
          <w:bCs/>
        </w:rPr>
        <w:t xml:space="preserve">) </w:t>
      </w:r>
    </w:p>
    <w:bookmarkEnd w:id="36"/>
    <w:p w14:paraId="0A31E300" w14:textId="523D0F86" w:rsidR="009B5A38" w:rsidRPr="009B5A38" w:rsidRDefault="009B5A38" w:rsidP="009B5A38">
      <w:pPr>
        <w:rPr>
          <w:rFonts w:ascii="Arial" w:hAnsi="Arial" w:cs="Arial"/>
        </w:rPr>
      </w:pPr>
      <w:r w:rsidRPr="009B5A38">
        <w:rPr>
          <w:rFonts w:ascii="Arial" w:hAnsi="Arial" w:cs="Arial"/>
        </w:rPr>
        <w:t xml:space="preserve">Block, S., Emerson, J. W., Esty, D. C., de Sherbinin, A., Wendling, Z. A., et al. (2024). </w:t>
      </w:r>
      <w:r w:rsidRPr="009B5A38">
        <w:rPr>
          <w:rFonts w:ascii="Arial" w:hAnsi="Arial" w:cs="Arial"/>
          <w:i/>
          <w:iCs/>
        </w:rPr>
        <w:t>2024 Environmental Performance Index</w:t>
      </w:r>
      <w:r w:rsidRPr="009B5A38">
        <w:rPr>
          <w:rFonts w:ascii="Arial" w:hAnsi="Arial" w:cs="Arial"/>
        </w:rPr>
        <w:t xml:space="preserve">. Yale Center for Environmental Law &amp; Policy. </w:t>
      </w:r>
      <w:hyperlink r:id="rId23" w:tgtFrame="_new" w:history="1">
        <w:r w:rsidRPr="009B5A38">
          <w:rPr>
            <w:rStyle w:val="Hyperlink"/>
            <w:rFonts w:ascii="Arial" w:hAnsi="Arial" w:cs="Arial"/>
          </w:rPr>
          <w:t>https://epi.yale.edu/</w:t>
        </w:r>
      </w:hyperlink>
    </w:p>
    <w:p w14:paraId="7843A3A5" w14:textId="77777777" w:rsidR="009B5A38" w:rsidRPr="00E419B7" w:rsidRDefault="009B5A38" w:rsidP="00B90B30">
      <w:pPr>
        <w:rPr>
          <w:rFonts w:ascii="Arial" w:hAnsi="Arial" w:cs="Arial"/>
        </w:rPr>
      </w:pPr>
    </w:p>
    <w:p w14:paraId="52010814" w14:textId="217AF490" w:rsidR="00B90B30" w:rsidRDefault="009B5A38" w:rsidP="00B90B30">
      <w:pPr>
        <w:rPr>
          <w:rFonts w:ascii="Arial" w:hAnsi="Arial" w:cs="Arial"/>
        </w:rPr>
      </w:pPr>
      <w:r>
        <w:rPr>
          <w:rFonts w:ascii="Arial" w:hAnsi="Arial" w:cs="Arial"/>
        </w:rPr>
        <w:t xml:space="preserve"> </w:t>
      </w:r>
    </w:p>
    <w:p w14:paraId="5EB5AB23" w14:textId="742381EF" w:rsidR="009B5A38" w:rsidRPr="00E419B7" w:rsidRDefault="009B5A38" w:rsidP="00B90B30">
      <w:pPr>
        <w:rPr>
          <w:rFonts w:ascii="Arial" w:hAnsi="Arial" w:cs="Arial"/>
        </w:rPr>
      </w:pPr>
      <w:r w:rsidRPr="009B5A38">
        <w:rPr>
          <w:rFonts w:ascii="Arial" w:hAnsi="Arial" w:cs="Arial"/>
        </w:rPr>
        <w:t xml:space="preserve">Bureau of the Budget. (2025). </w:t>
      </w:r>
      <w:r w:rsidRPr="009B5A38">
        <w:rPr>
          <w:rFonts w:ascii="Arial" w:hAnsi="Arial" w:cs="Arial"/>
          <w:i/>
          <w:iCs/>
        </w:rPr>
        <w:t>Annual budget expenditure documents under the budget appropriation acts for fiscal years 2013–2023</w:t>
      </w:r>
      <w:r w:rsidRPr="009B5A38">
        <w:rPr>
          <w:rFonts w:ascii="Arial" w:hAnsi="Arial" w:cs="Arial"/>
        </w:rPr>
        <w:t xml:space="preserve">. Bureau of the Budget, Office of the Prime Minister. </w:t>
      </w:r>
      <w:hyperlink r:id="rId24" w:tgtFrame="_new" w:history="1">
        <w:r w:rsidRPr="009B5A38">
          <w:rPr>
            <w:rStyle w:val="Hyperlink"/>
            <w:rFonts w:ascii="Arial" w:hAnsi="Arial" w:cs="Arial"/>
          </w:rPr>
          <w:t>https://www.bb.go.th/index.php</w:t>
        </w:r>
      </w:hyperlink>
    </w:p>
    <w:p w14:paraId="664EF8A5" w14:textId="66B7DB99" w:rsidR="009B5A38" w:rsidRPr="00E419B7" w:rsidRDefault="009B5A38" w:rsidP="00B90B30">
      <w:pPr>
        <w:pStyle w:val="NormalWeb"/>
        <w:contextualSpacing/>
        <w:rPr>
          <w:rFonts w:ascii="Arial" w:hAnsi="Arial" w:cs="Arial"/>
          <w:iCs/>
        </w:rPr>
      </w:pPr>
      <w:r w:rsidRPr="009B5A38">
        <w:rPr>
          <w:rFonts w:ascii="Arial" w:hAnsi="Arial" w:cs="Arial"/>
          <w:iCs/>
        </w:rPr>
        <w:t xml:space="preserve">Department of Business Development (DBD). (2025). </w:t>
      </w:r>
      <w:r w:rsidRPr="009B5A38">
        <w:rPr>
          <w:rFonts w:ascii="Arial" w:hAnsi="Arial" w:cs="Arial"/>
          <w:i/>
          <w:iCs/>
        </w:rPr>
        <w:t>Statistics data 2024</w:t>
      </w:r>
      <w:r w:rsidRPr="009B5A38">
        <w:rPr>
          <w:rFonts w:ascii="Arial" w:hAnsi="Arial" w:cs="Arial"/>
          <w:iCs/>
        </w:rPr>
        <w:t xml:space="preserve"> [Data set]. </w:t>
      </w:r>
      <w:hyperlink r:id="rId25" w:tgtFrame="_new" w:history="1">
        <w:r w:rsidRPr="009B5A38">
          <w:rPr>
            <w:rStyle w:val="Hyperlink"/>
            <w:rFonts w:ascii="Arial" w:hAnsi="Arial" w:cs="Arial"/>
            <w:iCs/>
          </w:rPr>
          <w:t>https://www.dbd.go.th/common-article/24</w:t>
        </w:r>
      </w:hyperlink>
    </w:p>
    <w:p w14:paraId="588790BC" w14:textId="5CDDB025" w:rsidR="00B90B30" w:rsidRDefault="00B90B30" w:rsidP="00B90B30">
      <w:pPr>
        <w:pStyle w:val="NormalWeb"/>
        <w:rPr>
          <w:rFonts w:ascii="Arial" w:hAnsi="Arial" w:cs="Arial"/>
        </w:rPr>
      </w:pPr>
    </w:p>
    <w:p w14:paraId="24E91D09" w14:textId="282F32DA" w:rsidR="00042798" w:rsidRDefault="00042798" w:rsidP="00B90B30">
      <w:pPr>
        <w:pStyle w:val="NormalWeb"/>
        <w:rPr>
          <w:rFonts w:ascii="Arial" w:hAnsi="Arial" w:cs="Arial"/>
        </w:rPr>
      </w:pPr>
      <w:r w:rsidRPr="00042798">
        <w:rPr>
          <w:rFonts w:ascii="Arial" w:hAnsi="Arial" w:cs="Arial"/>
        </w:rPr>
        <w:t>Department of Marine and Coastal Resources. (2013). Thailand’s maritime territory. https://km.dmcr.go.th/c_54</w:t>
      </w:r>
    </w:p>
    <w:p w14:paraId="1B19B130" w14:textId="51753AA7" w:rsidR="00906D3B" w:rsidRDefault="00906D3B" w:rsidP="00B90B30">
      <w:pPr>
        <w:pStyle w:val="NormalWeb"/>
        <w:rPr>
          <w:rFonts w:ascii="Arial" w:hAnsi="Arial" w:cs="Arial"/>
          <w:color w:val="EE0000"/>
        </w:rPr>
      </w:pPr>
      <w:r w:rsidRPr="00906D3B">
        <w:rPr>
          <w:rFonts w:ascii="Arial" w:hAnsi="Arial" w:cs="Arial"/>
          <w:color w:val="EE0000"/>
        </w:rPr>
        <w:t xml:space="preserve">Draft National Environmental Assessment (NE). 2025 (On-going). </w:t>
      </w:r>
      <w:r w:rsidR="00025507">
        <w:rPr>
          <w:rFonts w:ascii="Arial" w:hAnsi="Arial" w:cs="Arial"/>
          <w:color w:val="EE0000"/>
        </w:rPr>
        <w:t xml:space="preserve"> </w:t>
      </w:r>
    </w:p>
    <w:p w14:paraId="6A72DEFA" w14:textId="0A7A118B" w:rsidR="009B5A38" w:rsidRDefault="009B5A38" w:rsidP="00025507">
      <w:pPr>
        <w:jc w:val="both"/>
        <w:rPr>
          <w:rFonts w:ascii="Arial" w:hAnsi="Arial" w:cs="Arial"/>
        </w:rPr>
      </w:pPr>
      <w:r w:rsidRPr="009B5A38">
        <w:rPr>
          <w:rFonts w:ascii="Arial" w:hAnsi="Arial" w:cs="Arial"/>
        </w:rPr>
        <w:t xml:space="preserve">Fanning, L., Mahon, R., Baldwin, K., &amp; Douglas, S. (2017). </w:t>
      </w:r>
      <w:r w:rsidRPr="009B5A38">
        <w:rPr>
          <w:rFonts w:ascii="Arial" w:hAnsi="Arial" w:cs="Arial"/>
          <w:i/>
          <w:iCs/>
        </w:rPr>
        <w:t xml:space="preserve">Transboundary Waters Assessment </w:t>
      </w:r>
      <w:proofErr w:type="spellStart"/>
      <w:r w:rsidRPr="009B5A38">
        <w:rPr>
          <w:rFonts w:ascii="Arial" w:hAnsi="Arial" w:cs="Arial"/>
          <w:i/>
          <w:iCs/>
        </w:rPr>
        <w:t>Programme</w:t>
      </w:r>
      <w:proofErr w:type="spellEnd"/>
      <w:r w:rsidRPr="009B5A38">
        <w:rPr>
          <w:rFonts w:ascii="Arial" w:hAnsi="Arial" w:cs="Arial"/>
          <w:i/>
          <w:iCs/>
        </w:rPr>
        <w:t xml:space="preserve"> (TWAP) assessment of governance arrangements for the ocean, Volume 1: Transboundary large marine ecosystems—Supplement: Individual governance architecture assessment for fifty transboundary large marine ecosystems</w:t>
      </w:r>
      <w:r w:rsidRPr="009B5A38">
        <w:rPr>
          <w:rFonts w:ascii="Arial" w:hAnsi="Arial" w:cs="Arial"/>
        </w:rPr>
        <w:t xml:space="preserve"> (IOC Technical Series No. 119, Vol. 1, Suppl., 834 pp.). IOC-UNESCO.</w:t>
      </w:r>
    </w:p>
    <w:p w14:paraId="6F6102FD" w14:textId="77777777" w:rsidR="00025507" w:rsidRPr="00025507" w:rsidRDefault="00025507" w:rsidP="00025507">
      <w:pPr>
        <w:jc w:val="both"/>
        <w:rPr>
          <w:rFonts w:ascii="Arial" w:hAnsi="Arial" w:cs="Arial"/>
        </w:rPr>
      </w:pPr>
    </w:p>
    <w:p w14:paraId="68E99783" w14:textId="4A16E0ED" w:rsidR="009B5A38" w:rsidRDefault="009B5A38" w:rsidP="00B90B30">
      <w:pPr>
        <w:rPr>
          <w:rFonts w:ascii="Arial" w:hAnsi="Arial" w:cs="Arial"/>
        </w:rPr>
      </w:pPr>
    </w:p>
    <w:p w14:paraId="43F3E066" w14:textId="161C6E8B" w:rsidR="009B5A38" w:rsidRPr="00E419B7" w:rsidRDefault="009B5A38" w:rsidP="00B90B30">
      <w:pPr>
        <w:rPr>
          <w:rFonts w:ascii="Arial" w:hAnsi="Arial" w:cs="Arial"/>
        </w:rPr>
      </w:pPr>
      <w:r w:rsidRPr="009B5A38">
        <w:rPr>
          <w:rFonts w:ascii="Arial" w:hAnsi="Arial" w:cs="Arial"/>
        </w:rPr>
        <w:t xml:space="preserve">Office of the National Economic and Social Development Council (NESDC). (2025). </w:t>
      </w:r>
      <w:r w:rsidRPr="009B5A38">
        <w:rPr>
          <w:rFonts w:ascii="Arial" w:hAnsi="Arial" w:cs="Arial"/>
          <w:i/>
          <w:iCs/>
        </w:rPr>
        <w:t>National accounts: Gross provincial product—Table of gross regional and provincial product 2023</w:t>
      </w:r>
      <w:r w:rsidRPr="009B5A38">
        <w:rPr>
          <w:rFonts w:ascii="Arial" w:hAnsi="Arial" w:cs="Arial"/>
        </w:rPr>
        <w:t xml:space="preserve"> [Data set]. </w:t>
      </w:r>
      <w:hyperlink r:id="rId26" w:tgtFrame="_new" w:history="1">
        <w:r w:rsidRPr="009B5A38">
          <w:rPr>
            <w:rStyle w:val="Hyperlink"/>
            <w:rFonts w:ascii="Arial" w:hAnsi="Arial" w:cs="Arial"/>
          </w:rPr>
          <w:t>https://www.nesdc.go.th/en/info/gross-regional-and-provincial-product-gpp/</w:t>
        </w:r>
      </w:hyperlink>
      <w:r>
        <w:rPr>
          <w:rFonts w:ascii="Arial" w:hAnsi="Arial" w:cs="Arial"/>
        </w:rPr>
        <w:t xml:space="preserve"> (access May 19, 2025) </w:t>
      </w:r>
    </w:p>
    <w:p w14:paraId="16F975C3" w14:textId="77777777" w:rsidR="00B90B30" w:rsidRPr="00E419B7" w:rsidRDefault="00B90B30" w:rsidP="00B90B30">
      <w:pPr>
        <w:rPr>
          <w:rFonts w:ascii="Arial" w:hAnsi="Arial" w:cs="Arial"/>
        </w:rPr>
      </w:pPr>
    </w:p>
    <w:p w14:paraId="559AC250" w14:textId="77777777" w:rsidR="00B90B30" w:rsidRDefault="00B90B30" w:rsidP="00B90B30">
      <w:pPr>
        <w:rPr>
          <w:rFonts w:ascii="Arial" w:hAnsi="Arial" w:cs="Arial"/>
        </w:rPr>
      </w:pPr>
    </w:p>
    <w:p w14:paraId="1695C6E5" w14:textId="1DF970BB" w:rsidR="009B5A38" w:rsidRDefault="009B5A38" w:rsidP="00B90B30">
      <w:pPr>
        <w:rPr>
          <w:rFonts w:ascii="Arial" w:hAnsi="Arial" w:cs="Arial"/>
        </w:rPr>
      </w:pPr>
      <w:r w:rsidRPr="009B5A38">
        <w:rPr>
          <w:rFonts w:ascii="Arial" w:hAnsi="Arial" w:cs="Arial"/>
        </w:rPr>
        <w:t xml:space="preserve">Partnerships in Environmental Management for the Seas of East Asia (PEMSEA), &amp; Department of Marine and Coastal Resources (DMCR). (2019). </w:t>
      </w:r>
      <w:r w:rsidRPr="009B5A38">
        <w:rPr>
          <w:rFonts w:ascii="Arial" w:hAnsi="Arial" w:cs="Arial"/>
          <w:i/>
          <w:iCs/>
        </w:rPr>
        <w:t>National state of oceans and coasts 2018: Blue economy growth of Thailand</w:t>
      </w:r>
      <w:r w:rsidRPr="009B5A38">
        <w:rPr>
          <w:rFonts w:ascii="Arial" w:hAnsi="Arial" w:cs="Arial"/>
        </w:rPr>
        <w:t>. PEMSEA.</w:t>
      </w:r>
    </w:p>
    <w:p w14:paraId="593D92D8" w14:textId="77777777" w:rsidR="009B5A38" w:rsidRPr="00E419B7" w:rsidRDefault="009B5A38" w:rsidP="00B90B30">
      <w:pPr>
        <w:rPr>
          <w:rFonts w:ascii="Arial" w:hAnsi="Arial" w:cs="Arial"/>
        </w:rPr>
      </w:pPr>
    </w:p>
    <w:p w14:paraId="4427FE63" w14:textId="43E8FAEF" w:rsidR="009B5A38" w:rsidRDefault="009B5A38" w:rsidP="00B90B30">
      <w:pPr>
        <w:rPr>
          <w:rFonts w:ascii="Arial" w:hAnsi="Arial" w:cs="Arial"/>
        </w:rPr>
      </w:pPr>
    </w:p>
    <w:p w14:paraId="1B60468F" w14:textId="4FC3B046" w:rsidR="009B5A38" w:rsidRPr="00E419B7" w:rsidRDefault="009B5A38" w:rsidP="00B90B30">
      <w:pPr>
        <w:rPr>
          <w:rFonts w:ascii="Arial" w:hAnsi="Arial" w:cs="Arial"/>
        </w:rPr>
      </w:pPr>
      <w:r w:rsidRPr="009B5A38">
        <w:rPr>
          <w:rFonts w:ascii="Arial" w:hAnsi="Arial" w:cs="Arial"/>
        </w:rPr>
        <w:t xml:space="preserve">Satumanatpan, S., </w:t>
      </w:r>
      <w:proofErr w:type="spellStart"/>
      <w:r w:rsidRPr="009B5A38">
        <w:rPr>
          <w:rFonts w:ascii="Arial" w:hAnsi="Arial" w:cs="Arial"/>
        </w:rPr>
        <w:t>Chuenpagdee</w:t>
      </w:r>
      <w:proofErr w:type="spellEnd"/>
      <w:r w:rsidRPr="009B5A38">
        <w:rPr>
          <w:rFonts w:ascii="Arial" w:hAnsi="Arial" w:cs="Arial"/>
        </w:rPr>
        <w:t xml:space="preserve">, R., </w:t>
      </w:r>
      <w:proofErr w:type="spellStart"/>
      <w:r w:rsidRPr="009B5A38">
        <w:rPr>
          <w:rFonts w:ascii="Arial" w:hAnsi="Arial" w:cs="Arial"/>
        </w:rPr>
        <w:t>Traesupap</w:t>
      </w:r>
      <w:proofErr w:type="spellEnd"/>
      <w:r w:rsidRPr="009B5A38">
        <w:rPr>
          <w:rFonts w:ascii="Arial" w:hAnsi="Arial" w:cs="Arial"/>
        </w:rPr>
        <w:t xml:space="preserve">, S., </w:t>
      </w:r>
      <w:proofErr w:type="spellStart"/>
      <w:r w:rsidRPr="009B5A38">
        <w:rPr>
          <w:rFonts w:ascii="Arial" w:hAnsi="Arial" w:cs="Arial"/>
        </w:rPr>
        <w:t>Yeemin</w:t>
      </w:r>
      <w:proofErr w:type="spellEnd"/>
      <w:r w:rsidRPr="009B5A38">
        <w:rPr>
          <w:rFonts w:ascii="Arial" w:hAnsi="Arial" w:cs="Arial"/>
        </w:rPr>
        <w:t xml:space="preserve">, T., &amp; </w:t>
      </w:r>
      <w:proofErr w:type="spellStart"/>
      <w:r w:rsidRPr="009B5A38">
        <w:rPr>
          <w:rFonts w:ascii="Arial" w:hAnsi="Arial" w:cs="Arial"/>
        </w:rPr>
        <w:t>Jumtarashote</w:t>
      </w:r>
      <w:proofErr w:type="spellEnd"/>
      <w:r w:rsidRPr="009B5A38">
        <w:rPr>
          <w:rFonts w:ascii="Arial" w:hAnsi="Arial" w:cs="Arial"/>
        </w:rPr>
        <w:t xml:space="preserve">, K. (2024). Policy re-alignment for the implementation of the Small-Scale Fisheries Guidelines in Thailand. In J. Nakamura et al. (Eds.), </w:t>
      </w:r>
      <w:r w:rsidRPr="009B5A38">
        <w:rPr>
          <w:rFonts w:ascii="Arial" w:hAnsi="Arial" w:cs="Arial"/>
          <w:i/>
          <w:iCs/>
        </w:rPr>
        <w:t>Implementation of the Small-Scale Fisheries Guidelines</w:t>
      </w:r>
      <w:r w:rsidRPr="009B5A38">
        <w:rPr>
          <w:rFonts w:ascii="Arial" w:hAnsi="Arial" w:cs="Arial"/>
        </w:rPr>
        <w:t xml:space="preserve"> (MARE Publication Series, Vol. 28, pp. 167–187). Springer.</w:t>
      </w:r>
    </w:p>
    <w:p w14:paraId="5B3682C0" w14:textId="77777777" w:rsidR="00B90B30" w:rsidRPr="00E419B7" w:rsidRDefault="00B90B30" w:rsidP="00B90B30">
      <w:pPr>
        <w:rPr>
          <w:rFonts w:ascii="Arial" w:hAnsi="Arial" w:cs="Arial"/>
        </w:rPr>
      </w:pPr>
    </w:p>
    <w:p w14:paraId="7CC725CC" w14:textId="0CF31E6B" w:rsidR="009B5A38" w:rsidRPr="00E419B7" w:rsidRDefault="009B5A38" w:rsidP="00B90B30">
      <w:pPr>
        <w:rPr>
          <w:rFonts w:ascii="Arial" w:hAnsi="Arial" w:cs="Arial"/>
        </w:rPr>
      </w:pPr>
      <w:r w:rsidRPr="009B5A38">
        <w:rPr>
          <w:rFonts w:ascii="Arial" w:hAnsi="Arial" w:cs="Arial"/>
        </w:rPr>
        <w:t xml:space="preserve">Satumanatpan, S., Moore, P., &amp; </w:t>
      </w:r>
      <w:proofErr w:type="spellStart"/>
      <w:r w:rsidRPr="009B5A38">
        <w:rPr>
          <w:rFonts w:ascii="Arial" w:hAnsi="Arial" w:cs="Arial"/>
        </w:rPr>
        <w:t>Plathong</w:t>
      </w:r>
      <w:proofErr w:type="spellEnd"/>
      <w:r w:rsidRPr="009B5A38">
        <w:rPr>
          <w:rFonts w:ascii="Arial" w:hAnsi="Arial" w:cs="Arial"/>
        </w:rPr>
        <w:t xml:space="preserve">, S. (2018). Governance challenges for the sustainability of marine and coastal resources. In </w:t>
      </w:r>
      <w:r w:rsidRPr="009B5A38">
        <w:rPr>
          <w:rFonts w:ascii="Arial" w:hAnsi="Arial" w:cs="Arial"/>
          <w:i/>
          <w:iCs/>
        </w:rPr>
        <w:t>Thailand: Environmental resources and related political and social issues</w:t>
      </w:r>
      <w:r w:rsidRPr="009B5A38">
        <w:rPr>
          <w:rFonts w:ascii="Arial" w:hAnsi="Arial" w:cs="Arial"/>
        </w:rPr>
        <w:t xml:space="preserve"> (pp. 219–239). Nova Science Publishers.</w:t>
      </w:r>
    </w:p>
    <w:p w14:paraId="00D32555" w14:textId="77777777" w:rsidR="00B90B30" w:rsidRPr="00E419B7" w:rsidRDefault="00B90B30" w:rsidP="00B90B30">
      <w:pPr>
        <w:rPr>
          <w:rFonts w:ascii="Arial" w:hAnsi="Arial" w:cs="Arial"/>
        </w:rPr>
      </w:pPr>
    </w:p>
    <w:p w14:paraId="3F4BE793" w14:textId="7E540D8F" w:rsidR="00B90B30" w:rsidRDefault="00B90B30" w:rsidP="00B90B30">
      <w:pPr>
        <w:rPr>
          <w:rFonts w:ascii="Arial" w:hAnsi="Arial" w:cs="Arial"/>
        </w:rPr>
      </w:pPr>
      <w:r w:rsidRPr="00E419B7">
        <w:rPr>
          <w:rFonts w:ascii="Arial" w:hAnsi="Arial" w:cs="Arial"/>
        </w:rPr>
        <w:lastRenderedPageBreak/>
        <w:t>.</w:t>
      </w:r>
    </w:p>
    <w:p w14:paraId="1F26B636" w14:textId="72EC89D6" w:rsidR="009B5A38" w:rsidRPr="00E419B7" w:rsidRDefault="009B5A38" w:rsidP="00B90B30">
      <w:pPr>
        <w:rPr>
          <w:rFonts w:ascii="Arial" w:hAnsi="Arial" w:cs="Arial"/>
        </w:rPr>
      </w:pPr>
      <w:r w:rsidRPr="009B5A38">
        <w:rPr>
          <w:rFonts w:ascii="Arial" w:hAnsi="Arial" w:cs="Arial"/>
        </w:rPr>
        <w:t xml:space="preserve">Sub-Committee on Knowledge Management for National Marine Interests. (2019). </w:t>
      </w:r>
      <w:r w:rsidRPr="009B5A38">
        <w:rPr>
          <w:rFonts w:ascii="Arial" w:hAnsi="Arial" w:cs="Arial"/>
          <w:i/>
          <w:iCs/>
        </w:rPr>
        <w:t>The sea, the ocean, and national marine interests</w:t>
      </w:r>
      <w:r w:rsidRPr="009B5A38">
        <w:rPr>
          <w:rFonts w:ascii="Arial" w:hAnsi="Arial" w:cs="Arial"/>
        </w:rPr>
        <w:t>. National Security Council, Office of the Prime Minister.</w:t>
      </w:r>
      <w:r>
        <w:rPr>
          <w:rFonts w:ascii="Arial" w:hAnsi="Arial" w:cs="Arial"/>
        </w:rPr>
        <w:t xml:space="preserve"> </w:t>
      </w:r>
    </w:p>
    <w:p w14:paraId="5DFFC6FF" w14:textId="77777777" w:rsidR="00B90B30" w:rsidRPr="00E419B7" w:rsidRDefault="00B90B30" w:rsidP="00B90B30">
      <w:pPr>
        <w:rPr>
          <w:rFonts w:ascii="Arial" w:hAnsi="Arial" w:cs="Arial"/>
        </w:rPr>
      </w:pPr>
    </w:p>
    <w:p w14:paraId="16CF63CB" w14:textId="30536299" w:rsidR="009B5A38" w:rsidRPr="00E419B7" w:rsidRDefault="009B5A38" w:rsidP="00B90B30">
      <w:pPr>
        <w:rPr>
          <w:rFonts w:ascii="Arial" w:hAnsi="Arial" w:cs="Arial"/>
        </w:rPr>
      </w:pPr>
      <w:r w:rsidRPr="009B5A38">
        <w:rPr>
          <w:rFonts w:ascii="Arial" w:hAnsi="Arial" w:cs="Arial"/>
        </w:rPr>
        <w:t xml:space="preserve">Thailand Board of Investment. (2025). </w:t>
      </w:r>
      <w:r w:rsidRPr="009B5A38">
        <w:rPr>
          <w:rFonts w:ascii="Arial" w:hAnsi="Arial" w:cs="Arial"/>
          <w:i/>
          <w:iCs/>
        </w:rPr>
        <w:t>Statistical report and investment promotion trends under the investment promotion policy (from 2015 onwards): Statistics on foreign direct investment</w:t>
      </w:r>
      <w:r w:rsidRPr="009B5A38">
        <w:rPr>
          <w:rFonts w:ascii="Arial" w:hAnsi="Arial" w:cs="Arial"/>
        </w:rPr>
        <w:t xml:space="preserve"> [Data set]. </w:t>
      </w:r>
      <w:hyperlink r:id="rId27" w:tgtFrame="_new" w:history="1">
        <w:r w:rsidRPr="009B5A38">
          <w:rPr>
            <w:rStyle w:val="Hyperlink"/>
            <w:rFonts w:ascii="Arial" w:hAnsi="Arial" w:cs="Arial"/>
          </w:rPr>
          <w:t>https://ipstat.boi.go.th/pubrpt/index.php</w:t>
        </w:r>
      </w:hyperlink>
    </w:p>
    <w:p w14:paraId="702E876B" w14:textId="77777777" w:rsidR="00B90B30" w:rsidRPr="00E419B7" w:rsidRDefault="00B90B30" w:rsidP="00B90B30">
      <w:pPr>
        <w:rPr>
          <w:rFonts w:ascii="Arial" w:hAnsi="Arial" w:cs="Arial"/>
        </w:rPr>
      </w:pPr>
    </w:p>
    <w:p w14:paraId="063D9193" w14:textId="536E3C45" w:rsidR="009B5A38" w:rsidRPr="00E419B7" w:rsidRDefault="009B5A38" w:rsidP="00B90B30">
      <w:pPr>
        <w:rPr>
          <w:rFonts w:ascii="Arial" w:hAnsi="Arial" w:cs="Arial"/>
        </w:rPr>
      </w:pPr>
      <w:r w:rsidRPr="009B5A38">
        <w:rPr>
          <w:rFonts w:ascii="Arial" w:hAnsi="Arial" w:cs="Arial"/>
        </w:rPr>
        <w:t xml:space="preserve">Thailand Board of Investment (BOI). (2024). </w:t>
      </w:r>
      <w:r w:rsidRPr="009B5A38">
        <w:rPr>
          <w:rFonts w:ascii="Arial" w:hAnsi="Arial" w:cs="Arial"/>
          <w:i/>
          <w:iCs/>
        </w:rPr>
        <w:t xml:space="preserve">Foreign direct investment situation </w:t>
      </w:r>
      <w:proofErr w:type="gramStart"/>
      <w:r w:rsidRPr="009B5A38">
        <w:rPr>
          <w:rFonts w:ascii="Arial" w:hAnsi="Arial" w:cs="Arial"/>
          <w:i/>
          <w:iCs/>
        </w:rPr>
        <w:t>report</w:t>
      </w:r>
      <w:proofErr w:type="gramEnd"/>
      <w:r w:rsidRPr="009B5A38">
        <w:rPr>
          <w:rFonts w:ascii="Arial" w:hAnsi="Arial" w:cs="Arial"/>
          <w:i/>
          <w:iCs/>
        </w:rPr>
        <w:t xml:space="preserve"> 2023 (January–December)</w:t>
      </w:r>
      <w:r w:rsidRPr="009B5A38">
        <w:rPr>
          <w:rFonts w:ascii="Arial" w:hAnsi="Arial" w:cs="Arial"/>
        </w:rPr>
        <w:t>. International Affairs Division.</w:t>
      </w:r>
    </w:p>
    <w:p w14:paraId="68B80A95" w14:textId="77777777" w:rsidR="00B90B30" w:rsidRPr="00E419B7" w:rsidRDefault="00B90B30" w:rsidP="00B90B30">
      <w:pPr>
        <w:rPr>
          <w:rFonts w:ascii="Arial" w:hAnsi="Arial" w:cs="Arial"/>
        </w:rPr>
      </w:pPr>
    </w:p>
    <w:p w14:paraId="3FAE3611" w14:textId="6097773C" w:rsidR="00B90B30" w:rsidRPr="00042798" w:rsidRDefault="009B5A38" w:rsidP="00B90B30">
      <w:pPr>
        <w:contextualSpacing/>
        <w:rPr>
          <w:rFonts w:ascii="Arial" w:hAnsi="Arial" w:cstheme="minorBidi"/>
          <w:cs/>
        </w:rPr>
      </w:pPr>
      <w:r w:rsidRPr="009B5A38">
        <w:rPr>
          <w:rFonts w:ascii="Arial" w:hAnsi="Arial" w:cs="Arial"/>
        </w:rPr>
        <w:t xml:space="preserve">World Bank Group. (2025). </w:t>
      </w:r>
      <w:r w:rsidRPr="009B5A38">
        <w:rPr>
          <w:rFonts w:ascii="Arial" w:hAnsi="Arial" w:cs="Arial"/>
          <w:i/>
          <w:iCs/>
        </w:rPr>
        <w:t>World development indicators</w:t>
      </w:r>
      <w:r w:rsidRPr="009B5A38">
        <w:rPr>
          <w:rFonts w:ascii="Arial" w:hAnsi="Arial" w:cs="Arial"/>
        </w:rPr>
        <w:t xml:space="preserve"> [Data set]. </w:t>
      </w:r>
      <w:hyperlink r:id="rId28" w:tgtFrame="_new" w:history="1">
        <w:r w:rsidRPr="009B5A38">
          <w:rPr>
            <w:rStyle w:val="Hyperlink"/>
            <w:rFonts w:ascii="Arial" w:hAnsi="Arial" w:cs="Arial"/>
          </w:rPr>
          <w:t>https://databank.worldbank.org/source/world-development-indicators</w:t>
        </w:r>
      </w:hyperlink>
    </w:p>
    <w:p w14:paraId="1D67C20C" w14:textId="77777777" w:rsidR="00B90B30" w:rsidRDefault="00B90B30" w:rsidP="00B90B30">
      <w:pPr>
        <w:rPr>
          <w:rFonts w:ascii="Arial" w:hAnsi="Arial" w:cs="Arial"/>
          <w:iCs/>
        </w:rPr>
      </w:pPr>
    </w:p>
    <w:p w14:paraId="56DD1C3B" w14:textId="29BF0FD0" w:rsidR="009B5A38" w:rsidRDefault="009B5A38" w:rsidP="00B90B30">
      <w:pPr>
        <w:rPr>
          <w:rFonts w:ascii="Arial" w:hAnsi="Arial" w:cs="Arial"/>
          <w:iCs/>
        </w:rPr>
      </w:pPr>
      <w:r w:rsidRPr="009B5A38">
        <w:rPr>
          <w:rFonts w:ascii="Arial" w:hAnsi="Arial" w:cs="Arial"/>
          <w:iCs/>
        </w:rPr>
        <w:t xml:space="preserve">World Bank. (2025). </w:t>
      </w:r>
      <w:r w:rsidRPr="009B5A38">
        <w:rPr>
          <w:rFonts w:ascii="Arial" w:hAnsi="Arial" w:cs="Arial"/>
          <w:i/>
          <w:iCs/>
        </w:rPr>
        <w:t>World Bank country and lending groups</w:t>
      </w:r>
      <w:r w:rsidRPr="009B5A38">
        <w:rPr>
          <w:rFonts w:ascii="Arial" w:hAnsi="Arial" w:cs="Arial"/>
          <w:iCs/>
        </w:rPr>
        <w:t xml:space="preserve">. </w:t>
      </w:r>
      <w:hyperlink r:id="rId29" w:tgtFrame="_new" w:history="1">
        <w:r w:rsidRPr="009B5A38">
          <w:rPr>
            <w:rStyle w:val="Hyperlink"/>
            <w:rFonts w:ascii="Arial" w:hAnsi="Arial" w:cs="Arial"/>
            <w:iCs/>
          </w:rPr>
          <w:t>https://datahelpdesk.worldbank.org/knowledgebase/articles/906519-world-bank-country-and-lending-groups</w:t>
        </w:r>
      </w:hyperlink>
    </w:p>
    <w:p w14:paraId="40FB1256" w14:textId="77777777" w:rsidR="00042798" w:rsidRPr="00E419B7" w:rsidRDefault="00042798" w:rsidP="00B90B30">
      <w:pPr>
        <w:rPr>
          <w:rFonts w:ascii="Arial" w:hAnsi="Arial" w:cs="Arial"/>
          <w:iCs/>
        </w:rPr>
      </w:pPr>
    </w:p>
    <w:p w14:paraId="6E99A2F4" w14:textId="369264FD" w:rsidR="00F772D9" w:rsidRPr="00E419B7" w:rsidRDefault="009B5A38" w:rsidP="008A345C">
      <w:pPr>
        <w:rPr>
          <w:rFonts w:ascii="Arial" w:hAnsi="Arial" w:cs="Arial"/>
        </w:rPr>
      </w:pPr>
      <w:r w:rsidRPr="009B5A38">
        <w:rPr>
          <w:rFonts w:ascii="Arial" w:hAnsi="Arial" w:cs="Arial"/>
        </w:rPr>
        <w:t xml:space="preserve">World Bank. (2024). </w:t>
      </w:r>
      <w:r w:rsidRPr="009B5A38">
        <w:rPr>
          <w:rFonts w:ascii="Arial" w:hAnsi="Arial" w:cs="Arial"/>
          <w:i/>
          <w:iCs/>
        </w:rPr>
        <w:t>Advancing marine spatial planning and blue economy in Thailand: Baseline assessment report (May 2024).</w:t>
      </w:r>
      <w:r w:rsidRPr="009B5A38">
        <w:rPr>
          <w:rFonts w:ascii="Arial" w:hAnsi="Arial" w:cs="Arial"/>
        </w:rPr>
        <w:t xml:space="preserve"> World Bank.</w:t>
      </w:r>
    </w:p>
    <w:sectPr w:rsidR="00F772D9" w:rsidRPr="00E419B7" w:rsidSect="007804B0">
      <w:pgSz w:w="12240" w:h="15840"/>
      <w:pgMar w:top="1440" w:right="1183"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egan Knight" w:date="2025-10-27T10:18:00Z" w:initials="MK">
    <w:p w14:paraId="74F46860" w14:textId="77777777" w:rsidR="004B1BC4" w:rsidRDefault="00307478" w:rsidP="004B1BC4">
      <w:pPr>
        <w:pStyle w:val="CommentText"/>
      </w:pPr>
      <w:r>
        <w:rPr>
          <w:rStyle w:val="CommentReference"/>
        </w:rPr>
        <w:annotationRef/>
      </w:r>
      <w:r w:rsidR="004B1BC4">
        <w:t>Please check references:</w:t>
      </w:r>
    </w:p>
    <w:p w14:paraId="5F552A2D" w14:textId="77777777" w:rsidR="004B1BC4" w:rsidRDefault="004B1BC4" w:rsidP="004B1BC4">
      <w:pPr>
        <w:pStyle w:val="CommentText"/>
      </w:pPr>
    </w:p>
    <w:p w14:paraId="613FF190" w14:textId="77777777" w:rsidR="004B1BC4" w:rsidRDefault="004B1BC4" w:rsidP="004B1BC4">
      <w:pPr>
        <w:pStyle w:val="CommentText"/>
      </w:pPr>
      <w:hyperlink r:id="rId1" w:history="1">
        <w:r w:rsidRPr="00EB05CB">
          <w:rPr>
            <w:rStyle w:val="Hyperlink"/>
          </w:rPr>
          <w:t>https://www.pemsea.org/sites/default/files/2023-12/NSOC%20Thailand%202018%20%28FINAL%29%2012032020.pdf</w:t>
        </w:r>
      </w:hyperlink>
    </w:p>
    <w:p w14:paraId="6D230CC2" w14:textId="77777777" w:rsidR="004B1BC4" w:rsidRDefault="004B1BC4" w:rsidP="004B1BC4">
      <w:pPr>
        <w:pStyle w:val="CommentText"/>
      </w:pPr>
    </w:p>
    <w:p w14:paraId="5FA987AB" w14:textId="77777777" w:rsidR="004B1BC4" w:rsidRDefault="004B1BC4" w:rsidP="004B1BC4">
      <w:pPr>
        <w:pStyle w:val="CommentText"/>
      </w:pPr>
      <w:hyperlink r:id="rId2" w:history="1">
        <w:r w:rsidRPr="00EB05CB">
          <w:rPr>
            <w:rStyle w:val="Hyperlink"/>
          </w:rPr>
          <w:t>https://www.pemsea.org/resources/publications/reports/state-oceans-and-coasts-thailand</w:t>
        </w:r>
      </w:hyperlink>
    </w:p>
  </w:comment>
  <w:comment w:id="2" w:author="Megan Knight" w:date="2025-10-24T14:42:00Z" w:initials="MK">
    <w:p w14:paraId="651D8D22" w14:textId="46CAC60B" w:rsidR="00F34594" w:rsidRDefault="00307478" w:rsidP="00F34594">
      <w:pPr>
        <w:pStyle w:val="CommentText"/>
      </w:pPr>
      <w:r>
        <w:rPr>
          <w:rStyle w:val="CommentReference"/>
        </w:rPr>
        <w:annotationRef/>
      </w:r>
      <w:r w:rsidR="00F34594">
        <w:t xml:space="preserve">Please follow the NTDA outline distributed. I have also attached to the feedback email. Please also note the guidance on preparing the governance analysis as a scientific paper following the Oceans journal, I have attached this to the email also. </w:t>
      </w:r>
    </w:p>
  </w:comment>
  <w:comment w:id="3" w:author="suvaluck satumanatpan" w:date="2025-11-09T17:21:00Z" w:initials="ss">
    <w:p w14:paraId="3435CE27" w14:textId="77777777" w:rsidR="00B90B30" w:rsidRDefault="00F34594" w:rsidP="00B90B30">
      <w:pPr>
        <w:pStyle w:val="CommentText"/>
      </w:pPr>
      <w:r>
        <w:rPr>
          <w:rStyle w:val="CommentReference"/>
        </w:rPr>
        <w:annotationRef/>
      </w:r>
      <w:r w:rsidR="00B90B30">
        <w:t xml:space="preserve">I agree with you to prepare gavernance analysis as a scientific paper (OCMA journal), but it need more time.  </w:t>
      </w:r>
    </w:p>
  </w:comment>
  <w:comment w:id="4" w:author="Megan Knight" w:date="2025-12-01T15:12:00Z" w:initials="MK">
    <w:p w14:paraId="3AB87C00" w14:textId="77777777" w:rsidR="00FC07F1" w:rsidRDefault="00FC07F1" w:rsidP="00FC07F1">
      <w:r>
        <w:rPr>
          <w:rStyle w:val="CommentReference"/>
        </w:rPr>
        <w:annotationRef/>
      </w:r>
      <w:r>
        <w:rPr>
          <w:rFonts w:cs="Angsana New"/>
          <w:sz w:val="20"/>
          <w:szCs w:val="25"/>
        </w:rPr>
        <w:t>Okay</w:t>
      </w:r>
    </w:p>
  </w:comment>
  <w:comment w:id="5" w:author="Megan Knight" w:date="2025-10-24T16:23:00Z" w:initials="MK">
    <w:p w14:paraId="788C726E" w14:textId="7411FEEA" w:rsidR="00860F3D" w:rsidRDefault="00307478" w:rsidP="00860F3D">
      <w:pPr>
        <w:pStyle w:val="CommentText"/>
        <w:rPr>
          <w:cs/>
        </w:rPr>
      </w:pPr>
      <w:r>
        <w:rPr>
          <w:rStyle w:val="CommentReference"/>
        </w:rPr>
        <w:annotationRef/>
      </w:r>
      <w:r w:rsidR="00860F3D">
        <w:t xml:space="preserve">Please refer to this data where applicable and helpful: </w:t>
      </w:r>
      <w:hyperlink r:id="rId3" w:history="1">
        <w:r w:rsidR="00860F3D" w:rsidRPr="00C623D4">
          <w:rPr>
            <w:rStyle w:val="Hyperlink"/>
          </w:rPr>
          <w:t>https://data.worldbank.org/country/thailand</w:t>
        </w:r>
      </w:hyperlink>
    </w:p>
  </w:comment>
  <w:comment w:id="7" w:author="Megan Knight" w:date="2025-10-24T14:52:00Z" w:initials="MK">
    <w:p w14:paraId="26D0383D" w14:textId="77777777" w:rsidR="009F4C49" w:rsidRDefault="00307478" w:rsidP="009F4C49">
      <w:pPr>
        <w:pStyle w:val="CommentText"/>
      </w:pPr>
      <w:r>
        <w:rPr>
          <w:rStyle w:val="CommentReference"/>
        </w:rPr>
        <w:annotationRef/>
      </w:r>
      <w:r w:rsidR="009F4C49">
        <w:t xml:space="preserve">Thank you for the comprehensive picture and data provided here. To show the full picture from the previous NTDA 1.0 could you please include data from 2000 to 2013 also. </w:t>
      </w:r>
    </w:p>
  </w:comment>
  <w:comment w:id="8" w:author="suvaluck satumanatpan" w:date="2025-11-09T17:18:00Z" w:initials="ss">
    <w:p w14:paraId="7E4E8476" w14:textId="77777777" w:rsidR="009F4C49" w:rsidRDefault="00F34594" w:rsidP="009F4C49">
      <w:pPr>
        <w:pStyle w:val="CommentText"/>
      </w:pPr>
      <w:r>
        <w:rPr>
          <w:rStyle w:val="CommentReference"/>
        </w:rPr>
        <w:annotationRef/>
      </w:r>
      <w:r w:rsidR="009F4C49">
        <w:t xml:space="preserve">In this version, I include more information year 2000-2013 as suggested </w:t>
      </w:r>
    </w:p>
  </w:comment>
  <w:comment w:id="9" w:author="Megan Knight" w:date="2025-11-28T14:18:00Z" w:initials="MK">
    <w:p w14:paraId="11698C30" w14:textId="77777777" w:rsidR="002423F2" w:rsidRDefault="002423F2" w:rsidP="002423F2">
      <w:r>
        <w:rPr>
          <w:rStyle w:val="CommentReference"/>
        </w:rPr>
        <w:annotationRef/>
      </w:r>
      <w:r>
        <w:rPr>
          <w:rFonts w:cs="Angsana New"/>
          <w:sz w:val="20"/>
          <w:szCs w:val="25"/>
        </w:rPr>
        <w:t xml:space="preserve">Thank you </w:t>
      </w:r>
    </w:p>
  </w:comment>
  <w:comment w:id="6" w:author="Megan Knight" w:date="2025-11-30T09:31:00Z" w:initials="MK">
    <w:p w14:paraId="16A7FE6E" w14:textId="77777777" w:rsidR="00BF4D85" w:rsidRDefault="00BF4D85" w:rsidP="00BF4D85">
      <w:r>
        <w:rPr>
          <w:rStyle w:val="CommentReference"/>
        </w:rPr>
        <w:annotationRef/>
      </w:r>
      <w:r>
        <w:rPr>
          <w:rFonts w:cs="Angsana New"/>
          <w:sz w:val="20"/>
          <w:szCs w:val="25"/>
        </w:rPr>
        <w:t xml:space="preserve">Thank you for including this comprehensive information. Can include in  a table if it helps with reducing the word count. </w:t>
      </w:r>
    </w:p>
  </w:comment>
  <w:comment w:id="10" w:author="Megan Knight" w:date="2025-10-24T16:26:00Z" w:initials="MK">
    <w:p w14:paraId="5FCB628B" w14:textId="2504CF83" w:rsidR="00220D46" w:rsidRDefault="00307478" w:rsidP="00220D46">
      <w:pPr>
        <w:pStyle w:val="CommentText"/>
      </w:pPr>
      <w:r>
        <w:rPr>
          <w:rStyle w:val="CommentReference"/>
        </w:rPr>
        <w:annotationRef/>
      </w:r>
      <w:r w:rsidR="00220D46">
        <w:t>Include data for pollution reduction, coastal planning, EBM improvements, if available. Also public private partnerships and sustainable financing initiatives</w:t>
      </w:r>
    </w:p>
  </w:comment>
  <w:comment w:id="11" w:author="Megan Knight" w:date="2025-10-27T09:52:00Z" w:initials="MK">
    <w:p w14:paraId="699D863B" w14:textId="3F928628" w:rsidR="008E3817" w:rsidRDefault="00307478" w:rsidP="008E3817">
      <w:pPr>
        <w:pStyle w:val="CommentText"/>
      </w:pPr>
      <w:r>
        <w:rPr>
          <w:rStyle w:val="CommentReference"/>
        </w:rPr>
        <w:annotationRef/>
      </w:r>
      <w:r w:rsidR="008E3817">
        <w:t xml:space="preserve">Please ensure this section compliments but does not duplicate the Blue Exonomy section in the Socio-economic chapter. </w:t>
      </w:r>
    </w:p>
  </w:comment>
  <w:comment w:id="13" w:author="Megan Knight" w:date="2025-10-24T16:38:00Z" w:initials="MK">
    <w:p w14:paraId="6609EEE3" w14:textId="77777777" w:rsidR="00FC07F1" w:rsidRDefault="00307478" w:rsidP="00FC07F1">
      <w:r>
        <w:rPr>
          <w:rStyle w:val="CommentReference"/>
        </w:rPr>
        <w:annotationRef/>
      </w:r>
      <w:r w:rsidR="00FC07F1">
        <w:rPr>
          <w:rFonts w:cs="Angsana New"/>
          <w:sz w:val="20"/>
          <w:szCs w:val="25"/>
        </w:rPr>
        <w:t xml:space="preserve">Please include information on monitoring programs, SDG 6.5.1 or SDG 14, EEZ using EBM, fisheries that meet national or international third party certification, etc. I will provide some references and support and attach in a separate document for your consideration. </w:t>
      </w:r>
    </w:p>
    <w:p w14:paraId="261E6EE8" w14:textId="77777777" w:rsidR="00FC07F1" w:rsidRDefault="00FC07F1" w:rsidP="00FC07F1"/>
    <w:p w14:paraId="78917818" w14:textId="77777777" w:rsidR="00FC07F1" w:rsidRDefault="00FC07F1" w:rsidP="00FC07F1">
      <w:r>
        <w:rPr>
          <w:rFonts w:cs="Angsana New"/>
          <w:sz w:val="20"/>
          <w:szCs w:val="25"/>
        </w:rPr>
        <w:t>P</w:t>
      </w:r>
      <w:r>
        <w:rPr>
          <w:rFonts w:cs="Angsana New"/>
          <w:color w:val="EE0000"/>
          <w:sz w:val="20"/>
          <w:szCs w:val="25"/>
        </w:rPr>
        <w:t>lease advise exactly where to put these information in this section</w:t>
      </w:r>
    </w:p>
    <w:p w14:paraId="7FB92B4C" w14:textId="77777777" w:rsidR="00FC07F1" w:rsidRDefault="00FC07F1" w:rsidP="00FC07F1"/>
    <w:p w14:paraId="04C5276D" w14:textId="77777777" w:rsidR="00FC07F1" w:rsidRDefault="00FC07F1" w:rsidP="00FC07F1">
      <w:r>
        <w:rPr>
          <w:rFonts w:cs="Angsana New"/>
          <w:color w:val="7030A0"/>
          <w:sz w:val="20"/>
          <w:szCs w:val="25"/>
        </w:rPr>
        <w:t xml:space="preserve">For SDG 14 and 6.5.1 you could include under a summary in 6.2.5 assessment of governance effectiveness and add more detail as an Annex. </w:t>
      </w:r>
    </w:p>
  </w:comment>
  <w:comment w:id="14" w:author="Megan Knight" w:date="2025-10-27T09:50:00Z" w:initials="MK">
    <w:p w14:paraId="342740F8" w14:textId="24CD2C73" w:rsidR="003823C5" w:rsidRDefault="00307478" w:rsidP="003823C5">
      <w:pPr>
        <w:pStyle w:val="CommentText"/>
      </w:pPr>
      <w:r>
        <w:rPr>
          <w:rStyle w:val="CommentReference"/>
        </w:rPr>
        <w:annotationRef/>
      </w:r>
      <w:r w:rsidR="003823C5">
        <w:t>Suggest to analyse the institutional settings where possible on where there are weaknesses in their effectiveness in addition to describing them.</w:t>
      </w:r>
    </w:p>
  </w:comment>
  <w:comment w:id="15" w:author="suvaluck satumanatpan" w:date="2025-11-18T11:22:00Z" w:initials="ss">
    <w:p w14:paraId="7534A0E7" w14:textId="77777777" w:rsidR="003823C5" w:rsidRDefault="00076256" w:rsidP="003823C5">
      <w:pPr>
        <w:pStyle w:val="CommentText"/>
      </w:pPr>
      <w:r>
        <w:rPr>
          <w:rStyle w:val="CommentReference"/>
        </w:rPr>
        <w:annotationRef/>
      </w:r>
    </w:p>
  </w:comment>
  <w:comment w:id="19" w:author="Megan Knight" w:date="2025-10-27T09:54:00Z" w:initials="MK">
    <w:p w14:paraId="70AF97D9" w14:textId="77777777" w:rsidR="00742E51" w:rsidRDefault="00307478" w:rsidP="00742E51">
      <w:pPr>
        <w:pStyle w:val="CommentText"/>
      </w:pPr>
      <w:r>
        <w:rPr>
          <w:rStyle w:val="CommentReference"/>
        </w:rPr>
        <w:annotationRef/>
      </w:r>
      <w:r w:rsidR="00742E51">
        <w:t xml:space="preserve">Assess whether arrangements represent a complete policy cycle, is there a general improvement in the governance as a result of these legal and policy frameworks over time. Is there alignement with transboundary EBM, climate change and adaptation, and disasters, etc? </w:t>
      </w:r>
    </w:p>
    <w:p w14:paraId="1B616642" w14:textId="77777777" w:rsidR="00742E51" w:rsidRDefault="00742E51" w:rsidP="00742E51">
      <w:pPr>
        <w:pStyle w:val="CommentText"/>
      </w:pPr>
    </w:p>
    <w:p w14:paraId="029CA05C" w14:textId="77777777" w:rsidR="00742E51" w:rsidRDefault="00742E51" w:rsidP="00742E51">
      <w:pPr>
        <w:pStyle w:val="CommentText"/>
      </w:pPr>
      <w:r>
        <w:rPr>
          <w:color w:val="EE0000"/>
        </w:rPr>
        <w:t>Thank you for raising this broader policy-cycle perspective. Overall, the current marine governance arrangements in Thailand represent a significant improvement compared with the pre-2015 situation. The Promotion of Marine and Coastal Resources Management Act (2015) established a formal system of national and provincial committees, which did not exist before. These committees provide clearer structures for planning, coordination, and decision-making, and they serve as mechanisms for monitoring by receiving and reviewing annual marine and coastal reports prepared by DMCR.</w:t>
      </w:r>
    </w:p>
    <w:p w14:paraId="4DC0AD9B" w14:textId="77777777" w:rsidR="00742E51" w:rsidRDefault="00742E51" w:rsidP="00742E51">
      <w:pPr>
        <w:pStyle w:val="CommentText"/>
      </w:pPr>
      <w:r>
        <w:rPr>
          <w:color w:val="EE0000"/>
        </w:rPr>
        <w:t xml:space="preserve">Since 2015, therefore, there is a more complete policy cycle in place—from goal-setting and planning, through implementation, to regular reporting and review of coastal conditions. </w:t>
      </w:r>
    </w:p>
    <w:p w14:paraId="73D0F863" w14:textId="77777777" w:rsidR="00742E51" w:rsidRDefault="00742E51" w:rsidP="00742E51">
      <w:pPr>
        <w:pStyle w:val="CommentText"/>
      </w:pPr>
    </w:p>
    <w:p w14:paraId="36088315" w14:textId="77777777" w:rsidR="00742E51" w:rsidRDefault="00742E51" w:rsidP="00742E51">
      <w:pPr>
        <w:pStyle w:val="CommentText"/>
      </w:pPr>
      <w:r>
        <w:rPr>
          <w:color w:val="EE0000"/>
        </w:rPr>
        <w:t>In addition, the newer legal and policy frameworks increasingly reference ecosystem-based management, climate change adaptation, and disaster risk reduction, which helps align national governance with regional and transboundary EBM commitments. However, as discussed in the chapter, the practical effectiveness of these arrangements still depends on factors such as data quality, institutional capacity, and the extent to which monitoring results are systematically fed back into policy revision and adaptive management.</w:t>
      </w:r>
    </w:p>
  </w:comment>
  <w:comment w:id="20" w:author="Megan Knight" w:date="2025-10-27T13:25:00Z" w:initials="MK">
    <w:p w14:paraId="2A5C4C20" w14:textId="520251AE" w:rsidR="00E22743" w:rsidRDefault="00E22743" w:rsidP="00E22743">
      <w:r>
        <w:rPr>
          <w:rStyle w:val="CommentReference"/>
        </w:rPr>
        <w:annotationRef/>
      </w:r>
      <w:r>
        <w:rPr>
          <w:rFonts w:cs="Angsana New"/>
          <w:sz w:val="20"/>
          <w:szCs w:val="25"/>
        </w:rPr>
        <w:t>In terms of policy cycle are there monitoring and evaluation programs and continuous improvements. Are there any weaknesses that need addressing? eg lack of compliance, improved awareness, improved capacity..</w:t>
      </w:r>
    </w:p>
  </w:comment>
  <w:comment w:id="21" w:author="suvaluck satumanatpan" w:date="2025-11-18T16:08:00Z" w:initials="ss">
    <w:p w14:paraId="13A1E3FB" w14:textId="77777777" w:rsidR="003823C5" w:rsidRDefault="001C209D" w:rsidP="003823C5">
      <w:pPr>
        <w:pStyle w:val="CommentText"/>
      </w:pPr>
      <w:r>
        <w:rPr>
          <w:rStyle w:val="CommentReference"/>
        </w:rPr>
        <w:annotationRef/>
      </w:r>
      <w:r w:rsidR="003823C5">
        <w:rPr>
          <w:color w:val="002060"/>
        </w:rPr>
        <w:t>) Thank you for raising this important point. In terms of the policy cycle, Thailand has established several monitoring and evaluation programs, particularly through DMCR’s regular assessments of major coastal habitats such as coral reefs, mangroves, and seagrass beds. These programs provide long-term datasets that help track ecological changes across the country.</w:t>
      </w:r>
    </w:p>
    <w:p w14:paraId="44B3D944" w14:textId="77777777" w:rsidR="003823C5" w:rsidRDefault="003823C5" w:rsidP="003823C5">
      <w:pPr>
        <w:pStyle w:val="CommentText"/>
      </w:pPr>
    </w:p>
    <w:p w14:paraId="42A2F1AD" w14:textId="77777777" w:rsidR="003823C5" w:rsidRDefault="003823C5" w:rsidP="003823C5">
      <w:pPr>
        <w:pStyle w:val="CommentText"/>
      </w:pPr>
      <w:r>
        <w:rPr>
          <w:color w:val="002060"/>
        </w:rPr>
        <w:t>However, there are several weaknesses that still require attention. Current monitoring indicators—especially for coral reefs—focus primarily on biophysical status (e.g., percentage of live and dead coral), which offers only a partial understanding of ecosystem condition. These indicators do not capture the broader ecosystem functions and services provided by coral reefs, such as coastal protection, fish nursery functions, tourism value, and cultural significance. As a result, the existing monitoring framework does not fully support evidence-based policy or the integration of ecosystem service considerations into manageme</w:t>
      </w:r>
      <w:r>
        <w:rPr>
          <w:color w:val="EE0000"/>
        </w:rPr>
        <w:t xml:space="preserve">nt </w:t>
      </w:r>
      <w:r>
        <w:rPr>
          <w:color w:val="002060"/>
        </w:rPr>
        <w:t>decisions.</w:t>
      </w:r>
    </w:p>
    <w:p w14:paraId="001E49E0" w14:textId="77777777" w:rsidR="003823C5" w:rsidRDefault="003823C5" w:rsidP="003823C5">
      <w:pPr>
        <w:pStyle w:val="CommentText"/>
      </w:pPr>
    </w:p>
    <w:p w14:paraId="2504C98E" w14:textId="77777777" w:rsidR="003823C5" w:rsidRDefault="003823C5" w:rsidP="003823C5">
      <w:pPr>
        <w:pStyle w:val="CommentText"/>
      </w:pPr>
      <w:r>
        <w:rPr>
          <w:color w:val="002060"/>
        </w:rPr>
        <w:t>To strengthen continuous improvement within the policy cycle, DMCR would benefit from enhanced capacity to assess coastal ecosystems in a more holistic way. This includes developing monitoring guidelines that integrate both ecological and socio-economic dimensions, enabling a clearer understanding of how changes in ecosystem health affect local livelihoods and community well-being. Additionally, improved compliance mechanisms, greater public awareness, and targeted capacity building at provincial and local levels would help address persistent gaps in implementation.</w:t>
      </w:r>
    </w:p>
    <w:p w14:paraId="43B50263" w14:textId="77777777" w:rsidR="003823C5" w:rsidRDefault="003823C5" w:rsidP="003823C5">
      <w:pPr>
        <w:pStyle w:val="CommentText"/>
      </w:pPr>
    </w:p>
    <w:p w14:paraId="3379F14F" w14:textId="77777777" w:rsidR="003823C5" w:rsidRDefault="003823C5" w:rsidP="003823C5">
      <w:pPr>
        <w:pStyle w:val="CommentText"/>
      </w:pPr>
      <w:r>
        <w:rPr>
          <w:color w:val="002060"/>
        </w:rPr>
        <w:t>Overall, expanding the monitoring framework to include ecosystem service indicators—and strengthening institutional capacity to apply them—would significantly improve the effectiveness of Thailand’s coastal governance and better support adaptive management.</w:t>
      </w:r>
    </w:p>
  </w:comment>
  <w:comment w:id="22" w:author="Megan Knight" w:date="2025-11-30T09:39:00Z" w:initials="MK">
    <w:p w14:paraId="1DFE7B95" w14:textId="77777777" w:rsidR="00BF4D85" w:rsidRDefault="00BF4D85" w:rsidP="00BF4D85">
      <w:r>
        <w:rPr>
          <w:rStyle w:val="CommentReference"/>
        </w:rPr>
        <w:annotationRef/>
      </w:r>
      <w:r>
        <w:rPr>
          <w:rFonts w:cs="Angsana New"/>
          <w:sz w:val="20"/>
          <w:szCs w:val="25"/>
        </w:rPr>
        <w:t xml:space="preserve">This is a  very good analysis. Pleas ensure this is represented in the text and or as an additional annex. </w:t>
      </w:r>
    </w:p>
  </w:comment>
  <w:comment w:id="25" w:author="Megan Knight" w:date="2025-10-27T09:55:00Z" w:initials="MK">
    <w:p w14:paraId="4A7E3502" w14:textId="1987711A" w:rsidR="008A6EB0" w:rsidRDefault="00307478" w:rsidP="008A6EB0">
      <w:pPr>
        <w:pStyle w:val="CommentText"/>
      </w:pPr>
      <w:r>
        <w:rPr>
          <w:rStyle w:val="CommentReference"/>
        </w:rPr>
        <w:annotationRef/>
      </w:r>
      <w:r w:rsidR="008A6EB0">
        <w:t>Are stakeholders and CSOs effectively engaged, and are there vertical (regional, national and subnational) and lateral linkages?</w:t>
      </w:r>
    </w:p>
  </w:comment>
  <w:comment w:id="26" w:author="suvaluck satumanatpan" w:date="2025-11-19T09:20:00Z" w:initials="ss">
    <w:p w14:paraId="54F61616" w14:textId="77777777" w:rsidR="003823C5" w:rsidRDefault="00D04485" w:rsidP="003823C5">
      <w:pPr>
        <w:pStyle w:val="CommentText"/>
      </w:pPr>
      <w:r>
        <w:rPr>
          <w:rStyle w:val="CommentReference"/>
        </w:rPr>
        <w:annotationRef/>
      </w:r>
      <w:r w:rsidR="003823C5">
        <w:t>Thank you for raising this point. Thailand’s legal framework provides clear mechanisms for stakeholder and CSO participation, particularly through the Promotion of Marine and Coastal Resources Management Act (2015) and the Royal Ordinance on Fisheries (2015), which allow community representatives to participate in both provincial and national committees. These mechanisms create formal structures that support participation across governance levels.</w:t>
      </w:r>
    </w:p>
    <w:p w14:paraId="7FBA362F" w14:textId="77777777" w:rsidR="003823C5" w:rsidRDefault="003823C5" w:rsidP="003823C5">
      <w:pPr>
        <w:pStyle w:val="CommentText"/>
      </w:pPr>
      <w:r>
        <w:t>However, evidence from two major studies shows that the effectiveness of these participatory arrangements remains limited.</w:t>
      </w:r>
    </w:p>
    <w:p w14:paraId="25BDB45E" w14:textId="77777777" w:rsidR="003823C5" w:rsidRDefault="003823C5" w:rsidP="003823C5">
      <w:pPr>
        <w:pStyle w:val="CommentText"/>
      </w:pPr>
    </w:p>
    <w:p w14:paraId="79BD4765" w14:textId="77777777" w:rsidR="003823C5" w:rsidRDefault="003823C5" w:rsidP="003823C5">
      <w:pPr>
        <w:pStyle w:val="CommentText"/>
      </w:pPr>
      <w:r>
        <w:t xml:space="preserve"> Satumanatpan et al. (2018) found that coastal provincial committees suffer from weak sectoral integration among agencies and infrequent meetings, which undermines horizontal coordination at the provincial level. In addition, </w:t>
      </w:r>
    </w:p>
    <w:p w14:paraId="6D68F84E" w14:textId="77777777" w:rsidR="003823C5" w:rsidRDefault="003823C5" w:rsidP="003823C5">
      <w:pPr>
        <w:pStyle w:val="CommentText"/>
      </w:pPr>
    </w:p>
    <w:p w14:paraId="6F0ACA09" w14:textId="77777777" w:rsidR="003823C5" w:rsidRDefault="003823C5" w:rsidP="003823C5">
      <w:pPr>
        <w:pStyle w:val="CommentText"/>
      </w:pPr>
      <w:r>
        <w:t>Satumanatpan et al. (2024) identified several constraints affecting meaningful participation of small-scale fishers: committee work tends to be reactive rather than strategic; women’s representation remains limited due to low participation in registered community organizations; and the flexible number of district chiefs relative to fixed community seats can create perceived imbalance in decision-making.</w:t>
      </w:r>
    </w:p>
    <w:p w14:paraId="0BF5A54C" w14:textId="77777777" w:rsidR="003823C5" w:rsidRDefault="003823C5" w:rsidP="003823C5">
      <w:pPr>
        <w:pStyle w:val="CommentText"/>
      </w:pPr>
      <w:r>
        <w:t>Overall, while Thailand has established formal structures to promote participation, both horizontal coordination and the inclusiveness of community engagement require further strengthening.</w:t>
      </w:r>
    </w:p>
    <w:p w14:paraId="69D308FB" w14:textId="77777777" w:rsidR="003823C5" w:rsidRDefault="003823C5" w:rsidP="003823C5">
      <w:pPr>
        <w:pStyle w:val="CommentText"/>
      </w:pPr>
    </w:p>
    <w:p w14:paraId="61071331" w14:textId="77777777" w:rsidR="003823C5" w:rsidRDefault="003823C5" w:rsidP="003823C5">
      <w:pPr>
        <w:pStyle w:val="CommentText"/>
      </w:pPr>
      <w:r>
        <w:t xml:space="preserve">See in 6.2.4.2 yellow highlight paragpah </w:t>
      </w:r>
    </w:p>
  </w:comment>
  <w:comment w:id="27" w:author="Megan Knight" w:date="2025-11-30T09:40:00Z" w:initials="MK">
    <w:p w14:paraId="4895D709" w14:textId="77777777" w:rsidR="00BF4D85" w:rsidRDefault="00BF4D85" w:rsidP="00BF4D85">
      <w:r>
        <w:rPr>
          <w:rStyle w:val="CommentReference"/>
        </w:rPr>
        <w:annotationRef/>
      </w:r>
      <w:r>
        <w:rPr>
          <w:rFonts w:cs="Angsana New"/>
          <w:sz w:val="20"/>
          <w:szCs w:val="25"/>
        </w:rPr>
        <w:t>Thank you!</w:t>
      </w:r>
    </w:p>
  </w:comment>
  <w:comment w:id="29" w:author="Megan Knight" w:date="2025-10-27T09:58:00Z" w:initials="MK">
    <w:p w14:paraId="505ED60B" w14:textId="4B50437F" w:rsidR="00742E51" w:rsidRDefault="00307478" w:rsidP="00742E51">
      <w:pPr>
        <w:pStyle w:val="CommentText"/>
      </w:pPr>
      <w:r>
        <w:rPr>
          <w:rStyle w:val="CommentReference"/>
        </w:rPr>
        <w:annotationRef/>
      </w:r>
      <w:r w:rsidR="00742E51">
        <w:t>I have inserted some example text for this section...</w:t>
      </w:r>
    </w:p>
  </w:comment>
  <w:comment w:id="30" w:author="suvaluck satumanatpan" w:date="2025-11-21T16:14:00Z" w:initials="ss">
    <w:p w14:paraId="28C0CA38" w14:textId="77777777" w:rsidR="00742E51" w:rsidRDefault="00742E51" w:rsidP="00742E51">
      <w:pPr>
        <w:pStyle w:val="CommentText"/>
      </w:pPr>
      <w:r>
        <w:rPr>
          <w:rStyle w:val="CommentReference"/>
        </w:rPr>
        <w:annotationRef/>
      </w:r>
      <w:r>
        <w:t xml:space="preserve">See what you think in 6.2.5 </w:t>
      </w:r>
    </w:p>
  </w:comment>
  <w:comment w:id="31" w:author="Megan Knight" w:date="2025-12-01T15:11:00Z" w:initials="MK">
    <w:p w14:paraId="6F33D876" w14:textId="77777777" w:rsidR="00FC07F1" w:rsidRDefault="00FC07F1" w:rsidP="00FC07F1">
      <w:r>
        <w:rPr>
          <w:rStyle w:val="CommentReference"/>
        </w:rPr>
        <w:annotationRef/>
      </w:r>
      <w:r>
        <w:rPr>
          <w:rFonts w:cs="Angsana New"/>
          <w:sz w:val="20"/>
          <w:szCs w:val="25"/>
        </w:rPr>
        <w:t>Just placing here the process for governance assessment as a reminder...</w:t>
      </w:r>
    </w:p>
  </w:comment>
  <w:comment w:id="34" w:author="suvaluck satumanatpan" w:date="2025-11-21T11:49:00Z" w:initials="ss">
    <w:p w14:paraId="1429D1AC" w14:textId="77777777" w:rsidR="003B3E87" w:rsidRDefault="00AE27F7" w:rsidP="003B3E87">
      <w:pPr>
        <w:pStyle w:val="CommentText"/>
      </w:pPr>
      <w:r>
        <w:rPr>
          <w:rStyle w:val="CommentReference"/>
        </w:rPr>
        <w:annotationRef/>
      </w:r>
      <w:r w:rsidR="003B3E87">
        <w:rPr>
          <w:color w:val="EE0000"/>
        </w:rPr>
        <w:t>Thailand’s current governance capacity to respond to climate change and major environmental pressures is moderately developed but remains uneven across sectors and administrative levels. National agencies—such as DMCR, ONEP, DNP, DCCE, the Royal Thai Navy, and the Marine Department—possess clear mandates, established regulatory frameworks, and increasing experience in implementing climate-related and coastal management programs. However, coordination across ministries remains fragmented, with overlapping responsibilities and limited mechanisms for integrated land–sea planning. Capacity at the provincial and local levels is also highly variable: while some coastal provinces have developed action plans and technical units capable of monitoring environmental change, many still lack sufficient expertise, financial resources, and long-term data to effectively assess risks or support community-based adaptation.</w:t>
      </w:r>
    </w:p>
    <w:p w14:paraId="5B550BC2" w14:textId="77777777" w:rsidR="003B3E87" w:rsidRDefault="003B3E87" w:rsidP="003B3E87">
      <w:pPr>
        <w:pStyle w:val="CommentText"/>
      </w:pPr>
      <w:r>
        <w:rPr>
          <w:color w:val="EE0000"/>
        </w:rPr>
        <w:t>In terms of knowledge and information systems, Thailand benefits from growing climate data platforms (e.g., coastal erosion monitoring, marine water quality networks, early warning systems), supported by research institutions and DMCR’s technical centers. Nonetheless, data sharing between agencies is inconsistent, and integration of scientific, local, and traditional knowledge into planning remains limited. Population growth, coastal urbanization, tourism expansion, and increasing demand for marine resources continue to intensify pressures on ecosystems, highlighting gaps in enforcement capacity, cross-sectoral coordination, and integrated spatial planning. Overall, while Thailand has made significant progress in building national frameworks and technical capacity, strengthening multi-level coordination, long-term financing, and adaptive governance mechanisms remains critical for responding effectively to future climate and environmental challenges.</w:t>
      </w:r>
    </w:p>
  </w:comment>
  <w:comment w:id="35" w:author="Megan Knight" w:date="2025-11-30T09:41:00Z" w:initials="MK">
    <w:p w14:paraId="0CC744BC" w14:textId="77777777" w:rsidR="00667440" w:rsidRDefault="00667440" w:rsidP="00667440">
      <w:r>
        <w:rPr>
          <w:rStyle w:val="CommentReference"/>
        </w:rPr>
        <w:annotationRef/>
      </w:r>
      <w:r>
        <w:rPr>
          <w:rFonts w:cs="Angsana New"/>
          <w:sz w:val="20"/>
          <w:szCs w:val="25"/>
        </w:rPr>
        <w:t xml:space="preserve">This is a very good analysis. Please make sure it is include in the text and or an Annex. </w:t>
      </w:r>
    </w:p>
  </w:comment>
  <w:comment w:id="32" w:author="Megan Knight" w:date="2025-10-27T11:02:00Z" w:initials="MK">
    <w:p w14:paraId="314D8277" w14:textId="3270E57A" w:rsidR="006D3550" w:rsidRDefault="00307478" w:rsidP="006D3550">
      <w:pPr>
        <w:pStyle w:val="CommentText"/>
      </w:pPr>
      <w:r>
        <w:rPr>
          <w:rStyle w:val="CommentReference"/>
        </w:rPr>
        <w:annotationRef/>
      </w:r>
      <w:r w:rsidR="006D3550">
        <w:t>Once the other chapters are completed suggest to look across the proposed actions to harness synergies and develop a a more integrated action program.</w:t>
      </w:r>
    </w:p>
  </w:comment>
  <w:comment w:id="33" w:author="Megan Knight" w:date="2025-11-30T09:44:00Z" w:initials="MK">
    <w:p w14:paraId="029A9C68" w14:textId="77777777" w:rsidR="005C740E" w:rsidRDefault="005C740E" w:rsidP="005C740E">
      <w:r>
        <w:rPr>
          <w:rStyle w:val="CommentReference"/>
        </w:rPr>
        <w:annotationRef/>
      </w:r>
      <w:r>
        <w:rPr>
          <w:rFonts w:cs="Angsana New"/>
          <w:sz w:val="20"/>
          <w:szCs w:val="25"/>
        </w:rPr>
        <w:t xml:space="preserve">Please include 6.4 methodology and analysis, and acronym section and a list of Annexes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FA987AB" w15:done="1"/>
  <w15:commentEx w15:paraId="651D8D22" w15:done="0"/>
  <w15:commentEx w15:paraId="3435CE27" w15:paraIdParent="651D8D22" w15:done="0"/>
  <w15:commentEx w15:paraId="3AB87C00" w15:paraIdParent="651D8D22" w15:done="0"/>
  <w15:commentEx w15:paraId="788C726E" w15:done="1"/>
  <w15:commentEx w15:paraId="26D0383D" w15:done="1"/>
  <w15:commentEx w15:paraId="7E4E8476" w15:paraIdParent="26D0383D" w15:done="1"/>
  <w15:commentEx w15:paraId="11698C30" w15:paraIdParent="26D0383D" w15:done="1"/>
  <w15:commentEx w15:paraId="16A7FE6E" w15:done="0"/>
  <w15:commentEx w15:paraId="5FCB628B" w15:done="1"/>
  <w15:commentEx w15:paraId="699D863B" w15:done="0"/>
  <w15:commentEx w15:paraId="04C5276D" w15:done="0"/>
  <w15:commentEx w15:paraId="342740F8" w15:paraIdParent="04C5276D" w15:done="0"/>
  <w15:commentEx w15:paraId="7534A0E7" w15:paraIdParent="04C5276D" w15:done="0"/>
  <w15:commentEx w15:paraId="36088315" w15:done="0"/>
  <w15:commentEx w15:paraId="2A5C4C20" w15:paraIdParent="36088315" w15:done="0"/>
  <w15:commentEx w15:paraId="3379F14F" w15:paraIdParent="36088315" w15:done="0"/>
  <w15:commentEx w15:paraId="1DFE7B95" w15:paraIdParent="36088315" w15:done="0"/>
  <w15:commentEx w15:paraId="4A7E3502" w15:done="0"/>
  <w15:commentEx w15:paraId="61071331" w15:paraIdParent="4A7E3502" w15:done="0"/>
  <w15:commentEx w15:paraId="4895D709" w15:paraIdParent="4A7E3502" w15:done="0"/>
  <w15:commentEx w15:paraId="505ED60B" w15:done="0"/>
  <w15:commentEx w15:paraId="28C0CA38" w15:paraIdParent="505ED60B" w15:done="0"/>
  <w15:commentEx w15:paraId="6F33D876" w15:done="0"/>
  <w15:commentEx w15:paraId="5B550BC2" w15:done="0"/>
  <w15:commentEx w15:paraId="0CC744BC" w15:paraIdParent="5B550BC2" w15:done="0"/>
  <w15:commentEx w15:paraId="314D8277" w15:done="0"/>
  <w15:commentEx w15:paraId="029A9C68" w15:paraIdParent="314D827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415E2AE" w16cex:dateUtc="2025-10-27T02:18:00Z"/>
  <w16cex:commentExtensible w16cex:durableId="1FD0521C" w16cex:dateUtc="2025-10-24T06:42:00Z"/>
  <w16cex:commentExtensible w16cex:durableId="06399B93" w16cex:dateUtc="2025-11-09T10:21:00Z">
    <w16cex:extLst>
      <w16:ext w16:uri="{CE6994B0-6A32-4C9F-8C6B-6E91EDA988CE}">
        <cr:reactions xmlns:cr="http://schemas.microsoft.com/office/comments/2020/reactions">
          <cr:reaction reactionType="1">
            <cr:reactionInfo dateUtc="2025-11-28T06:17:34Z">
              <cr:user userId="Megan Knight" userProvider="None" userName="Megan Knight"/>
            </cr:reactionInfo>
          </cr:reaction>
        </cr:reactions>
      </w16:ext>
    </w16cex:extLst>
  </w16cex:commentExtensible>
  <w16cex:commentExtensible w16cex:durableId="0ABDF9D7" w16cex:dateUtc="2025-12-01T05:42:00Z"/>
  <w16cex:commentExtensible w16cex:durableId="64EF10EC" w16cex:dateUtc="2025-10-24T08:23:00Z"/>
  <w16cex:commentExtensible w16cex:durableId="4CFC68AE" w16cex:dateUtc="2025-10-24T06:52:00Z"/>
  <w16cex:commentExtensible w16cex:durableId="0ABB1812" w16cex:dateUtc="2025-11-09T10:18:00Z"/>
  <w16cex:commentExtensible w16cex:durableId="467E5CCB" w16cex:dateUtc="2025-11-28T06:18:00Z"/>
  <w16cex:commentExtensible w16cex:durableId="361FAE78" w16cex:dateUtc="2025-11-30T01:31:00Z"/>
  <w16cex:commentExtensible w16cex:durableId="4333AB02" w16cex:dateUtc="2025-10-24T08:26:00Z"/>
  <w16cex:commentExtensible w16cex:durableId="6E0066B8" w16cex:dateUtc="2025-10-27T01:52:00Z"/>
  <w16cex:commentExtensible w16cex:durableId="1108A489" w16cex:dateUtc="2025-10-24T08:38:00Z"/>
  <w16cex:commentExtensible w16cex:durableId="23CCEB34" w16cex:dateUtc="2025-10-27T01:50:00Z"/>
  <w16cex:commentExtensible w16cex:durableId="77670198" w16cex:dateUtc="2025-11-18T04:22:00Z"/>
  <w16cex:commentExtensible w16cex:durableId="0284A3D3" w16cex:dateUtc="2025-10-27T01:54:00Z">
    <w16cex:extLst>
      <w16:ext w16:uri="{CE6994B0-6A32-4C9F-8C6B-6E91EDA988CE}">
        <cr:reactions xmlns:cr="http://schemas.microsoft.com/office/comments/2020/reactions">
          <cr:reaction reactionType="1">
            <cr:reactionInfo dateUtc="2025-11-30T01:38:38Z">
              <cr:user userId="Megan Knight" userProvider="None" userName="Megan Knight"/>
            </cr:reactionInfo>
          </cr:reaction>
        </cr:reactions>
      </w16:ext>
    </w16cex:extLst>
  </w16cex:commentExtensible>
  <w16cex:commentExtensible w16cex:durableId="26D040FD" w16cex:dateUtc="2025-10-27T05:25:00Z"/>
  <w16cex:commentExtensible w16cex:durableId="162F4209" w16cex:dateUtc="2025-11-18T09:08:00Z"/>
  <w16cex:commentExtensible w16cex:durableId="73226F8A" w16cex:dateUtc="2025-11-30T01:39:00Z"/>
  <w16cex:commentExtensible w16cex:durableId="58A69F28" w16cex:dateUtc="2025-10-27T01:55:00Z"/>
  <w16cex:commentExtensible w16cex:durableId="57318815" w16cex:dateUtc="2025-11-19T02:20:00Z"/>
  <w16cex:commentExtensible w16cex:durableId="334707DA" w16cex:dateUtc="2025-11-30T01:40:00Z"/>
  <w16cex:commentExtensible w16cex:durableId="65343B81" w16cex:dateUtc="2025-10-27T01:58:00Z"/>
  <w16cex:commentExtensible w16cex:durableId="4C8BFB67" w16cex:dateUtc="2025-11-21T09:14:00Z"/>
  <w16cex:commentExtensible w16cex:durableId="080F98B9" w16cex:dateUtc="2025-12-01T05:41:00Z"/>
  <w16cex:commentExtensible w16cex:durableId="4DF0DE85" w16cex:dateUtc="2025-11-21T04:49:00Z"/>
  <w16cex:commentExtensible w16cex:durableId="3480B279" w16cex:dateUtc="2025-11-30T01:41:00Z"/>
  <w16cex:commentExtensible w16cex:durableId="5954E15A" w16cex:dateUtc="2025-10-27T03:02:00Z"/>
  <w16cex:commentExtensible w16cex:durableId="12BA482E" w16cex:dateUtc="2025-11-30T01: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FA987AB" w16cid:durableId="4415E2AE"/>
  <w16cid:commentId w16cid:paraId="651D8D22" w16cid:durableId="1FD0521C"/>
  <w16cid:commentId w16cid:paraId="3435CE27" w16cid:durableId="06399B93"/>
  <w16cid:commentId w16cid:paraId="3AB87C00" w16cid:durableId="0ABDF9D7"/>
  <w16cid:commentId w16cid:paraId="788C726E" w16cid:durableId="64EF10EC"/>
  <w16cid:commentId w16cid:paraId="26D0383D" w16cid:durableId="4CFC68AE"/>
  <w16cid:commentId w16cid:paraId="7E4E8476" w16cid:durableId="0ABB1812"/>
  <w16cid:commentId w16cid:paraId="11698C30" w16cid:durableId="467E5CCB"/>
  <w16cid:commentId w16cid:paraId="16A7FE6E" w16cid:durableId="361FAE78"/>
  <w16cid:commentId w16cid:paraId="5FCB628B" w16cid:durableId="4333AB02"/>
  <w16cid:commentId w16cid:paraId="699D863B" w16cid:durableId="6E0066B8"/>
  <w16cid:commentId w16cid:paraId="04C5276D" w16cid:durableId="1108A489"/>
  <w16cid:commentId w16cid:paraId="342740F8" w16cid:durableId="23CCEB34"/>
  <w16cid:commentId w16cid:paraId="7534A0E7" w16cid:durableId="77670198"/>
  <w16cid:commentId w16cid:paraId="36088315" w16cid:durableId="0284A3D3"/>
  <w16cid:commentId w16cid:paraId="2A5C4C20" w16cid:durableId="26D040FD"/>
  <w16cid:commentId w16cid:paraId="3379F14F" w16cid:durableId="162F4209"/>
  <w16cid:commentId w16cid:paraId="1DFE7B95" w16cid:durableId="73226F8A"/>
  <w16cid:commentId w16cid:paraId="4A7E3502" w16cid:durableId="58A69F28"/>
  <w16cid:commentId w16cid:paraId="61071331" w16cid:durableId="57318815"/>
  <w16cid:commentId w16cid:paraId="4895D709" w16cid:durableId="334707DA"/>
  <w16cid:commentId w16cid:paraId="505ED60B" w16cid:durableId="65343B81"/>
  <w16cid:commentId w16cid:paraId="28C0CA38" w16cid:durableId="4C8BFB67"/>
  <w16cid:commentId w16cid:paraId="6F33D876" w16cid:durableId="080F98B9"/>
  <w16cid:commentId w16cid:paraId="5B550BC2" w16cid:durableId="4DF0DE85"/>
  <w16cid:commentId w16cid:paraId="0CC744BC" w16cid:durableId="3480B279"/>
  <w16cid:commentId w16cid:paraId="314D8277" w16cid:durableId="5954E15A"/>
  <w16cid:commentId w16cid:paraId="029A9C68" w16cid:durableId="12BA482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4679D4" w14:textId="77777777" w:rsidR="000C155E" w:rsidRDefault="000C155E" w:rsidP="00E07A5F">
      <w:r>
        <w:separator/>
      </w:r>
    </w:p>
  </w:endnote>
  <w:endnote w:type="continuationSeparator" w:id="0">
    <w:p w14:paraId="0121D77B" w14:textId="77777777" w:rsidR="000C155E" w:rsidRDefault="000C155E" w:rsidP="00E07A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 SarabunPSK">
    <w:panose1 w:val="020B0500040200020003"/>
    <w:charset w:val="00"/>
    <w:family w:val="swiss"/>
    <w:pitch w:val="variable"/>
    <w:sig w:usb0="A100006F" w:usb1="5000205A" w:usb2="00000000" w:usb3="00000000" w:csb0="00010183" w:csb1="00000000"/>
  </w:font>
  <w:font w:name="Angsana New">
    <w:panose1 w:val="02020603050405020304"/>
    <w:charset w:val="00"/>
    <w:family w:val="roman"/>
    <w:pitch w:val="variable"/>
    <w:sig w:usb0="81000003" w:usb1="00000000" w:usb2="00000000" w:usb3="00000000" w:csb0="00010001"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6346088"/>
      <w:docPartObj>
        <w:docPartGallery w:val="Page Numbers (Bottom of Page)"/>
        <w:docPartUnique/>
      </w:docPartObj>
    </w:sdtPr>
    <w:sdtEndPr>
      <w:rPr>
        <w:noProof/>
      </w:rPr>
    </w:sdtEndPr>
    <w:sdtContent>
      <w:p w14:paraId="02848A16" w14:textId="756CCF85" w:rsidR="00E07A5F" w:rsidRDefault="00E07A5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EDCAA2D" w14:textId="77777777" w:rsidR="00E07A5F" w:rsidRDefault="00E07A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9D5A5" w14:textId="77777777" w:rsidR="000C155E" w:rsidRDefault="000C155E" w:rsidP="00E07A5F">
      <w:r>
        <w:separator/>
      </w:r>
    </w:p>
  </w:footnote>
  <w:footnote w:type="continuationSeparator" w:id="0">
    <w:p w14:paraId="47BBB5E3" w14:textId="77777777" w:rsidR="000C155E" w:rsidRDefault="000C155E" w:rsidP="00E07A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11BF6"/>
    <w:multiLevelType w:val="hybridMultilevel"/>
    <w:tmpl w:val="58900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16C4E"/>
    <w:multiLevelType w:val="multilevel"/>
    <w:tmpl w:val="7CC88208"/>
    <w:lvl w:ilvl="0">
      <w:start w:val="1"/>
      <w:numFmt w:val="bullet"/>
      <w:lvlText w:val=""/>
      <w:lvlJc w:val="left"/>
      <w:pPr>
        <w:tabs>
          <w:tab w:val="num" w:pos="3131"/>
        </w:tabs>
        <w:ind w:left="3131" w:hanging="360"/>
      </w:pPr>
      <w:rPr>
        <w:rFonts w:ascii="Symbol" w:hAnsi="Symbol" w:hint="default"/>
        <w:sz w:val="20"/>
      </w:rPr>
    </w:lvl>
    <w:lvl w:ilvl="1" w:tentative="1">
      <w:start w:val="1"/>
      <w:numFmt w:val="bullet"/>
      <w:lvlText w:val="o"/>
      <w:lvlJc w:val="left"/>
      <w:pPr>
        <w:tabs>
          <w:tab w:val="num" w:pos="3851"/>
        </w:tabs>
        <w:ind w:left="3851" w:hanging="360"/>
      </w:pPr>
      <w:rPr>
        <w:rFonts w:ascii="Courier New" w:hAnsi="Courier New" w:hint="default"/>
        <w:sz w:val="20"/>
      </w:rPr>
    </w:lvl>
    <w:lvl w:ilvl="2" w:tentative="1">
      <w:start w:val="1"/>
      <w:numFmt w:val="bullet"/>
      <w:lvlText w:val=""/>
      <w:lvlJc w:val="left"/>
      <w:pPr>
        <w:tabs>
          <w:tab w:val="num" w:pos="4571"/>
        </w:tabs>
        <w:ind w:left="4571" w:hanging="360"/>
      </w:pPr>
      <w:rPr>
        <w:rFonts w:ascii="Wingdings" w:hAnsi="Wingdings" w:hint="default"/>
        <w:sz w:val="20"/>
      </w:rPr>
    </w:lvl>
    <w:lvl w:ilvl="3" w:tentative="1">
      <w:start w:val="1"/>
      <w:numFmt w:val="bullet"/>
      <w:lvlText w:val=""/>
      <w:lvlJc w:val="left"/>
      <w:pPr>
        <w:tabs>
          <w:tab w:val="num" w:pos="5291"/>
        </w:tabs>
        <w:ind w:left="5291" w:hanging="360"/>
      </w:pPr>
      <w:rPr>
        <w:rFonts w:ascii="Wingdings" w:hAnsi="Wingdings" w:hint="default"/>
        <w:sz w:val="20"/>
      </w:rPr>
    </w:lvl>
    <w:lvl w:ilvl="4" w:tentative="1">
      <w:start w:val="1"/>
      <w:numFmt w:val="bullet"/>
      <w:lvlText w:val=""/>
      <w:lvlJc w:val="left"/>
      <w:pPr>
        <w:tabs>
          <w:tab w:val="num" w:pos="6011"/>
        </w:tabs>
        <w:ind w:left="6011" w:hanging="360"/>
      </w:pPr>
      <w:rPr>
        <w:rFonts w:ascii="Wingdings" w:hAnsi="Wingdings" w:hint="default"/>
        <w:sz w:val="20"/>
      </w:rPr>
    </w:lvl>
    <w:lvl w:ilvl="5" w:tentative="1">
      <w:start w:val="1"/>
      <w:numFmt w:val="bullet"/>
      <w:lvlText w:val=""/>
      <w:lvlJc w:val="left"/>
      <w:pPr>
        <w:tabs>
          <w:tab w:val="num" w:pos="6731"/>
        </w:tabs>
        <w:ind w:left="6731" w:hanging="360"/>
      </w:pPr>
      <w:rPr>
        <w:rFonts w:ascii="Wingdings" w:hAnsi="Wingdings" w:hint="default"/>
        <w:sz w:val="20"/>
      </w:rPr>
    </w:lvl>
    <w:lvl w:ilvl="6" w:tentative="1">
      <w:start w:val="1"/>
      <w:numFmt w:val="bullet"/>
      <w:lvlText w:val=""/>
      <w:lvlJc w:val="left"/>
      <w:pPr>
        <w:tabs>
          <w:tab w:val="num" w:pos="7451"/>
        </w:tabs>
        <w:ind w:left="7451" w:hanging="360"/>
      </w:pPr>
      <w:rPr>
        <w:rFonts w:ascii="Wingdings" w:hAnsi="Wingdings" w:hint="default"/>
        <w:sz w:val="20"/>
      </w:rPr>
    </w:lvl>
    <w:lvl w:ilvl="7" w:tentative="1">
      <w:start w:val="1"/>
      <w:numFmt w:val="bullet"/>
      <w:lvlText w:val=""/>
      <w:lvlJc w:val="left"/>
      <w:pPr>
        <w:tabs>
          <w:tab w:val="num" w:pos="8171"/>
        </w:tabs>
        <w:ind w:left="8171" w:hanging="360"/>
      </w:pPr>
      <w:rPr>
        <w:rFonts w:ascii="Wingdings" w:hAnsi="Wingdings" w:hint="default"/>
        <w:sz w:val="20"/>
      </w:rPr>
    </w:lvl>
    <w:lvl w:ilvl="8" w:tentative="1">
      <w:start w:val="1"/>
      <w:numFmt w:val="bullet"/>
      <w:lvlText w:val=""/>
      <w:lvlJc w:val="left"/>
      <w:pPr>
        <w:tabs>
          <w:tab w:val="num" w:pos="8891"/>
        </w:tabs>
        <w:ind w:left="8891" w:hanging="360"/>
      </w:pPr>
      <w:rPr>
        <w:rFonts w:ascii="Wingdings" w:hAnsi="Wingdings" w:hint="default"/>
        <w:sz w:val="20"/>
      </w:rPr>
    </w:lvl>
  </w:abstractNum>
  <w:abstractNum w:abstractNumId="2" w15:restartNumberingAfterBreak="0">
    <w:nsid w:val="06ED7418"/>
    <w:multiLevelType w:val="multilevel"/>
    <w:tmpl w:val="F594BDC4"/>
    <w:lvl w:ilvl="0">
      <w:start w:val="6"/>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80A2475"/>
    <w:multiLevelType w:val="multilevel"/>
    <w:tmpl w:val="89D4F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 w15:restartNumberingAfterBreak="0">
    <w:nsid w:val="09F34DE4"/>
    <w:multiLevelType w:val="multilevel"/>
    <w:tmpl w:val="E6FCE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303CD3"/>
    <w:multiLevelType w:val="multilevel"/>
    <w:tmpl w:val="5EBE1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3A34AD"/>
    <w:multiLevelType w:val="hybridMultilevel"/>
    <w:tmpl w:val="011858B0"/>
    <w:lvl w:ilvl="0" w:tplc="D090DEC2">
      <w:start w:val="1"/>
      <w:numFmt w:val="bullet"/>
      <w:lvlText w:val=""/>
      <w:lvlJc w:val="left"/>
      <w:pPr>
        <w:ind w:left="1440" w:hanging="360"/>
      </w:pPr>
      <w:rPr>
        <w:rFonts w:ascii="Symbol" w:hAnsi="Symbol"/>
      </w:rPr>
    </w:lvl>
    <w:lvl w:ilvl="1" w:tplc="5E3C9780">
      <w:start w:val="1"/>
      <w:numFmt w:val="bullet"/>
      <w:lvlText w:val=""/>
      <w:lvlJc w:val="left"/>
      <w:pPr>
        <w:ind w:left="1440" w:hanging="360"/>
      </w:pPr>
      <w:rPr>
        <w:rFonts w:ascii="Symbol" w:hAnsi="Symbol"/>
      </w:rPr>
    </w:lvl>
    <w:lvl w:ilvl="2" w:tplc="99E44AFA">
      <w:start w:val="1"/>
      <w:numFmt w:val="bullet"/>
      <w:lvlText w:val=""/>
      <w:lvlJc w:val="left"/>
      <w:pPr>
        <w:ind w:left="1440" w:hanging="360"/>
      </w:pPr>
      <w:rPr>
        <w:rFonts w:ascii="Symbol" w:hAnsi="Symbol"/>
      </w:rPr>
    </w:lvl>
    <w:lvl w:ilvl="3" w:tplc="DB62E488">
      <w:start w:val="1"/>
      <w:numFmt w:val="bullet"/>
      <w:lvlText w:val=""/>
      <w:lvlJc w:val="left"/>
      <w:pPr>
        <w:ind w:left="1440" w:hanging="360"/>
      </w:pPr>
      <w:rPr>
        <w:rFonts w:ascii="Symbol" w:hAnsi="Symbol"/>
      </w:rPr>
    </w:lvl>
    <w:lvl w:ilvl="4" w:tplc="C430F938">
      <w:start w:val="1"/>
      <w:numFmt w:val="bullet"/>
      <w:lvlText w:val=""/>
      <w:lvlJc w:val="left"/>
      <w:pPr>
        <w:ind w:left="1440" w:hanging="360"/>
      </w:pPr>
      <w:rPr>
        <w:rFonts w:ascii="Symbol" w:hAnsi="Symbol"/>
      </w:rPr>
    </w:lvl>
    <w:lvl w:ilvl="5" w:tplc="9462E05C">
      <w:start w:val="1"/>
      <w:numFmt w:val="bullet"/>
      <w:lvlText w:val=""/>
      <w:lvlJc w:val="left"/>
      <w:pPr>
        <w:ind w:left="1440" w:hanging="360"/>
      </w:pPr>
      <w:rPr>
        <w:rFonts w:ascii="Symbol" w:hAnsi="Symbol"/>
      </w:rPr>
    </w:lvl>
    <w:lvl w:ilvl="6" w:tplc="AA22534A">
      <w:start w:val="1"/>
      <w:numFmt w:val="bullet"/>
      <w:lvlText w:val=""/>
      <w:lvlJc w:val="left"/>
      <w:pPr>
        <w:ind w:left="1440" w:hanging="360"/>
      </w:pPr>
      <w:rPr>
        <w:rFonts w:ascii="Symbol" w:hAnsi="Symbol"/>
      </w:rPr>
    </w:lvl>
    <w:lvl w:ilvl="7" w:tplc="98C68512">
      <w:start w:val="1"/>
      <w:numFmt w:val="bullet"/>
      <w:lvlText w:val=""/>
      <w:lvlJc w:val="left"/>
      <w:pPr>
        <w:ind w:left="1440" w:hanging="360"/>
      </w:pPr>
      <w:rPr>
        <w:rFonts w:ascii="Symbol" w:hAnsi="Symbol"/>
      </w:rPr>
    </w:lvl>
    <w:lvl w:ilvl="8" w:tplc="690C6F28">
      <w:start w:val="1"/>
      <w:numFmt w:val="bullet"/>
      <w:lvlText w:val=""/>
      <w:lvlJc w:val="left"/>
      <w:pPr>
        <w:ind w:left="1440" w:hanging="360"/>
      </w:pPr>
      <w:rPr>
        <w:rFonts w:ascii="Symbol" w:hAnsi="Symbol"/>
      </w:rPr>
    </w:lvl>
  </w:abstractNum>
  <w:abstractNum w:abstractNumId="8" w15:restartNumberingAfterBreak="0">
    <w:nsid w:val="0E6736B6"/>
    <w:multiLevelType w:val="multilevel"/>
    <w:tmpl w:val="5D82B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C131D8"/>
    <w:multiLevelType w:val="multilevel"/>
    <w:tmpl w:val="DF80C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54247C"/>
    <w:multiLevelType w:val="multilevel"/>
    <w:tmpl w:val="A6EAC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D20631"/>
    <w:multiLevelType w:val="multilevel"/>
    <w:tmpl w:val="85A23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1552B4D"/>
    <w:multiLevelType w:val="multilevel"/>
    <w:tmpl w:val="D8F00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16B5CE6"/>
    <w:multiLevelType w:val="multilevel"/>
    <w:tmpl w:val="7A162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1772FC7"/>
    <w:multiLevelType w:val="hybridMultilevel"/>
    <w:tmpl w:val="38324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18301D4"/>
    <w:multiLevelType w:val="multilevel"/>
    <w:tmpl w:val="96DAC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1B16CFE"/>
    <w:multiLevelType w:val="multilevel"/>
    <w:tmpl w:val="55761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33C2964"/>
    <w:multiLevelType w:val="hybridMultilevel"/>
    <w:tmpl w:val="3866E81A"/>
    <w:lvl w:ilvl="0" w:tplc="F5346D92">
      <w:start w:val="1"/>
      <w:numFmt w:val="bullet"/>
      <w:lvlText w:val=""/>
      <w:lvlJc w:val="left"/>
      <w:pPr>
        <w:ind w:left="1080" w:hanging="360"/>
      </w:pPr>
      <w:rPr>
        <w:rFonts w:ascii="Symbol" w:hAnsi="Symbol"/>
      </w:rPr>
    </w:lvl>
    <w:lvl w:ilvl="1" w:tplc="0562C91E">
      <w:start w:val="1"/>
      <w:numFmt w:val="bullet"/>
      <w:lvlText w:val=""/>
      <w:lvlJc w:val="left"/>
      <w:pPr>
        <w:ind w:left="1080" w:hanging="360"/>
      </w:pPr>
      <w:rPr>
        <w:rFonts w:ascii="Symbol" w:hAnsi="Symbol"/>
      </w:rPr>
    </w:lvl>
    <w:lvl w:ilvl="2" w:tplc="FC40D24A">
      <w:start w:val="1"/>
      <w:numFmt w:val="bullet"/>
      <w:lvlText w:val=""/>
      <w:lvlJc w:val="left"/>
      <w:pPr>
        <w:ind w:left="1080" w:hanging="360"/>
      </w:pPr>
      <w:rPr>
        <w:rFonts w:ascii="Symbol" w:hAnsi="Symbol"/>
      </w:rPr>
    </w:lvl>
    <w:lvl w:ilvl="3" w:tplc="FA149EFC">
      <w:start w:val="1"/>
      <w:numFmt w:val="bullet"/>
      <w:lvlText w:val=""/>
      <w:lvlJc w:val="left"/>
      <w:pPr>
        <w:ind w:left="1080" w:hanging="360"/>
      </w:pPr>
      <w:rPr>
        <w:rFonts w:ascii="Symbol" w:hAnsi="Symbol"/>
      </w:rPr>
    </w:lvl>
    <w:lvl w:ilvl="4" w:tplc="B9FA46D4">
      <w:start w:val="1"/>
      <w:numFmt w:val="bullet"/>
      <w:lvlText w:val=""/>
      <w:lvlJc w:val="left"/>
      <w:pPr>
        <w:ind w:left="1080" w:hanging="360"/>
      </w:pPr>
      <w:rPr>
        <w:rFonts w:ascii="Symbol" w:hAnsi="Symbol"/>
      </w:rPr>
    </w:lvl>
    <w:lvl w:ilvl="5" w:tplc="86A84088">
      <w:start w:val="1"/>
      <w:numFmt w:val="bullet"/>
      <w:lvlText w:val=""/>
      <w:lvlJc w:val="left"/>
      <w:pPr>
        <w:ind w:left="1080" w:hanging="360"/>
      </w:pPr>
      <w:rPr>
        <w:rFonts w:ascii="Symbol" w:hAnsi="Symbol"/>
      </w:rPr>
    </w:lvl>
    <w:lvl w:ilvl="6" w:tplc="EF26483E">
      <w:start w:val="1"/>
      <w:numFmt w:val="bullet"/>
      <w:lvlText w:val=""/>
      <w:lvlJc w:val="left"/>
      <w:pPr>
        <w:ind w:left="1080" w:hanging="360"/>
      </w:pPr>
      <w:rPr>
        <w:rFonts w:ascii="Symbol" w:hAnsi="Symbol"/>
      </w:rPr>
    </w:lvl>
    <w:lvl w:ilvl="7" w:tplc="FAD212C6">
      <w:start w:val="1"/>
      <w:numFmt w:val="bullet"/>
      <w:lvlText w:val=""/>
      <w:lvlJc w:val="left"/>
      <w:pPr>
        <w:ind w:left="1080" w:hanging="360"/>
      </w:pPr>
      <w:rPr>
        <w:rFonts w:ascii="Symbol" w:hAnsi="Symbol"/>
      </w:rPr>
    </w:lvl>
    <w:lvl w:ilvl="8" w:tplc="757A501A">
      <w:start w:val="1"/>
      <w:numFmt w:val="bullet"/>
      <w:lvlText w:val=""/>
      <w:lvlJc w:val="left"/>
      <w:pPr>
        <w:ind w:left="1080" w:hanging="360"/>
      </w:pPr>
      <w:rPr>
        <w:rFonts w:ascii="Symbol" w:hAnsi="Symbol"/>
      </w:rPr>
    </w:lvl>
  </w:abstractNum>
  <w:abstractNum w:abstractNumId="18" w15:restartNumberingAfterBreak="0">
    <w:nsid w:val="13FF5FDF"/>
    <w:multiLevelType w:val="multilevel"/>
    <w:tmpl w:val="883CC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4F6613F"/>
    <w:multiLevelType w:val="multilevel"/>
    <w:tmpl w:val="D8864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5836944"/>
    <w:multiLevelType w:val="hybridMultilevel"/>
    <w:tmpl w:val="436AB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9B32E45"/>
    <w:multiLevelType w:val="multilevel"/>
    <w:tmpl w:val="73864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A9E5CC4"/>
    <w:multiLevelType w:val="multilevel"/>
    <w:tmpl w:val="066A5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DED3CCD"/>
    <w:multiLevelType w:val="multilevel"/>
    <w:tmpl w:val="8200A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E7F2D33"/>
    <w:multiLevelType w:val="multilevel"/>
    <w:tmpl w:val="78A82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04649A9"/>
    <w:multiLevelType w:val="multilevel"/>
    <w:tmpl w:val="450E9548"/>
    <w:lvl w:ilvl="0">
      <w:start w:val="1"/>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20A10B2C"/>
    <w:multiLevelType w:val="hybridMultilevel"/>
    <w:tmpl w:val="6D921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0DC53B3"/>
    <w:multiLevelType w:val="multilevel"/>
    <w:tmpl w:val="8EBC2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1A6118A"/>
    <w:multiLevelType w:val="hybridMultilevel"/>
    <w:tmpl w:val="387EC8C0"/>
    <w:lvl w:ilvl="0" w:tplc="E8221558">
      <w:start w:val="1"/>
      <w:numFmt w:val="decimal"/>
      <w:lvlText w:val="%1)"/>
      <w:lvlJc w:val="left"/>
      <w:pPr>
        <w:ind w:left="1020" w:hanging="360"/>
      </w:pPr>
    </w:lvl>
    <w:lvl w:ilvl="1" w:tplc="3B908B38">
      <w:start w:val="1"/>
      <w:numFmt w:val="decimal"/>
      <w:lvlText w:val="%2)"/>
      <w:lvlJc w:val="left"/>
      <w:pPr>
        <w:ind w:left="1020" w:hanging="360"/>
      </w:pPr>
    </w:lvl>
    <w:lvl w:ilvl="2" w:tplc="4468D624">
      <w:start w:val="1"/>
      <w:numFmt w:val="decimal"/>
      <w:lvlText w:val="%3)"/>
      <w:lvlJc w:val="left"/>
      <w:pPr>
        <w:ind w:left="1020" w:hanging="360"/>
      </w:pPr>
    </w:lvl>
    <w:lvl w:ilvl="3" w:tplc="A0127640">
      <w:start w:val="1"/>
      <w:numFmt w:val="decimal"/>
      <w:lvlText w:val="%4)"/>
      <w:lvlJc w:val="left"/>
      <w:pPr>
        <w:ind w:left="1020" w:hanging="360"/>
      </w:pPr>
    </w:lvl>
    <w:lvl w:ilvl="4" w:tplc="E244ED36">
      <w:start w:val="1"/>
      <w:numFmt w:val="decimal"/>
      <w:lvlText w:val="%5)"/>
      <w:lvlJc w:val="left"/>
      <w:pPr>
        <w:ind w:left="1020" w:hanging="360"/>
      </w:pPr>
    </w:lvl>
    <w:lvl w:ilvl="5" w:tplc="DBF0345C">
      <w:start w:val="1"/>
      <w:numFmt w:val="decimal"/>
      <w:lvlText w:val="%6)"/>
      <w:lvlJc w:val="left"/>
      <w:pPr>
        <w:ind w:left="1020" w:hanging="360"/>
      </w:pPr>
    </w:lvl>
    <w:lvl w:ilvl="6" w:tplc="36408C58">
      <w:start w:val="1"/>
      <w:numFmt w:val="decimal"/>
      <w:lvlText w:val="%7)"/>
      <w:lvlJc w:val="left"/>
      <w:pPr>
        <w:ind w:left="1020" w:hanging="360"/>
      </w:pPr>
    </w:lvl>
    <w:lvl w:ilvl="7" w:tplc="A6465656">
      <w:start w:val="1"/>
      <w:numFmt w:val="decimal"/>
      <w:lvlText w:val="%8)"/>
      <w:lvlJc w:val="left"/>
      <w:pPr>
        <w:ind w:left="1020" w:hanging="360"/>
      </w:pPr>
    </w:lvl>
    <w:lvl w:ilvl="8" w:tplc="97B8E5F4">
      <w:start w:val="1"/>
      <w:numFmt w:val="decimal"/>
      <w:lvlText w:val="%9)"/>
      <w:lvlJc w:val="left"/>
      <w:pPr>
        <w:ind w:left="1020" w:hanging="360"/>
      </w:pPr>
    </w:lvl>
  </w:abstractNum>
  <w:abstractNum w:abstractNumId="29" w15:restartNumberingAfterBreak="0">
    <w:nsid w:val="253E01EB"/>
    <w:multiLevelType w:val="multilevel"/>
    <w:tmpl w:val="72A6C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96257C0"/>
    <w:multiLevelType w:val="multilevel"/>
    <w:tmpl w:val="6F5C9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BFC0F4C"/>
    <w:multiLevelType w:val="multilevel"/>
    <w:tmpl w:val="F2184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C532B16"/>
    <w:multiLevelType w:val="multilevel"/>
    <w:tmpl w:val="490CCA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C672093"/>
    <w:multiLevelType w:val="hybridMultilevel"/>
    <w:tmpl w:val="CCC64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DA2518B"/>
    <w:multiLevelType w:val="hybridMultilevel"/>
    <w:tmpl w:val="35BA820A"/>
    <w:lvl w:ilvl="0" w:tplc="1C880EB2">
      <w:start w:val="1"/>
      <w:numFmt w:val="decimal"/>
      <w:lvlText w:val="%1."/>
      <w:lvlJc w:val="left"/>
      <w:pPr>
        <w:ind w:left="1440" w:hanging="360"/>
      </w:pPr>
    </w:lvl>
    <w:lvl w:ilvl="1" w:tplc="240E9F6A">
      <w:start w:val="1"/>
      <w:numFmt w:val="decimal"/>
      <w:lvlText w:val="%2."/>
      <w:lvlJc w:val="left"/>
      <w:pPr>
        <w:ind w:left="1440" w:hanging="360"/>
      </w:pPr>
    </w:lvl>
    <w:lvl w:ilvl="2" w:tplc="16866C6C">
      <w:start w:val="1"/>
      <w:numFmt w:val="decimal"/>
      <w:lvlText w:val="%3."/>
      <w:lvlJc w:val="left"/>
      <w:pPr>
        <w:ind w:left="1440" w:hanging="360"/>
      </w:pPr>
    </w:lvl>
    <w:lvl w:ilvl="3" w:tplc="F4365BCE">
      <w:start w:val="1"/>
      <w:numFmt w:val="decimal"/>
      <w:lvlText w:val="%4."/>
      <w:lvlJc w:val="left"/>
      <w:pPr>
        <w:ind w:left="1440" w:hanging="360"/>
      </w:pPr>
    </w:lvl>
    <w:lvl w:ilvl="4" w:tplc="535A0A30">
      <w:start w:val="1"/>
      <w:numFmt w:val="decimal"/>
      <w:lvlText w:val="%5."/>
      <w:lvlJc w:val="left"/>
      <w:pPr>
        <w:ind w:left="1440" w:hanging="360"/>
      </w:pPr>
    </w:lvl>
    <w:lvl w:ilvl="5" w:tplc="5314BDAE">
      <w:start w:val="1"/>
      <w:numFmt w:val="decimal"/>
      <w:lvlText w:val="%6."/>
      <w:lvlJc w:val="left"/>
      <w:pPr>
        <w:ind w:left="1440" w:hanging="360"/>
      </w:pPr>
    </w:lvl>
    <w:lvl w:ilvl="6" w:tplc="35CEA07E">
      <w:start w:val="1"/>
      <w:numFmt w:val="decimal"/>
      <w:lvlText w:val="%7."/>
      <w:lvlJc w:val="left"/>
      <w:pPr>
        <w:ind w:left="1440" w:hanging="360"/>
      </w:pPr>
    </w:lvl>
    <w:lvl w:ilvl="7" w:tplc="895AD646">
      <w:start w:val="1"/>
      <w:numFmt w:val="decimal"/>
      <w:lvlText w:val="%8."/>
      <w:lvlJc w:val="left"/>
      <w:pPr>
        <w:ind w:left="1440" w:hanging="360"/>
      </w:pPr>
    </w:lvl>
    <w:lvl w:ilvl="8" w:tplc="FE187D7E">
      <w:start w:val="1"/>
      <w:numFmt w:val="decimal"/>
      <w:lvlText w:val="%9."/>
      <w:lvlJc w:val="left"/>
      <w:pPr>
        <w:ind w:left="1440" w:hanging="360"/>
      </w:pPr>
    </w:lvl>
  </w:abstractNum>
  <w:abstractNum w:abstractNumId="36" w15:restartNumberingAfterBreak="0">
    <w:nsid w:val="2EB51713"/>
    <w:multiLevelType w:val="multilevel"/>
    <w:tmpl w:val="BD841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15B268A"/>
    <w:multiLevelType w:val="multilevel"/>
    <w:tmpl w:val="6436F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16A6E21"/>
    <w:multiLevelType w:val="multilevel"/>
    <w:tmpl w:val="155E32F2"/>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9" w15:restartNumberingAfterBreak="0">
    <w:nsid w:val="322278B1"/>
    <w:multiLevelType w:val="multilevel"/>
    <w:tmpl w:val="EDF42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295411D"/>
    <w:multiLevelType w:val="multilevel"/>
    <w:tmpl w:val="820CA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6453E50"/>
    <w:multiLevelType w:val="multilevel"/>
    <w:tmpl w:val="A5E02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CC21CED"/>
    <w:multiLevelType w:val="multilevel"/>
    <w:tmpl w:val="CF3E2F4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DA80970"/>
    <w:multiLevelType w:val="multilevel"/>
    <w:tmpl w:val="9962F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DCD220A"/>
    <w:multiLevelType w:val="multilevel"/>
    <w:tmpl w:val="02723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E172A36"/>
    <w:multiLevelType w:val="multilevel"/>
    <w:tmpl w:val="1352A4D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6" w15:restartNumberingAfterBreak="0">
    <w:nsid w:val="40A1152C"/>
    <w:multiLevelType w:val="multilevel"/>
    <w:tmpl w:val="E110A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250385D"/>
    <w:multiLevelType w:val="multilevel"/>
    <w:tmpl w:val="FE468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3A43C1C"/>
    <w:multiLevelType w:val="multilevel"/>
    <w:tmpl w:val="A1803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52C602A"/>
    <w:multiLevelType w:val="hybridMultilevel"/>
    <w:tmpl w:val="CB24B5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47DE5EFE"/>
    <w:multiLevelType w:val="multilevel"/>
    <w:tmpl w:val="19202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7FD78B2"/>
    <w:multiLevelType w:val="multilevel"/>
    <w:tmpl w:val="22FC6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8CB5B2F"/>
    <w:multiLevelType w:val="multilevel"/>
    <w:tmpl w:val="AA4A4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A4C059A"/>
    <w:multiLevelType w:val="multilevel"/>
    <w:tmpl w:val="552AA008"/>
    <w:lvl w:ilvl="0">
      <w:start w:val="6"/>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4A5845F8"/>
    <w:multiLevelType w:val="multilevel"/>
    <w:tmpl w:val="EF1EE2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5" w15:restartNumberingAfterBreak="0">
    <w:nsid w:val="4AB05829"/>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4B4D1B19"/>
    <w:multiLevelType w:val="hybridMultilevel"/>
    <w:tmpl w:val="5A1C709E"/>
    <w:lvl w:ilvl="0" w:tplc="095EAC58">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4E635E9E"/>
    <w:multiLevelType w:val="hybridMultilevel"/>
    <w:tmpl w:val="610A1D0C"/>
    <w:lvl w:ilvl="0" w:tplc="BF54A8DA">
      <w:start w:val="1"/>
      <w:numFmt w:val="decimal"/>
      <w:lvlText w:val="%1)"/>
      <w:lvlJc w:val="left"/>
      <w:pPr>
        <w:ind w:left="1020" w:hanging="360"/>
      </w:pPr>
    </w:lvl>
    <w:lvl w:ilvl="1" w:tplc="49661D86">
      <w:start w:val="1"/>
      <w:numFmt w:val="decimal"/>
      <w:lvlText w:val="%2)"/>
      <w:lvlJc w:val="left"/>
      <w:pPr>
        <w:ind w:left="1020" w:hanging="360"/>
      </w:pPr>
    </w:lvl>
    <w:lvl w:ilvl="2" w:tplc="FFCAB362">
      <w:start w:val="1"/>
      <w:numFmt w:val="decimal"/>
      <w:lvlText w:val="%3)"/>
      <w:lvlJc w:val="left"/>
      <w:pPr>
        <w:ind w:left="1020" w:hanging="360"/>
      </w:pPr>
    </w:lvl>
    <w:lvl w:ilvl="3" w:tplc="5E5EA6E2">
      <w:start w:val="1"/>
      <w:numFmt w:val="decimal"/>
      <w:lvlText w:val="%4)"/>
      <w:lvlJc w:val="left"/>
      <w:pPr>
        <w:ind w:left="1020" w:hanging="360"/>
      </w:pPr>
    </w:lvl>
    <w:lvl w:ilvl="4" w:tplc="CF5C928E">
      <w:start w:val="1"/>
      <w:numFmt w:val="decimal"/>
      <w:lvlText w:val="%5)"/>
      <w:lvlJc w:val="left"/>
      <w:pPr>
        <w:ind w:left="1020" w:hanging="360"/>
      </w:pPr>
    </w:lvl>
    <w:lvl w:ilvl="5" w:tplc="DBC25716">
      <w:start w:val="1"/>
      <w:numFmt w:val="decimal"/>
      <w:lvlText w:val="%6)"/>
      <w:lvlJc w:val="left"/>
      <w:pPr>
        <w:ind w:left="1020" w:hanging="360"/>
      </w:pPr>
    </w:lvl>
    <w:lvl w:ilvl="6" w:tplc="81808F18">
      <w:start w:val="1"/>
      <w:numFmt w:val="decimal"/>
      <w:lvlText w:val="%7)"/>
      <w:lvlJc w:val="left"/>
      <w:pPr>
        <w:ind w:left="1020" w:hanging="360"/>
      </w:pPr>
    </w:lvl>
    <w:lvl w:ilvl="7" w:tplc="052A5824">
      <w:start w:val="1"/>
      <w:numFmt w:val="decimal"/>
      <w:lvlText w:val="%8)"/>
      <w:lvlJc w:val="left"/>
      <w:pPr>
        <w:ind w:left="1020" w:hanging="360"/>
      </w:pPr>
    </w:lvl>
    <w:lvl w:ilvl="8" w:tplc="C548E780">
      <w:start w:val="1"/>
      <w:numFmt w:val="decimal"/>
      <w:lvlText w:val="%9)"/>
      <w:lvlJc w:val="left"/>
      <w:pPr>
        <w:ind w:left="1020" w:hanging="360"/>
      </w:pPr>
    </w:lvl>
  </w:abstractNum>
  <w:abstractNum w:abstractNumId="58" w15:restartNumberingAfterBreak="0">
    <w:nsid w:val="4F3454C2"/>
    <w:multiLevelType w:val="hybridMultilevel"/>
    <w:tmpl w:val="E500EF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FE846C0"/>
    <w:multiLevelType w:val="multilevel"/>
    <w:tmpl w:val="D626290E"/>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555738C1"/>
    <w:multiLevelType w:val="multilevel"/>
    <w:tmpl w:val="E2266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59B60F3"/>
    <w:multiLevelType w:val="multilevel"/>
    <w:tmpl w:val="0D76AD60"/>
    <w:lvl w:ilvl="0">
      <w:start w:val="1"/>
      <w:numFmt w:val="decimal"/>
      <w:lvlText w:val="%1."/>
      <w:lvlJc w:val="left"/>
      <w:pPr>
        <w:ind w:left="720" w:hanging="360"/>
      </w:pPr>
      <w:rPr>
        <w:rFonts w:hint="default"/>
      </w:rPr>
    </w:lvl>
    <w:lvl w:ilvl="1">
      <w:start w:val="1"/>
      <w:numFmt w:val="decimal"/>
      <w:isLgl/>
      <w:lvlText w:val="%1.%2"/>
      <w:lvlJc w:val="left"/>
      <w:pPr>
        <w:ind w:left="461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5604176E"/>
    <w:multiLevelType w:val="multilevel"/>
    <w:tmpl w:val="08FADD5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585F79C4"/>
    <w:multiLevelType w:val="multilevel"/>
    <w:tmpl w:val="46C8D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9FA1879"/>
    <w:multiLevelType w:val="hybridMultilevel"/>
    <w:tmpl w:val="333E3086"/>
    <w:lvl w:ilvl="0" w:tplc="F4F26B92">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5AD27A88"/>
    <w:multiLevelType w:val="multilevel"/>
    <w:tmpl w:val="0F46761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5B94007F"/>
    <w:multiLevelType w:val="multilevel"/>
    <w:tmpl w:val="4D0E7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06B3628"/>
    <w:multiLevelType w:val="multilevel"/>
    <w:tmpl w:val="A7D29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1CF16B7"/>
    <w:multiLevelType w:val="multilevel"/>
    <w:tmpl w:val="3F8AF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25820B9"/>
    <w:multiLevelType w:val="multilevel"/>
    <w:tmpl w:val="0EC26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2BA3C46"/>
    <w:multiLevelType w:val="hybridMultilevel"/>
    <w:tmpl w:val="F430A02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1" w15:restartNumberingAfterBreak="0">
    <w:nsid w:val="65CC1971"/>
    <w:multiLevelType w:val="multilevel"/>
    <w:tmpl w:val="60BC5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6284AAB"/>
    <w:multiLevelType w:val="multilevel"/>
    <w:tmpl w:val="752EF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7196908"/>
    <w:multiLevelType w:val="multilevel"/>
    <w:tmpl w:val="3E6C2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922111C"/>
    <w:multiLevelType w:val="hybridMultilevel"/>
    <w:tmpl w:val="10D64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A1E3C34"/>
    <w:multiLevelType w:val="multilevel"/>
    <w:tmpl w:val="CC78A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C87340E"/>
    <w:multiLevelType w:val="multilevel"/>
    <w:tmpl w:val="98CC5F6E"/>
    <w:lvl w:ilvl="0">
      <w:start w:val="6"/>
      <w:numFmt w:val="decimal"/>
      <w:lvlText w:val="%1"/>
      <w:lvlJc w:val="left"/>
      <w:pPr>
        <w:ind w:left="900" w:hanging="900"/>
      </w:pPr>
      <w:rPr>
        <w:rFonts w:ascii="Times New Roman" w:hAnsi="Times New Roman" w:cs="Times New Roman" w:hint="default"/>
        <w:b/>
      </w:rPr>
    </w:lvl>
    <w:lvl w:ilvl="1">
      <w:start w:val="2"/>
      <w:numFmt w:val="decimal"/>
      <w:lvlText w:val="%1.%2"/>
      <w:lvlJc w:val="left"/>
      <w:pPr>
        <w:ind w:left="900" w:hanging="900"/>
      </w:pPr>
      <w:rPr>
        <w:rFonts w:ascii="Arial" w:hAnsi="Arial" w:cs="Arial" w:hint="default"/>
        <w:b/>
      </w:rPr>
    </w:lvl>
    <w:lvl w:ilvl="2">
      <w:start w:val="1"/>
      <w:numFmt w:val="decimal"/>
      <w:lvlText w:val="%1.%2.%3"/>
      <w:lvlJc w:val="left"/>
      <w:pPr>
        <w:ind w:left="1080" w:hanging="1080"/>
      </w:pPr>
      <w:rPr>
        <w:rFonts w:ascii="Times New Roman" w:hAnsi="Times New Roman" w:cs="Times New Roman" w:hint="default"/>
        <w:b/>
      </w:rPr>
    </w:lvl>
    <w:lvl w:ilvl="3">
      <w:start w:val="1"/>
      <w:numFmt w:val="decimal"/>
      <w:lvlText w:val="%1.%2.%3.%4"/>
      <w:lvlJc w:val="left"/>
      <w:pPr>
        <w:ind w:left="1440" w:hanging="1440"/>
      </w:pPr>
      <w:rPr>
        <w:rFonts w:ascii="Arial" w:hAnsi="Arial" w:cs="Arial" w:hint="default"/>
        <w:b/>
      </w:rPr>
    </w:lvl>
    <w:lvl w:ilvl="4">
      <w:start w:val="1"/>
      <w:numFmt w:val="decimal"/>
      <w:lvlText w:val="%1.%2.%3.%4.%5"/>
      <w:lvlJc w:val="left"/>
      <w:pPr>
        <w:ind w:left="1800" w:hanging="1800"/>
      </w:pPr>
      <w:rPr>
        <w:rFonts w:ascii="Times New Roman" w:hAnsi="Times New Roman" w:cs="Times New Roman" w:hint="default"/>
        <w:b/>
      </w:rPr>
    </w:lvl>
    <w:lvl w:ilvl="5">
      <w:start w:val="1"/>
      <w:numFmt w:val="decimal"/>
      <w:lvlText w:val="%1.%2.%3.%4.%5.%6"/>
      <w:lvlJc w:val="left"/>
      <w:pPr>
        <w:ind w:left="2160" w:hanging="2160"/>
      </w:pPr>
      <w:rPr>
        <w:rFonts w:ascii="Times New Roman" w:hAnsi="Times New Roman" w:cs="Times New Roman" w:hint="default"/>
        <w:b/>
      </w:rPr>
    </w:lvl>
    <w:lvl w:ilvl="6">
      <w:start w:val="1"/>
      <w:numFmt w:val="decimal"/>
      <w:lvlText w:val="%1.%2.%3.%4.%5.%6.%7"/>
      <w:lvlJc w:val="left"/>
      <w:pPr>
        <w:ind w:left="2520" w:hanging="2520"/>
      </w:pPr>
      <w:rPr>
        <w:rFonts w:ascii="Times New Roman" w:hAnsi="Times New Roman" w:cs="Times New Roman" w:hint="default"/>
        <w:b/>
      </w:rPr>
    </w:lvl>
    <w:lvl w:ilvl="7">
      <w:start w:val="1"/>
      <w:numFmt w:val="decimal"/>
      <w:lvlText w:val="%1.%2.%3.%4.%5.%6.%7.%8"/>
      <w:lvlJc w:val="left"/>
      <w:pPr>
        <w:ind w:left="2880" w:hanging="2880"/>
      </w:pPr>
      <w:rPr>
        <w:rFonts w:ascii="Times New Roman" w:hAnsi="Times New Roman" w:cs="Times New Roman" w:hint="default"/>
        <w:b/>
      </w:rPr>
    </w:lvl>
    <w:lvl w:ilvl="8">
      <w:start w:val="1"/>
      <w:numFmt w:val="decimal"/>
      <w:lvlText w:val="%1.%2.%3.%4.%5.%6.%7.%8.%9"/>
      <w:lvlJc w:val="left"/>
      <w:pPr>
        <w:ind w:left="2880" w:hanging="2880"/>
      </w:pPr>
      <w:rPr>
        <w:rFonts w:ascii="Times New Roman" w:hAnsi="Times New Roman" w:cs="Times New Roman" w:hint="default"/>
        <w:b/>
      </w:rPr>
    </w:lvl>
  </w:abstractNum>
  <w:abstractNum w:abstractNumId="77" w15:restartNumberingAfterBreak="0">
    <w:nsid w:val="6E156309"/>
    <w:multiLevelType w:val="multilevel"/>
    <w:tmpl w:val="0D76AD60"/>
    <w:lvl w:ilvl="0">
      <w:start w:val="1"/>
      <w:numFmt w:val="decimal"/>
      <w:lvlText w:val="%1."/>
      <w:lvlJc w:val="left"/>
      <w:pPr>
        <w:ind w:left="720" w:hanging="360"/>
      </w:pPr>
      <w:rPr>
        <w:rFonts w:hint="default"/>
      </w:rPr>
    </w:lvl>
    <w:lvl w:ilvl="1">
      <w:start w:val="1"/>
      <w:numFmt w:val="decimal"/>
      <w:isLgl/>
      <w:lvlText w:val="%1.%2"/>
      <w:lvlJc w:val="left"/>
      <w:pPr>
        <w:ind w:left="461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72200CE3"/>
    <w:multiLevelType w:val="multilevel"/>
    <w:tmpl w:val="0CF8C600"/>
    <w:lvl w:ilvl="0">
      <w:start w:val="6"/>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74A120EC"/>
    <w:multiLevelType w:val="multilevel"/>
    <w:tmpl w:val="7494B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57B5174"/>
    <w:multiLevelType w:val="multilevel"/>
    <w:tmpl w:val="3D7AD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78A3A6A"/>
    <w:multiLevelType w:val="multilevel"/>
    <w:tmpl w:val="4C969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784D05EE"/>
    <w:multiLevelType w:val="multilevel"/>
    <w:tmpl w:val="37182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95E6AAA"/>
    <w:multiLevelType w:val="hybridMultilevel"/>
    <w:tmpl w:val="8716D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A3A5B4C"/>
    <w:multiLevelType w:val="hybridMultilevel"/>
    <w:tmpl w:val="82848C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7B484AC0"/>
    <w:multiLevelType w:val="multilevel"/>
    <w:tmpl w:val="DD5A7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BA534B5"/>
    <w:multiLevelType w:val="multilevel"/>
    <w:tmpl w:val="8ECCC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F2E6A30"/>
    <w:multiLevelType w:val="multilevel"/>
    <w:tmpl w:val="0E088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03983498">
    <w:abstractNumId w:val="85"/>
  </w:num>
  <w:num w:numId="2" w16cid:durableId="2051150121">
    <w:abstractNumId w:val="81"/>
  </w:num>
  <w:num w:numId="3" w16cid:durableId="351077229">
    <w:abstractNumId w:val="21"/>
  </w:num>
  <w:num w:numId="4" w16cid:durableId="637106791">
    <w:abstractNumId w:val="84"/>
  </w:num>
  <w:num w:numId="5" w16cid:durableId="1200048352">
    <w:abstractNumId w:val="25"/>
  </w:num>
  <w:num w:numId="6" w16cid:durableId="936904909">
    <w:abstractNumId w:val="46"/>
  </w:num>
  <w:num w:numId="7" w16cid:durableId="1788498189">
    <w:abstractNumId w:val="36"/>
  </w:num>
  <w:num w:numId="8" w16cid:durableId="1709377016">
    <w:abstractNumId w:val="37"/>
  </w:num>
  <w:num w:numId="9" w16cid:durableId="575820707">
    <w:abstractNumId w:val="56"/>
  </w:num>
  <w:num w:numId="10" w16cid:durableId="195578580">
    <w:abstractNumId w:val="70"/>
  </w:num>
  <w:num w:numId="11" w16cid:durableId="768045904">
    <w:abstractNumId w:val="80"/>
  </w:num>
  <w:num w:numId="12" w16cid:durableId="1109932163">
    <w:abstractNumId w:val="51"/>
  </w:num>
  <w:num w:numId="13" w16cid:durableId="571278968">
    <w:abstractNumId w:val="64"/>
  </w:num>
  <w:num w:numId="14" w16cid:durableId="1453131273">
    <w:abstractNumId w:val="38"/>
  </w:num>
  <w:num w:numId="15" w16cid:durableId="794563210">
    <w:abstractNumId w:val="74"/>
  </w:num>
  <w:num w:numId="16" w16cid:durableId="1773742431">
    <w:abstractNumId w:val="45"/>
  </w:num>
  <w:num w:numId="17" w16cid:durableId="559831848">
    <w:abstractNumId w:val="67"/>
  </w:num>
  <w:num w:numId="18" w16cid:durableId="1352605815">
    <w:abstractNumId w:val="29"/>
  </w:num>
  <w:num w:numId="19" w16cid:durableId="215506714">
    <w:abstractNumId w:val="9"/>
  </w:num>
  <w:num w:numId="20" w16cid:durableId="314801835">
    <w:abstractNumId w:val="14"/>
  </w:num>
  <w:num w:numId="21" w16cid:durableId="2045978820">
    <w:abstractNumId w:val="34"/>
  </w:num>
  <w:num w:numId="22" w16cid:durableId="639462501">
    <w:abstractNumId w:val="26"/>
  </w:num>
  <w:num w:numId="23" w16cid:durableId="971205747">
    <w:abstractNumId w:val="49"/>
  </w:num>
  <w:num w:numId="24" w16cid:durableId="1899124000">
    <w:abstractNumId w:val="75"/>
  </w:num>
  <w:num w:numId="25" w16cid:durableId="1684472688">
    <w:abstractNumId w:val="44"/>
  </w:num>
  <w:num w:numId="26" w16cid:durableId="1461802048">
    <w:abstractNumId w:val="42"/>
  </w:num>
  <w:num w:numId="27" w16cid:durableId="1596085726">
    <w:abstractNumId w:val="62"/>
  </w:num>
  <w:num w:numId="28" w16cid:durableId="1574659658">
    <w:abstractNumId w:val="58"/>
  </w:num>
  <w:num w:numId="29" w16cid:durableId="125702781">
    <w:abstractNumId w:val="77"/>
  </w:num>
  <w:num w:numId="30" w16cid:durableId="1957058106">
    <w:abstractNumId w:val="86"/>
  </w:num>
  <w:num w:numId="31" w16cid:durableId="837040222">
    <w:abstractNumId w:val="1"/>
  </w:num>
  <w:num w:numId="32" w16cid:durableId="1893806145">
    <w:abstractNumId w:val="66"/>
  </w:num>
  <w:num w:numId="33" w16cid:durableId="276917021">
    <w:abstractNumId w:val="48"/>
  </w:num>
  <w:num w:numId="34" w16cid:durableId="1624799729">
    <w:abstractNumId w:val="50"/>
  </w:num>
  <w:num w:numId="35" w16cid:durableId="554894744">
    <w:abstractNumId w:val="12"/>
  </w:num>
  <w:num w:numId="36" w16cid:durableId="1218739863">
    <w:abstractNumId w:val="39"/>
  </w:num>
  <w:num w:numId="37" w16cid:durableId="1194929042">
    <w:abstractNumId w:val="82"/>
  </w:num>
  <w:num w:numId="38" w16cid:durableId="670061221">
    <w:abstractNumId w:val="54"/>
  </w:num>
  <w:num w:numId="39" w16cid:durableId="1227033066">
    <w:abstractNumId w:val="60"/>
  </w:num>
  <w:num w:numId="40" w16cid:durableId="883103785">
    <w:abstractNumId w:val="71"/>
  </w:num>
  <w:num w:numId="41" w16cid:durableId="571506572">
    <w:abstractNumId w:val="16"/>
  </w:num>
  <w:num w:numId="42" w16cid:durableId="2037727882">
    <w:abstractNumId w:val="52"/>
  </w:num>
  <w:num w:numId="43" w16cid:durableId="397022372">
    <w:abstractNumId w:val="83"/>
  </w:num>
  <w:num w:numId="44" w16cid:durableId="926696360">
    <w:abstractNumId w:val="20"/>
  </w:num>
  <w:num w:numId="45" w16cid:durableId="1698893756">
    <w:abstractNumId w:val="7"/>
  </w:num>
  <w:num w:numId="46" w16cid:durableId="1138448401">
    <w:abstractNumId w:val="40"/>
  </w:num>
  <w:num w:numId="47" w16cid:durableId="1483429420">
    <w:abstractNumId w:val="68"/>
  </w:num>
  <w:num w:numId="48" w16cid:durableId="989676422">
    <w:abstractNumId w:val="19"/>
  </w:num>
  <w:num w:numId="49" w16cid:durableId="110511785">
    <w:abstractNumId w:val="55"/>
  </w:num>
  <w:num w:numId="50" w16cid:durableId="1807311954">
    <w:abstractNumId w:val="22"/>
  </w:num>
  <w:num w:numId="51" w16cid:durableId="13117827">
    <w:abstractNumId w:val="69"/>
  </w:num>
  <w:num w:numId="52" w16cid:durableId="930506626">
    <w:abstractNumId w:val="63"/>
  </w:num>
  <w:num w:numId="53" w16cid:durableId="631718140">
    <w:abstractNumId w:val="27"/>
  </w:num>
  <w:num w:numId="54" w16cid:durableId="1546017263">
    <w:abstractNumId w:val="31"/>
  </w:num>
  <w:num w:numId="55" w16cid:durableId="1747191895">
    <w:abstractNumId w:val="87"/>
  </w:num>
  <w:num w:numId="56" w16cid:durableId="714499291">
    <w:abstractNumId w:val="32"/>
  </w:num>
  <w:num w:numId="57" w16cid:durableId="1777368118">
    <w:abstractNumId w:val="47"/>
  </w:num>
  <w:num w:numId="58" w16cid:durableId="994987799">
    <w:abstractNumId w:val="10"/>
  </w:num>
  <w:num w:numId="59" w16cid:durableId="98766185">
    <w:abstractNumId w:val="6"/>
  </w:num>
  <w:num w:numId="60" w16cid:durableId="1401058659">
    <w:abstractNumId w:val="59"/>
  </w:num>
  <w:num w:numId="61" w16cid:durableId="1220441589">
    <w:abstractNumId w:val="79"/>
  </w:num>
  <w:num w:numId="62" w16cid:durableId="511575560">
    <w:abstractNumId w:val="15"/>
  </w:num>
  <w:num w:numId="63" w16cid:durableId="682823336">
    <w:abstractNumId w:val="23"/>
  </w:num>
  <w:num w:numId="64" w16cid:durableId="32779203">
    <w:abstractNumId w:val="13"/>
  </w:num>
  <w:num w:numId="65" w16cid:durableId="269822313">
    <w:abstractNumId w:val="3"/>
  </w:num>
  <w:num w:numId="66" w16cid:durableId="2141262826">
    <w:abstractNumId w:val="24"/>
  </w:num>
  <w:num w:numId="67" w16cid:durableId="778838495">
    <w:abstractNumId w:val="73"/>
  </w:num>
  <w:num w:numId="68" w16cid:durableId="995836450">
    <w:abstractNumId w:val="18"/>
  </w:num>
  <w:num w:numId="69" w16cid:durableId="1170101463">
    <w:abstractNumId w:val="65"/>
  </w:num>
  <w:num w:numId="70" w16cid:durableId="1875192811">
    <w:abstractNumId w:val="53"/>
  </w:num>
  <w:num w:numId="71" w16cid:durableId="1799255040">
    <w:abstractNumId w:val="2"/>
  </w:num>
  <w:num w:numId="72" w16cid:durableId="231014451">
    <w:abstractNumId w:val="4"/>
  </w:num>
  <w:num w:numId="73" w16cid:durableId="152530960">
    <w:abstractNumId w:val="30"/>
  </w:num>
  <w:num w:numId="74" w16cid:durableId="1875733887">
    <w:abstractNumId w:val="33"/>
  </w:num>
  <w:num w:numId="75" w16cid:durableId="1216283164">
    <w:abstractNumId w:val="72"/>
  </w:num>
  <w:num w:numId="76" w16cid:durableId="286131877">
    <w:abstractNumId w:val="0"/>
  </w:num>
  <w:num w:numId="77" w16cid:durableId="286863887">
    <w:abstractNumId w:val="17"/>
  </w:num>
  <w:num w:numId="78" w16cid:durableId="246421696">
    <w:abstractNumId w:val="61"/>
  </w:num>
  <w:num w:numId="79" w16cid:durableId="377440084">
    <w:abstractNumId w:val="41"/>
  </w:num>
  <w:num w:numId="80" w16cid:durableId="1875725387">
    <w:abstractNumId w:val="28"/>
  </w:num>
  <w:num w:numId="81" w16cid:durableId="1400638474">
    <w:abstractNumId w:val="57"/>
  </w:num>
  <w:num w:numId="82" w16cid:durableId="46103891">
    <w:abstractNumId w:val="5"/>
  </w:num>
  <w:num w:numId="83" w16cid:durableId="191191002">
    <w:abstractNumId w:val="8"/>
  </w:num>
  <w:num w:numId="84" w16cid:durableId="2143033056">
    <w:abstractNumId w:val="78"/>
  </w:num>
  <w:num w:numId="85" w16cid:durableId="606548104">
    <w:abstractNumId w:val="35"/>
  </w:num>
  <w:num w:numId="86" w16cid:durableId="632372144">
    <w:abstractNumId w:val="43"/>
  </w:num>
  <w:num w:numId="87" w16cid:durableId="681006657">
    <w:abstractNumId w:val="76"/>
  </w:num>
  <w:num w:numId="88" w16cid:durableId="932471406">
    <w:abstractNumId w:val="11"/>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gan Knight">
    <w15:presenceInfo w15:providerId="None" w15:userId="Megan Knight"/>
  </w15:person>
  <w15:person w15:author="suvaluck satumanatpan">
    <w15:presenceInfo w15:providerId="Windows Live" w15:userId="20ad0221828c0e3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5CD"/>
    <w:rsid w:val="00003E09"/>
    <w:rsid w:val="0000410C"/>
    <w:rsid w:val="00012E9A"/>
    <w:rsid w:val="00012FFD"/>
    <w:rsid w:val="000134E8"/>
    <w:rsid w:val="00021D8C"/>
    <w:rsid w:val="000227E5"/>
    <w:rsid w:val="0002482A"/>
    <w:rsid w:val="00025507"/>
    <w:rsid w:val="000274BD"/>
    <w:rsid w:val="00032BD6"/>
    <w:rsid w:val="00034137"/>
    <w:rsid w:val="0003439A"/>
    <w:rsid w:val="00036DE1"/>
    <w:rsid w:val="00042798"/>
    <w:rsid w:val="0004656C"/>
    <w:rsid w:val="00047899"/>
    <w:rsid w:val="00052A31"/>
    <w:rsid w:val="000556DD"/>
    <w:rsid w:val="000608F6"/>
    <w:rsid w:val="00066204"/>
    <w:rsid w:val="00073188"/>
    <w:rsid w:val="00076256"/>
    <w:rsid w:val="000825C6"/>
    <w:rsid w:val="00083207"/>
    <w:rsid w:val="00085A59"/>
    <w:rsid w:val="00085C91"/>
    <w:rsid w:val="000902A6"/>
    <w:rsid w:val="00090903"/>
    <w:rsid w:val="000921E4"/>
    <w:rsid w:val="000A043A"/>
    <w:rsid w:val="000A367B"/>
    <w:rsid w:val="000A5D9B"/>
    <w:rsid w:val="000A6F78"/>
    <w:rsid w:val="000A7256"/>
    <w:rsid w:val="000A767C"/>
    <w:rsid w:val="000B1007"/>
    <w:rsid w:val="000B2165"/>
    <w:rsid w:val="000B6C61"/>
    <w:rsid w:val="000B716A"/>
    <w:rsid w:val="000C155E"/>
    <w:rsid w:val="000C3837"/>
    <w:rsid w:val="000C64B2"/>
    <w:rsid w:val="000C7C99"/>
    <w:rsid w:val="000D03F9"/>
    <w:rsid w:val="000F1F3F"/>
    <w:rsid w:val="000F38CD"/>
    <w:rsid w:val="00107923"/>
    <w:rsid w:val="001108FC"/>
    <w:rsid w:val="00114F20"/>
    <w:rsid w:val="001167EE"/>
    <w:rsid w:val="00124C18"/>
    <w:rsid w:val="001305D6"/>
    <w:rsid w:val="00136993"/>
    <w:rsid w:val="00142066"/>
    <w:rsid w:val="00147389"/>
    <w:rsid w:val="00153212"/>
    <w:rsid w:val="00153C00"/>
    <w:rsid w:val="00153CB0"/>
    <w:rsid w:val="001556D3"/>
    <w:rsid w:val="00161EB5"/>
    <w:rsid w:val="0016397E"/>
    <w:rsid w:val="00173FEF"/>
    <w:rsid w:val="001765FF"/>
    <w:rsid w:val="0018616B"/>
    <w:rsid w:val="00186887"/>
    <w:rsid w:val="001A1B29"/>
    <w:rsid w:val="001A202A"/>
    <w:rsid w:val="001B033B"/>
    <w:rsid w:val="001B5869"/>
    <w:rsid w:val="001B7BCD"/>
    <w:rsid w:val="001C209D"/>
    <w:rsid w:val="001C4FBC"/>
    <w:rsid w:val="001D54F1"/>
    <w:rsid w:val="001D73BF"/>
    <w:rsid w:val="001E0F69"/>
    <w:rsid w:val="001E2984"/>
    <w:rsid w:val="001E6536"/>
    <w:rsid w:val="00207337"/>
    <w:rsid w:val="0022008A"/>
    <w:rsid w:val="00220452"/>
    <w:rsid w:val="00220D46"/>
    <w:rsid w:val="00222551"/>
    <w:rsid w:val="00223E75"/>
    <w:rsid w:val="0023006F"/>
    <w:rsid w:val="0023215A"/>
    <w:rsid w:val="002423F2"/>
    <w:rsid w:val="00252195"/>
    <w:rsid w:val="00254F19"/>
    <w:rsid w:val="002615E0"/>
    <w:rsid w:val="00262438"/>
    <w:rsid w:val="0026735F"/>
    <w:rsid w:val="0026751D"/>
    <w:rsid w:val="0026752F"/>
    <w:rsid w:val="00267633"/>
    <w:rsid w:val="00267D61"/>
    <w:rsid w:val="00271C49"/>
    <w:rsid w:val="00272720"/>
    <w:rsid w:val="00275274"/>
    <w:rsid w:val="00287855"/>
    <w:rsid w:val="002909BB"/>
    <w:rsid w:val="00293E29"/>
    <w:rsid w:val="002959CF"/>
    <w:rsid w:val="002A13A6"/>
    <w:rsid w:val="002A17DF"/>
    <w:rsid w:val="002A410F"/>
    <w:rsid w:val="002A4C93"/>
    <w:rsid w:val="002A5070"/>
    <w:rsid w:val="002A5C6E"/>
    <w:rsid w:val="002A778B"/>
    <w:rsid w:val="002B198A"/>
    <w:rsid w:val="002B231D"/>
    <w:rsid w:val="002B6D5E"/>
    <w:rsid w:val="002C0193"/>
    <w:rsid w:val="002C3009"/>
    <w:rsid w:val="002C4967"/>
    <w:rsid w:val="002C5A1F"/>
    <w:rsid w:val="002C5A9F"/>
    <w:rsid w:val="002C60BE"/>
    <w:rsid w:val="002D3C1E"/>
    <w:rsid w:val="002D4BF1"/>
    <w:rsid w:val="002D56D4"/>
    <w:rsid w:val="002D702A"/>
    <w:rsid w:val="002E35A4"/>
    <w:rsid w:val="002E6D49"/>
    <w:rsid w:val="002F60C4"/>
    <w:rsid w:val="002F6E53"/>
    <w:rsid w:val="002F7A7C"/>
    <w:rsid w:val="003023F8"/>
    <w:rsid w:val="00307478"/>
    <w:rsid w:val="00307850"/>
    <w:rsid w:val="00310493"/>
    <w:rsid w:val="00310E0F"/>
    <w:rsid w:val="0031199B"/>
    <w:rsid w:val="00316D46"/>
    <w:rsid w:val="003242B4"/>
    <w:rsid w:val="00335582"/>
    <w:rsid w:val="00341305"/>
    <w:rsid w:val="003513D0"/>
    <w:rsid w:val="00352D0C"/>
    <w:rsid w:val="003567C1"/>
    <w:rsid w:val="003603F0"/>
    <w:rsid w:val="003612B2"/>
    <w:rsid w:val="0037324F"/>
    <w:rsid w:val="00376940"/>
    <w:rsid w:val="0037698B"/>
    <w:rsid w:val="003823C5"/>
    <w:rsid w:val="00382539"/>
    <w:rsid w:val="00384776"/>
    <w:rsid w:val="003923D1"/>
    <w:rsid w:val="00393473"/>
    <w:rsid w:val="00393B6B"/>
    <w:rsid w:val="00395E58"/>
    <w:rsid w:val="003A0533"/>
    <w:rsid w:val="003A1332"/>
    <w:rsid w:val="003A6DBF"/>
    <w:rsid w:val="003B3E87"/>
    <w:rsid w:val="003B6E11"/>
    <w:rsid w:val="003C09EA"/>
    <w:rsid w:val="003C243B"/>
    <w:rsid w:val="003C627C"/>
    <w:rsid w:val="003D3ADA"/>
    <w:rsid w:val="003D46E7"/>
    <w:rsid w:val="003D634E"/>
    <w:rsid w:val="003E03BC"/>
    <w:rsid w:val="003E210A"/>
    <w:rsid w:val="003E2ECC"/>
    <w:rsid w:val="003E311A"/>
    <w:rsid w:val="003E4196"/>
    <w:rsid w:val="003F1673"/>
    <w:rsid w:val="00404EE8"/>
    <w:rsid w:val="00406C80"/>
    <w:rsid w:val="00412508"/>
    <w:rsid w:val="004126DE"/>
    <w:rsid w:val="004147FD"/>
    <w:rsid w:val="00414C3E"/>
    <w:rsid w:val="00420D74"/>
    <w:rsid w:val="004214FD"/>
    <w:rsid w:val="00423A87"/>
    <w:rsid w:val="00427852"/>
    <w:rsid w:val="00435228"/>
    <w:rsid w:val="00443962"/>
    <w:rsid w:val="00443AA1"/>
    <w:rsid w:val="00446E09"/>
    <w:rsid w:val="00453052"/>
    <w:rsid w:val="00453D2B"/>
    <w:rsid w:val="00454DA7"/>
    <w:rsid w:val="00460387"/>
    <w:rsid w:val="004610D5"/>
    <w:rsid w:val="0046520E"/>
    <w:rsid w:val="0046534E"/>
    <w:rsid w:val="00466830"/>
    <w:rsid w:val="00470BBE"/>
    <w:rsid w:val="0047230B"/>
    <w:rsid w:val="00487221"/>
    <w:rsid w:val="00491C8E"/>
    <w:rsid w:val="00491F28"/>
    <w:rsid w:val="00493506"/>
    <w:rsid w:val="0049390E"/>
    <w:rsid w:val="00495297"/>
    <w:rsid w:val="00496620"/>
    <w:rsid w:val="00496A94"/>
    <w:rsid w:val="004A5D10"/>
    <w:rsid w:val="004A69D4"/>
    <w:rsid w:val="004A6F7C"/>
    <w:rsid w:val="004A7228"/>
    <w:rsid w:val="004A7B62"/>
    <w:rsid w:val="004B08A2"/>
    <w:rsid w:val="004B1BC4"/>
    <w:rsid w:val="004B69FA"/>
    <w:rsid w:val="004C0AC5"/>
    <w:rsid w:val="004C0E11"/>
    <w:rsid w:val="004C3380"/>
    <w:rsid w:val="004C408D"/>
    <w:rsid w:val="004E0F8D"/>
    <w:rsid w:val="004E2AE0"/>
    <w:rsid w:val="004E52F8"/>
    <w:rsid w:val="004E6F27"/>
    <w:rsid w:val="004E7D8B"/>
    <w:rsid w:val="004F33DB"/>
    <w:rsid w:val="004F6210"/>
    <w:rsid w:val="00502ED5"/>
    <w:rsid w:val="00520B0A"/>
    <w:rsid w:val="00522A8A"/>
    <w:rsid w:val="005231E3"/>
    <w:rsid w:val="00526300"/>
    <w:rsid w:val="00527695"/>
    <w:rsid w:val="00527DC1"/>
    <w:rsid w:val="0053553D"/>
    <w:rsid w:val="00536667"/>
    <w:rsid w:val="00537336"/>
    <w:rsid w:val="00551095"/>
    <w:rsid w:val="00551AC7"/>
    <w:rsid w:val="005564D4"/>
    <w:rsid w:val="00562245"/>
    <w:rsid w:val="005648E0"/>
    <w:rsid w:val="00565050"/>
    <w:rsid w:val="00571B10"/>
    <w:rsid w:val="0057258E"/>
    <w:rsid w:val="0057624B"/>
    <w:rsid w:val="00577BD2"/>
    <w:rsid w:val="0058323A"/>
    <w:rsid w:val="00583F4C"/>
    <w:rsid w:val="00590CFA"/>
    <w:rsid w:val="00593F82"/>
    <w:rsid w:val="00595024"/>
    <w:rsid w:val="00596726"/>
    <w:rsid w:val="00597287"/>
    <w:rsid w:val="005B2397"/>
    <w:rsid w:val="005B23B3"/>
    <w:rsid w:val="005B4593"/>
    <w:rsid w:val="005C04CA"/>
    <w:rsid w:val="005C740E"/>
    <w:rsid w:val="005D17BF"/>
    <w:rsid w:val="005E3628"/>
    <w:rsid w:val="005E3E20"/>
    <w:rsid w:val="005E53B0"/>
    <w:rsid w:val="005E78AF"/>
    <w:rsid w:val="005E7AA5"/>
    <w:rsid w:val="005F00EA"/>
    <w:rsid w:val="005F16B6"/>
    <w:rsid w:val="005F2BD7"/>
    <w:rsid w:val="005F4B96"/>
    <w:rsid w:val="005F5592"/>
    <w:rsid w:val="00601B4A"/>
    <w:rsid w:val="0060256A"/>
    <w:rsid w:val="00603BD9"/>
    <w:rsid w:val="00607BB7"/>
    <w:rsid w:val="00610DA2"/>
    <w:rsid w:val="00612B96"/>
    <w:rsid w:val="00613279"/>
    <w:rsid w:val="006154CA"/>
    <w:rsid w:val="00625558"/>
    <w:rsid w:val="0063145C"/>
    <w:rsid w:val="0063186E"/>
    <w:rsid w:val="00634F0B"/>
    <w:rsid w:val="006406C2"/>
    <w:rsid w:val="00641780"/>
    <w:rsid w:val="00642F05"/>
    <w:rsid w:val="00650840"/>
    <w:rsid w:val="00650D07"/>
    <w:rsid w:val="0065432E"/>
    <w:rsid w:val="006563BE"/>
    <w:rsid w:val="00660241"/>
    <w:rsid w:val="00661BA8"/>
    <w:rsid w:val="00667440"/>
    <w:rsid w:val="00674CB7"/>
    <w:rsid w:val="00677FE1"/>
    <w:rsid w:val="006855AA"/>
    <w:rsid w:val="00685A9D"/>
    <w:rsid w:val="006901D6"/>
    <w:rsid w:val="006A7322"/>
    <w:rsid w:val="006A75E6"/>
    <w:rsid w:val="006A78BC"/>
    <w:rsid w:val="006A7E1F"/>
    <w:rsid w:val="006B208E"/>
    <w:rsid w:val="006B2216"/>
    <w:rsid w:val="006B2D46"/>
    <w:rsid w:val="006B59CB"/>
    <w:rsid w:val="006B5D50"/>
    <w:rsid w:val="006B66FB"/>
    <w:rsid w:val="006C192C"/>
    <w:rsid w:val="006C205F"/>
    <w:rsid w:val="006C4983"/>
    <w:rsid w:val="006C7DBD"/>
    <w:rsid w:val="006D29DF"/>
    <w:rsid w:val="006D3550"/>
    <w:rsid w:val="006D4C91"/>
    <w:rsid w:val="006D623A"/>
    <w:rsid w:val="006D7573"/>
    <w:rsid w:val="006E30AE"/>
    <w:rsid w:val="006F4A3C"/>
    <w:rsid w:val="006F5ECC"/>
    <w:rsid w:val="00700C82"/>
    <w:rsid w:val="0070775A"/>
    <w:rsid w:val="007105B5"/>
    <w:rsid w:val="0071121B"/>
    <w:rsid w:val="007135CD"/>
    <w:rsid w:val="007172C0"/>
    <w:rsid w:val="00717565"/>
    <w:rsid w:val="00717E8A"/>
    <w:rsid w:val="00731EE0"/>
    <w:rsid w:val="007421B7"/>
    <w:rsid w:val="00742E51"/>
    <w:rsid w:val="007507BC"/>
    <w:rsid w:val="007519ED"/>
    <w:rsid w:val="0075457E"/>
    <w:rsid w:val="0075513F"/>
    <w:rsid w:val="007634DC"/>
    <w:rsid w:val="00763DEB"/>
    <w:rsid w:val="00763F9B"/>
    <w:rsid w:val="007804B0"/>
    <w:rsid w:val="00781547"/>
    <w:rsid w:val="007827F3"/>
    <w:rsid w:val="00783152"/>
    <w:rsid w:val="0078347A"/>
    <w:rsid w:val="007845D4"/>
    <w:rsid w:val="00787EAD"/>
    <w:rsid w:val="007950B6"/>
    <w:rsid w:val="007A4FBC"/>
    <w:rsid w:val="007A595D"/>
    <w:rsid w:val="007A6184"/>
    <w:rsid w:val="007C6E84"/>
    <w:rsid w:val="007C7F6E"/>
    <w:rsid w:val="007D1B57"/>
    <w:rsid w:val="007D5926"/>
    <w:rsid w:val="007E5FAA"/>
    <w:rsid w:val="007F4DAA"/>
    <w:rsid w:val="00802781"/>
    <w:rsid w:val="00806018"/>
    <w:rsid w:val="00825C46"/>
    <w:rsid w:val="00827728"/>
    <w:rsid w:val="008278AE"/>
    <w:rsid w:val="00830FE2"/>
    <w:rsid w:val="008317EF"/>
    <w:rsid w:val="00833B39"/>
    <w:rsid w:val="00836F62"/>
    <w:rsid w:val="008371D8"/>
    <w:rsid w:val="0084295E"/>
    <w:rsid w:val="00843085"/>
    <w:rsid w:val="00843A9A"/>
    <w:rsid w:val="00843C4F"/>
    <w:rsid w:val="00844243"/>
    <w:rsid w:val="0084486C"/>
    <w:rsid w:val="00851069"/>
    <w:rsid w:val="00852F91"/>
    <w:rsid w:val="0085398C"/>
    <w:rsid w:val="00853F9C"/>
    <w:rsid w:val="00860F3D"/>
    <w:rsid w:val="00865B40"/>
    <w:rsid w:val="00867078"/>
    <w:rsid w:val="00867124"/>
    <w:rsid w:val="008705C3"/>
    <w:rsid w:val="008766FC"/>
    <w:rsid w:val="008842B9"/>
    <w:rsid w:val="00890D38"/>
    <w:rsid w:val="008910A9"/>
    <w:rsid w:val="008950C6"/>
    <w:rsid w:val="008A340B"/>
    <w:rsid w:val="008A345C"/>
    <w:rsid w:val="008A513E"/>
    <w:rsid w:val="008A5F23"/>
    <w:rsid w:val="008A6EB0"/>
    <w:rsid w:val="008A7E10"/>
    <w:rsid w:val="008B4961"/>
    <w:rsid w:val="008C2593"/>
    <w:rsid w:val="008E2FBF"/>
    <w:rsid w:val="008E342C"/>
    <w:rsid w:val="008E3817"/>
    <w:rsid w:val="008E4CA0"/>
    <w:rsid w:val="008F03E9"/>
    <w:rsid w:val="008F661A"/>
    <w:rsid w:val="00906D3B"/>
    <w:rsid w:val="00910031"/>
    <w:rsid w:val="009124B4"/>
    <w:rsid w:val="00913511"/>
    <w:rsid w:val="00916231"/>
    <w:rsid w:val="00917526"/>
    <w:rsid w:val="00917585"/>
    <w:rsid w:val="009308D2"/>
    <w:rsid w:val="00931A65"/>
    <w:rsid w:val="00941232"/>
    <w:rsid w:val="0094142F"/>
    <w:rsid w:val="00952085"/>
    <w:rsid w:val="00953849"/>
    <w:rsid w:val="009619B6"/>
    <w:rsid w:val="00966BD5"/>
    <w:rsid w:val="00971833"/>
    <w:rsid w:val="0097322B"/>
    <w:rsid w:val="0097334C"/>
    <w:rsid w:val="009804EA"/>
    <w:rsid w:val="00982995"/>
    <w:rsid w:val="00983996"/>
    <w:rsid w:val="00983E2B"/>
    <w:rsid w:val="0099194C"/>
    <w:rsid w:val="00991E5E"/>
    <w:rsid w:val="0099621A"/>
    <w:rsid w:val="00997FF6"/>
    <w:rsid w:val="009B3BA7"/>
    <w:rsid w:val="009B5A38"/>
    <w:rsid w:val="009B5C31"/>
    <w:rsid w:val="009C6BBE"/>
    <w:rsid w:val="009D286E"/>
    <w:rsid w:val="009D3A83"/>
    <w:rsid w:val="009D4E74"/>
    <w:rsid w:val="009F249A"/>
    <w:rsid w:val="009F2CE9"/>
    <w:rsid w:val="009F4C49"/>
    <w:rsid w:val="009F5A8A"/>
    <w:rsid w:val="009F5AD5"/>
    <w:rsid w:val="00A02E2F"/>
    <w:rsid w:val="00A05C48"/>
    <w:rsid w:val="00A06513"/>
    <w:rsid w:val="00A07B97"/>
    <w:rsid w:val="00A10395"/>
    <w:rsid w:val="00A12692"/>
    <w:rsid w:val="00A221E0"/>
    <w:rsid w:val="00A224F9"/>
    <w:rsid w:val="00A23CC0"/>
    <w:rsid w:val="00A25890"/>
    <w:rsid w:val="00A406EB"/>
    <w:rsid w:val="00A412B9"/>
    <w:rsid w:val="00A425B8"/>
    <w:rsid w:val="00A46FC9"/>
    <w:rsid w:val="00A549AA"/>
    <w:rsid w:val="00A55CFF"/>
    <w:rsid w:val="00A56825"/>
    <w:rsid w:val="00A600DE"/>
    <w:rsid w:val="00A60163"/>
    <w:rsid w:val="00A603C6"/>
    <w:rsid w:val="00A61ABC"/>
    <w:rsid w:val="00A65227"/>
    <w:rsid w:val="00A66A97"/>
    <w:rsid w:val="00A74715"/>
    <w:rsid w:val="00A76C1D"/>
    <w:rsid w:val="00A77C3A"/>
    <w:rsid w:val="00A828DC"/>
    <w:rsid w:val="00A908CB"/>
    <w:rsid w:val="00A9242F"/>
    <w:rsid w:val="00A96B7D"/>
    <w:rsid w:val="00A97D60"/>
    <w:rsid w:val="00AA0B02"/>
    <w:rsid w:val="00AA0CCB"/>
    <w:rsid w:val="00AA1376"/>
    <w:rsid w:val="00AA2BE3"/>
    <w:rsid w:val="00AA49DB"/>
    <w:rsid w:val="00AA6A1D"/>
    <w:rsid w:val="00AA7C38"/>
    <w:rsid w:val="00AA7EE2"/>
    <w:rsid w:val="00AB0507"/>
    <w:rsid w:val="00AB07D7"/>
    <w:rsid w:val="00AB315D"/>
    <w:rsid w:val="00AB5B01"/>
    <w:rsid w:val="00AB735D"/>
    <w:rsid w:val="00AB7859"/>
    <w:rsid w:val="00AC68D1"/>
    <w:rsid w:val="00AE1896"/>
    <w:rsid w:val="00AE27F7"/>
    <w:rsid w:val="00AE2A6C"/>
    <w:rsid w:val="00AE447D"/>
    <w:rsid w:val="00AE5F62"/>
    <w:rsid w:val="00AF1392"/>
    <w:rsid w:val="00AF2E2B"/>
    <w:rsid w:val="00AF3A22"/>
    <w:rsid w:val="00AF4C01"/>
    <w:rsid w:val="00B00D52"/>
    <w:rsid w:val="00B05240"/>
    <w:rsid w:val="00B07203"/>
    <w:rsid w:val="00B12440"/>
    <w:rsid w:val="00B13E38"/>
    <w:rsid w:val="00B17498"/>
    <w:rsid w:val="00B2006A"/>
    <w:rsid w:val="00B20E44"/>
    <w:rsid w:val="00B2232B"/>
    <w:rsid w:val="00B22C1A"/>
    <w:rsid w:val="00B23369"/>
    <w:rsid w:val="00B25EAD"/>
    <w:rsid w:val="00B275FD"/>
    <w:rsid w:val="00B305FC"/>
    <w:rsid w:val="00B32C83"/>
    <w:rsid w:val="00B341E5"/>
    <w:rsid w:val="00B34FC7"/>
    <w:rsid w:val="00B37364"/>
    <w:rsid w:val="00B40042"/>
    <w:rsid w:val="00B40B87"/>
    <w:rsid w:val="00B4225B"/>
    <w:rsid w:val="00B455A9"/>
    <w:rsid w:val="00B550CF"/>
    <w:rsid w:val="00B558D7"/>
    <w:rsid w:val="00B57309"/>
    <w:rsid w:val="00B65044"/>
    <w:rsid w:val="00B85C38"/>
    <w:rsid w:val="00B90B30"/>
    <w:rsid w:val="00B91403"/>
    <w:rsid w:val="00B94391"/>
    <w:rsid w:val="00B96D8F"/>
    <w:rsid w:val="00BD7D85"/>
    <w:rsid w:val="00BE10AA"/>
    <w:rsid w:val="00BE6AD2"/>
    <w:rsid w:val="00BF222F"/>
    <w:rsid w:val="00BF37D7"/>
    <w:rsid w:val="00BF4D85"/>
    <w:rsid w:val="00BF4E70"/>
    <w:rsid w:val="00BF5332"/>
    <w:rsid w:val="00BF6E84"/>
    <w:rsid w:val="00BF7753"/>
    <w:rsid w:val="00C05304"/>
    <w:rsid w:val="00C07358"/>
    <w:rsid w:val="00C119A3"/>
    <w:rsid w:val="00C11DB3"/>
    <w:rsid w:val="00C127DE"/>
    <w:rsid w:val="00C144EB"/>
    <w:rsid w:val="00C21907"/>
    <w:rsid w:val="00C23789"/>
    <w:rsid w:val="00C25932"/>
    <w:rsid w:val="00C303FD"/>
    <w:rsid w:val="00C32CEB"/>
    <w:rsid w:val="00C400DF"/>
    <w:rsid w:val="00C40A94"/>
    <w:rsid w:val="00C42227"/>
    <w:rsid w:val="00C4236D"/>
    <w:rsid w:val="00C43F12"/>
    <w:rsid w:val="00C54E37"/>
    <w:rsid w:val="00C56061"/>
    <w:rsid w:val="00C5798E"/>
    <w:rsid w:val="00C65875"/>
    <w:rsid w:val="00C71F71"/>
    <w:rsid w:val="00C808E5"/>
    <w:rsid w:val="00C81D5C"/>
    <w:rsid w:val="00C83D89"/>
    <w:rsid w:val="00C9055D"/>
    <w:rsid w:val="00C93D2B"/>
    <w:rsid w:val="00CA347C"/>
    <w:rsid w:val="00CA4CA6"/>
    <w:rsid w:val="00CA570C"/>
    <w:rsid w:val="00CB5478"/>
    <w:rsid w:val="00CC2155"/>
    <w:rsid w:val="00CC2431"/>
    <w:rsid w:val="00CD57D2"/>
    <w:rsid w:val="00CD7B2C"/>
    <w:rsid w:val="00CE2257"/>
    <w:rsid w:val="00CE3AA3"/>
    <w:rsid w:val="00CF495F"/>
    <w:rsid w:val="00D029F8"/>
    <w:rsid w:val="00D04485"/>
    <w:rsid w:val="00D054B8"/>
    <w:rsid w:val="00D065D5"/>
    <w:rsid w:val="00D0749B"/>
    <w:rsid w:val="00D1274D"/>
    <w:rsid w:val="00D12C09"/>
    <w:rsid w:val="00D14999"/>
    <w:rsid w:val="00D21B02"/>
    <w:rsid w:val="00D443A3"/>
    <w:rsid w:val="00D5386B"/>
    <w:rsid w:val="00D5455F"/>
    <w:rsid w:val="00D579C8"/>
    <w:rsid w:val="00D60B8E"/>
    <w:rsid w:val="00D6342D"/>
    <w:rsid w:val="00D65A61"/>
    <w:rsid w:val="00D65CEC"/>
    <w:rsid w:val="00D67B24"/>
    <w:rsid w:val="00D72B4D"/>
    <w:rsid w:val="00D77423"/>
    <w:rsid w:val="00D80357"/>
    <w:rsid w:val="00D80C23"/>
    <w:rsid w:val="00D81C67"/>
    <w:rsid w:val="00D859A8"/>
    <w:rsid w:val="00D85CC9"/>
    <w:rsid w:val="00D873E7"/>
    <w:rsid w:val="00D8758D"/>
    <w:rsid w:val="00D937C0"/>
    <w:rsid w:val="00D96C35"/>
    <w:rsid w:val="00D96F19"/>
    <w:rsid w:val="00DA1A22"/>
    <w:rsid w:val="00DA1B60"/>
    <w:rsid w:val="00DA35F8"/>
    <w:rsid w:val="00DB0480"/>
    <w:rsid w:val="00DB60F7"/>
    <w:rsid w:val="00DC0826"/>
    <w:rsid w:val="00DE08F4"/>
    <w:rsid w:val="00DE4A83"/>
    <w:rsid w:val="00DF45F6"/>
    <w:rsid w:val="00E01D2D"/>
    <w:rsid w:val="00E0342A"/>
    <w:rsid w:val="00E0490D"/>
    <w:rsid w:val="00E05DDD"/>
    <w:rsid w:val="00E07A5F"/>
    <w:rsid w:val="00E2227D"/>
    <w:rsid w:val="00E22743"/>
    <w:rsid w:val="00E265DF"/>
    <w:rsid w:val="00E27426"/>
    <w:rsid w:val="00E32707"/>
    <w:rsid w:val="00E34DAC"/>
    <w:rsid w:val="00E419B7"/>
    <w:rsid w:val="00E437C0"/>
    <w:rsid w:val="00E4414B"/>
    <w:rsid w:val="00E4490D"/>
    <w:rsid w:val="00E46FC8"/>
    <w:rsid w:val="00E5254D"/>
    <w:rsid w:val="00E53E55"/>
    <w:rsid w:val="00E60B29"/>
    <w:rsid w:val="00E60FB3"/>
    <w:rsid w:val="00E660A1"/>
    <w:rsid w:val="00E66FBA"/>
    <w:rsid w:val="00E67399"/>
    <w:rsid w:val="00E70578"/>
    <w:rsid w:val="00E70B29"/>
    <w:rsid w:val="00E7116F"/>
    <w:rsid w:val="00E718EB"/>
    <w:rsid w:val="00E72D5E"/>
    <w:rsid w:val="00E7620F"/>
    <w:rsid w:val="00E76394"/>
    <w:rsid w:val="00E902C8"/>
    <w:rsid w:val="00E9500E"/>
    <w:rsid w:val="00E95BDB"/>
    <w:rsid w:val="00EA0C7A"/>
    <w:rsid w:val="00EA24F2"/>
    <w:rsid w:val="00EB67A5"/>
    <w:rsid w:val="00EB7BBC"/>
    <w:rsid w:val="00ED723B"/>
    <w:rsid w:val="00ED76F0"/>
    <w:rsid w:val="00EE392A"/>
    <w:rsid w:val="00EE39D4"/>
    <w:rsid w:val="00EF3315"/>
    <w:rsid w:val="00F004B0"/>
    <w:rsid w:val="00F0474E"/>
    <w:rsid w:val="00F052B0"/>
    <w:rsid w:val="00F10AAA"/>
    <w:rsid w:val="00F20506"/>
    <w:rsid w:val="00F217A8"/>
    <w:rsid w:val="00F21B78"/>
    <w:rsid w:val="00F233DC"/>
    <w:rsid w:val="00F23AEB"/>
    <w:rsid w:val="00F23B93"/>
    <w:rsid w:val="00F30929"/>
    <w:rsid w:val="00F33C7C"/>
    <w:rsid w:val="00F34594"/>
    <w:rsid w:val="00F36357"/>
    <w:rsid w:val="00F43FD2"/>
    <w:rsid w:val="00F526F7"/>
    <w:rsid w:val="00F57C4C"/>
    <w:rsid w:val="00F62B2E"/>
    <w:rsid w:val="00F639BE"/>
    <w:rsid w:val="00F715DB"/>
    <w:rsid w:val="00F7242B"/>
    <w:rsid w:val="00F738FB"/>
    <w:rsid w:val="00F74F70"/>
    <w:rsid w:val="00F772D9"/>
    <w:rsid w:val="00F77DB4"/>
    <w:rsid w:val="00F84A32"/>
    <w:rsid w:val="00F919FB"/>
    <w:rsid w:val="00F9457D"/>
    <w:rsid w:val="00FA6729"/>
    <w:rsid w:val="00FA7AA4"/>
    <w:rsid w:val="00FB4E69"/>
    <w:rsid w:val="00FC07F1"/>
    <w:rsid w:val="00FC3E29"/>
    <w:rsid w:val="00FD1102"/>
    <w:rsid w:val="00FD174B"/>
    <w:rsid w:val="00FD5CB3"/>
    <w:rsid w:val="00FD6413"/>
    <w:rsid w:val="00FE062D"/>
    <w:rsid w:val="00FE6413"/>
    <w:rsid w:val="00FF231C"/>
    <w:rsid w:val="00FF28CF"/>
    <w:rsid w:val="00FF36BC"/>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6D018F"/>
  <w15:chartTrackingRefBased/>
  <w15:docId w15:val="{C262ADB3-A072-40C1-A4D2-31E87E544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ahoma" w:eastAsiaTheme="minorHAnsi" w:hAnsi="Tahoma" w:cs="Tahoma"/>
        <w:sz w:val="24"/>
        <w:szCs w:val="24"/>
        <w:lang w:val="en-US" w:eastAsia="en-US" w:bidi="th-TH"/>
      </w:rPr>
    </w:rPrDefault>
    <w:pPrDefault>
      <w:pPr>
        <w:spacing w:before="120" w:after="120"/>
        <w:ind w:firstLine="1134"/>
        <w:jc w:val="thaiDistribut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35CD"/>
    <w:pPr>
      <w:spacing w:before="0" w:after="0"/>
      <w:ind w:firstLine="0"/>
      <w:jc w:val="left"/>
    </w:pPr>
  </w:style>
  <w:style w:type="paragraph" w:styleId="Heading1">
    <w:name w:val="heading 1"/>
    <w:basedOn w:val="Normal"/>
    <w:next w:val="Normal"/>
    <w:link w:val="Heading1Char"/>
    <w:uiPriority w:val="9"/>
    <w:qFormat/>
    <w:rsid w:val="006D4C91"/>
    <w:pPr>
      <w:keepNext/>
      <w:keepLines/>
      <w:spacing w:before="240"/>
      <w:outlineLvl w:val="0"/>
    </w:pPr>
    <w:rPr>
      <w:rFonts w:asciiTheme="majorHAnsi" w:eastAsiaTheme="majorEastAsia" w:hAnsiTheme="majorHAnsi" w:cs="Angsana New"/>
      <w:color w:val="2F5496" w:themeColor="accent1" w:themeShade="BF"/>
      <w:sz w:val="32"/>
      <w:szCs w:val="40"/>
    </w:rPr>
  </w:style>
  <w:style w:type="paragraph" w:styleId="Heading2">
    <w:name w:val="heading 2"/>
    <w:basedOn w:val="Normal"/>
    <w:next w:val="Normal"/>
    <w:link w:val="Heading2Char"/>
    <w:uiPriority w:val="9"/>
    <w:semiHidden/>
    <w:unhideWhenUsed/>
    <w:qFormat/>
    <w:rsid w:val="00047899"/>
    <w:pPr>
      <w:keepNext/>
      <w:keepLines/>
      <w:spacing w:before="40"/>
      <w:outlineLvl w:val="1"/>
    </w:pPr>
    <w:rPr>
      <w:rFonts w:asciiTheme="majorHAnsi" w:eastAsiaTheme="majorEastAsia" w:hAnsiTheme="majorHAnsi" w:cs="Angsana New"/>
      <w:color w:val="2F5496" w:themeColor="accent1" w:themeShade="BF"/>
      <w:sz w:val="26"/>
      <w:szCs w:val="33"/>
    </w:rPr>
  </w:style>
  <w:style w:type="paragraph" w:styleId="Heading3">
    <w:name w:val="heading 3"/>
    <w:basedOn w:val="Normal"/>
    <w:link w:val="Heading3Char"/>
    <w:uiPriority w:val="9"/>
    <w:qFormat/>
    <w:rsid w:val="00495297"/>
    <w:pPr>
      <w:spacing w:before="100" w:beforeAutospacing="1" w:after="100" w:afterAutospacing="1"/>
      <w:outlineLvl w:val="2"/>
    </w:pPr>
    <w:rPr>
      <w:rFonts w:eastAsia="Times New Roman"/>
      <w:b/>
      <w:bCs/>
      <w:sz w:val="27"/>
      <w:szCs w:val="27"/>
    </w:rPr>
  </w:style>
  <w:style w:type="paragraph" w:styleId="Heading4">
    <w:name w:val="heading 4"/>
    <w:basedOn w:val="Normal"/>
    <w:next w:val="Normal"/>
    <w:link w:val="Heading4Char"/>
    <w:uiPriority w:val="9"/>
    <w:semiHidden/>
    <w:unhideWhenUsed/>
    <w:qFormat/>
    <w:rsid w:val="00036DE1"/>
    <w:pPr>
      <w:keepNext/>
      <w:keepLines/>
      <w:spacing w:before="40"/>
      <w:outlineLvl w:val="3"/>
    </w:pPr>
    <w:rPr>
      <w:rFonts w:asciiTheme="majorHAnsi" w:eastAsiaTheme="majorEastAsia" w:hAnsiTheme="majorHAnsi" w:cs="Angsana New"/>
      <w:i/>
      <w:iCs/>
      <w:color w:val="2F5496" w:themeColor="accent1" w:themeShade="BF"/>
      <w:szCs w:val="30"/>
    </w:rPr>
  </w:style>
  <w:style w:type="paragraph" w:styleId="Heading5">
    <w:name w:val="heading 5"/>
    <w:basedOn w:val="Normal"/>
    <w:next w:val="Normal"/>
    <w:link w:val="Heading5Char"/>
    <w:uiPriority w:val="9"/>
    <w:unhideWhenUsed/>
    <w:rsid w:val="00781547"/>
    <w:pPr>
      <w:keepNext/>
      <w:keepLines/>
      <w:spacing w:before="40"/>
      <w:outlineLvl w:val="4"/>
    </w:pPr>
    <w:rPr>
      <w:rFonts w:asciiTheme="majorHAnsi" w:eastAsiaTheme="majorEastAsia" w:hAnsiTheme="majorHAnsi" w:cstheme="majorBidi"/>
      <w:color w:val="2F5496" w:themeColor="accent1" w:themeShade="BF"/>
      <w:sz w:val="20"/>
      <w:lang w:val="en-NZ" w:eastAsia="en-NZ" w:bidi="ar-SA"/>
    </w:rPr>
  </w:style>
  <w:style w:type="paragraph" w:styleId="Heading6">
    <w:name w:val="heading 6"/>
    <w:basedOn w:val="Normal"/>
    <w:next w:val="Normal"/>
    <w:link w:val="Heading6Char"/>
    <w:uiPriority w:val="9"/>
    <w:semiHidden/>
    <w:unhideWhenUsed/>
    <w:qFormat/>
    <w:rsid w:val="00A97D60"/>
    <w:pPr>
      <w:keepNext/>
      <w:keepLines/>
      <w:spacing w:before="40"/>
      <w:outlineLvl w:val="5"/>
    </w:pPr>
    <w:rPr>
      <w:rFonts w:asciiTheme="majorHAnsi" w:eastAsiaTheme="majorEastAsia" w:hAnsiTheme="majorHAnsi" w:cs="Angsana New"/>
      <w:color w:val="1F3763" w:themeColor="accent1" w:themeShade="7F"/>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14999"/>
    <w:pPr>
      <w:spacing w:before="100" w:beforeAutospacing="1" w:after="100" w:afterAutospacing="1"/>
    </w:pPr>
    <w:rPr>
      <w:rFonts w:eastAsia="Times New Roman"/>
    </w:rPr>
  </w:style>
  <w:style w:type="character" w:styleId="Strong">
    <w:name w:val="Strong"/>
    <w:basedOn w:val="DefaultParagraphFont"/>
    <w:uiPriority w:val="22"/>
    <w:qFormat/>
    <w:rsid w:val="00D14999"/>
    <w:rPr>
      <w:b/>
      <w:bCs/>
    </w:rPr>
  </w:style>
  <w:style w:type="character" w:customStyle="1" w:styleId="Heading3Char">
    <w:name w:val="Heading 3 Char"/>
    <w:basedOn w:val="DefaultParagraphFont"/>
    <w:link w:val="Heading3"/>
    <w:uiPriority w:val="9"/>
    <w:rsid w:val="00495297"/>
    <w:rPr>
      <w:rFonts w:ascii="Tahoma" w:eastAsia="Times New Roman" w:hAnsi="Tahoma" w:cs="Tahoma"/>
      <w:color w:val="auto"/>
      <w:sz w:val="27"/>
      <w:szCs w:val="27"/>
    </w:rPr>
  </w:style>
  <w:style w:type="paragraph" w:customStyle="1" w:styleId="my-0">
    <w:name w:val="my-0"/>
    <w:basedOn w:val="Normal"/>
    <w:rsid w:val="00ED76F0"/>
    <w:pPr>
      <w:spacing w:before="100" w:beforeAutospacing="1" w:after="100" w:afterAutospacing="1"/>
    </w:pPr>
    <w:rPr>
      <w:rFonts w:eastAsia="Times New Roman"/>
    </w:rPr>
  </w:style>
  <w:style w:type="character" w:customStyle="1" w:styleId="citation-774">
    <w:name w:val="citation-774"/>
    <w:basedOn w:val="DefaultParagraphFont"/>
    <w:rsid w:val="00427852"/>
  </w:style>
  <w:style w:type="character" w:customStyle="1" w:styleId="citation-773">
    <w:name w:val="citation-773"/>
    <w:basedOn w:val="DefaultParagraphFont"/>
    <w:rsid w:val="00427852"/>
  </w:style>
  <w:style w:type="character" w:customStyle="1" w:styleId="citation-772">
    <w:name w:val="citation-772"/>
    <w:basedOn w:val="DefaultParagraphFont"/>
    <w:rsid w:val="00427852"/>
  </w:style>
  <w:style w:type="character" w:customStyle="1" w:styleId="citation-821">
    <w:name w:val="citation-821"/>
    <w:basedOn w:val="DefaultParagraphFont"/>
    <w:rsid w:val="00427852"/>
  </w:style>
  <w:style w:type="character" w:customStyle="1" w:styleId="citation-820">
    <w:name w:val="citation-820"/>
    <w:basedOn w:val="DefaultParagraphFont"/>
    <w:rsid w:val="00427852"/>
  </w:style>
  <w:style w:type="paragraph" w:styleId="ListParagraph">
    <w:name w:val="List Paragraph"/>
    <w:basedOn w:val="Normal"/>
    <w:uiPriority w:val="34"/>
    <w:qFormat/>
    <w:rsid w:val="00D96F19"/>
    <w:pPr>
      <w:ind w:left="720"/>
      <w:contextualSpacing/>
    </w:pPr>
    <w:rPr>
      <w:rFonts w:cs="Angsana New"/>
      <w:szCs w:val="30"/>
    </w:rPr>
  </w:style>
  <w:style w:type="character" w:styleId="Hyperlink">
    <w:name w:val="Hyperlink"/>
    <w:basedOn w:val="DefaultParagraphFont"/>
    <w:uiPriority w:val="99"/>
    <w:unhideWhenUsed/>
    <w:rsid w:val="006D4C91"/>
    <w:rPr>
      <w:color w:val="0563C1" w:themeColor="hyperlink"/>
      <w:u w:val="single"/>
    </w:rPr>
  </w:style>
  <w:style w:type="character" w:styleId="UnresolvedMention">
    <w:name w:val="Unresolved Mention"/>
    <w:basedOn w:val="DefaultParagraphFont"/>
    <w:uiPriority w:val="99"/>
    <w:semiHidden/>
    <w:unhideWhenUsed/>
    <w:rsid w:val="006D4C91"/>
    <w:rPr>
      <w:color w:val="605E5C"/>
      <w:shd w:val="clear" w:color="auto" w:fill="E1DFDD"/>
    </w:rPr>
  </w:style>
  <w:style w:type="character" w:customStyle="1" w:styleId="Heading1Char">
    <w:name w:val="Heading 1 Char"/>
    <w:basedOn w:val="DefaultParagraphFont"/>
    <w:link w:val="Heading1"/>
    <w:uiPriority w:val="9"/>
    <w:rsid w:val="006D4C91"/>
    <w:rPr>
      <w:rFonts w:asciiTheme="majorHAnsi" w:eastAsiaTheme="majorEastAsia" w:hAnsiTheme="majorHAnsi" w:cs="Angsana New"/>
      <w:b/>
      <w:bCs/>
      <w:color w:val="2F5496" w:themeColor="accent1" w:themeShade="BF"/>
      <w:lang w:val="en-ID"/>
    </w:rPr>
  </w:style>
  <w:style w:type="table" w:styleId="TableGrid">
    <w:name w:val="Table Grid"/>
    <w:basedOn w:val="TableNormal"/>
    <w:uiPriority w:val="59"/>
    <w:rsid w:val="00551AC7"/>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A74715"/>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4Char">
    <w:name w:val="Heading 4 Char"/>
    <w:basedOn w:val="DefaultParagraphFont"/>
    <w:link w:val="Heading4"/>
    <w:uiPriority w:val="9"/>
    <w:semiHidden/>
    <w:rsid w:val="00036DE1"/>
    <w:rPr>
      <w:rFonts w:asciiTheme="majorHAnsi" w:eastAsiaTheme="majorEastAsia" w:hAnsiTheme="majorHAnsi" w:cs="Angsana New"/>
      <w:b/>
      <w:bCs/>
      <w:i/>
      <w:iCs/>
      <w:color w:val="2F5496" w:themeColor="accent1" w:themeShade="BF"/>
      <w:sz w:val="24"/>
      <w:szCs w:val="30"/>
      <w:lang w:val="en-ID"/>
    </w:rPr>
  </w:style>
  <w:style w:type="character" w:customStyle="1" w:styleId="Heading2Char">
    <w:name w:val="Heading 2 Char"/>
    <w:basedOn w:val="DefaultParagraphFont"/>
    <w:link w:val="Heading2"/>
    <w:uiPriority w:val="9"/>
    <w:semiHidden/>
    <w:rsid w:val="00047899"/>
    <w:rPr>
      <w:rFonts w:asciiTheme="majorHAnsi" w:eastAsiaTheme="majorEastAsia" w:hAnsiTheme="majorHAnsi" w:cs="Angsana New"/>
      <w:b/>
      <w:bCs/>
      <w:color w:val="2F5496" w:themeColor="accent1" w:themeShade="BF"/>
      <w:sz w:val="26"/>
      <w:szCs w:val="33"/>
      <w:lang w:val="en-ID"/>
    </w:rPr>
  </w:style>
  <w:style w:type="character" w:customStyle="1" w:styleId="uv3um">
    <w:name w:val="uv3um"/>
    <w:basedOn w:val="DefaultParagraphFont"/>
    <w:rsid w:val="00C9055D"/>
  </w:style>
  <w:style w:type="paragraph" w:customStyle="1" w:styleId="k3ksmc">
    <w:name w:val="k3ksmc"/>
    <w:basedOn w:val="Normal"/>
    <w:rsid w:val="003023F8"/>
    <w:pPr>
      <w:spacing w:before="100" w:beforeAutospacing="1" w:after="100" w:afterAutospacing="1"/>
    </w:pPr>
    <w:rPr>
      <w:rFonts w:eastAsia="Times New Roman"/>
    </w:rPr>
  </w:style>
  <w:style w:type="character" w:styleId="Emphasis">
    <w:name w:val="Emphasis"/>
    <w:basedOn w:val="DefaultParagraphFont"/>
    <w:uiPriority w:val="20"/>
    <w:qFormat/>
    <w:rsid w:val="00597287"/>
    <w:rPr>
      <w:i/>
      <w:iCs/>
    </w:rPr>
  </w:style>
  <w:style w:type="character" w:customStyle="1" w:styleId="textnormal">
    <w:name w:val="text_normal"/>
    <w:basedOn w:val="DefaultParagraphFont"/>
    <w:rsid w:val="005E3628"/>
  </w:style>
  <w:style w:type="character" w:customStyle="1" w:styleId="sr-only">
    <w:name w:val="sr-only"/>
    <w:basedOn w:val="DefaultParagraphFont"/>
    <w:rsid w:val="00A97D60"/>
  </w:style>
  <w:style w:type="character" w:customStyle="1" w:styleId="Heading6Char">
    <w:name w:val="Heading 6 Char"/>
    <w:basedOn w:val="DefaultParagraphFont"/>
    <w:link w:val="Heading6"/>
    <w:uiPriority w:val="9"/>
    <w:semiHidden/>
    <w:rsid w:val="00A97D60"/>
    <w:rPr>
      <w:rFonts w:asciiTheme="majorHAnsi" w:eastAsiaTheme="majorEastAsia" w:hAnsiTheme="majorHAnsi" w:cs="Angsana New"/>
      <w:b/>
      <w:bCs/>
      <w:color w:val="1F3763" w:themeColor="accent1" w:themeShade="7F"/>
      <w:sz w:val="24"/>
      <w:szCs w:val="30"/>
      <w:lang w:val="en-ID"/>
    </w:rPr>
  </w:style>
  <w:style w:type="paragraph" w:styleId="Header">
    <w:name w:val="header"/>
    <w:basedOn w:val="Normal"/>
    <w:link w:val="HeaderChar"/>
    <w:uiPriority w:val="99"/>
    <w:unhideWhenUsed/>
    <w:rsid w:val="00E07A5F"/>
    <w:pPr>
      <w:tabs>
        <w:tab w:val="center" w:pos="4513"/>
        <w:tab w:val="right" w:pos="9026"/>
      </w:tabs>
    </w:pPr>
    <w:rPr>
      <w:rFonts w:cs="Angsana New"/>
      <w:szCs w:val="30"/>
    </w:rPr>
  </w:style>
  <w:style w:type="character" w:customStyle="1" w:styleId="HeaderChar">
    <w:name w:val="Header Char"/>
    <w:basedOn w:val="DefaultParagraphFont"/>
    <w:link w:val="Header"/>
    <w:uiPriority w:val="99"/>
    <w:rsid w:val="00E07A5F"/>
    <w:rPr>
      <w:rFonts w:cs="Angsana New"/>
      <w:szCs w:val="30"/>
    </w:rPr>
  </w:style>
  <w:style w:type="paragraph" w:styleId="Footer">
    <w:name w:val="footer"/>
    <w:basedOn w:val="Normal"/>
    <w:link w:val="FooterChar"/>
    <w:uiPriority w:val="99"/>
    <w:unhideWhenUsed/>
    <w:rsid w:val="00E07A5F"/>
    <w:pPr>
      <w:tabs>
        <w:tab w:val="center" w:pos="4513"/>
        <w:tab w:val="right" w:pos="9026"/>
      </w:tabs>
    </w:pPr>
    <w:rPr>
      <w:rFonts w:cs="Angsana New"/>
      <w:szCs w:val="30"/>
    </w:rPr>
  </w:style>
  <w:style w:type="character" w:customStyle="1" w:styleId="FooterChar">
    <w:name w:val="Footer Char"/>
    <w:basedOn w:val="DefaultParagraphFont"/>
    <w:link w:val="Footer"/>
    <w:uiPriority w:val="99"/>
    <w:rsid w:val="00E07A5F"/>
    <w:rPr>
      <w:rFonts w:cs="Angsana New"/>
      <w:szCs w:val="30"/>
    </w:rPr>
  </w:style>
  <w:style w:type="character" w:styleId="CommentReference">
    <w:name w:val="annotation reference"/>
    <w:basedOn w:val="DefaultParagraphFont"/>
    <w:uiPriority w:val="99"/>
    <w:semiHidden/>
    <w:unhideWhenUsed/>
    <w:rsid w:val="00E9500E"/>
    <w:rPr>
      <w:sz w:val="16"/>
      <w:szCs w:val="18"/>
    </w:rPr>
  </w:style>
  <w:style w:type="paragraph" w:styleId="CommentText">
    <w:name w:val="annotation text"/>
    <w:basedOn w:val="Normal"/>
    <w:link w:val="CommentTextChar"/>
    <w:uiPriority w:val="99"/>
    <w:unhideWhenUsed/>
    <w:rsid w:val="00E9500E"/>
    <w:rPr>
      <w:rFonts w:cs="Angsana New"/>
      <w:sz w:val="20"/>
      <w:szCs w:val="25"/>
    </w:rPr>
  </w:style>
  <w:style w:type="character" w:customStyle="1" w:styleId="CommentTextChar">
    <w:name w:val="Comment Text Char"/>
    <w:basedOn w:val="DefaultParagraphFont"/>
    <w:link w:val="CommentText"/>
    <w:uiPriority w:val="99"/>
    <w:rsid w:val="00E9500E"/>
    <w:rPr>
      <w:rFonts w:cs="Angsana New"/>
      <w:sz w:val="20"/>
      <w:szCs w:val="25"/>
    </w:rPr>
  </w:style>
  <w:style w:type="paragraph" w:styleId="CommentSubject">
    <w:name w:val="annotation subject"/>
    <w:basedOn w:val="CommentText"/>
    <w:next w:val="CommentText"/>
    <w:link w:val="CommentSubjectChar"/>
    <w:uiPriority w:val="99"/>
    <w:semiHidden/>
    <w:unhideWhenUsed/>
    <w:rsid w:val="00E9500E"/>
    <w:rPr>
      <w:b/>
      <w:bCs/>
    </w:rPr>
  </w:style>
  <w:style w:type="character" w:customStyle="1" w:styleId="CommentSubjectChar">
    <w:name w:val="Comment Subject Char"/>
    <w:basedOn w:val="CommentTextChar"/>
    <w:link w:val="CommentSubject"/>
    <w:uiPriority w:val="99"/>
    <w:semiHidden/>
    <w:rsid w:val="00E9500E"/>
    <w:rPr>
      <w:rFonts w:cs="Angsana New"/>
      <w:b/>
      <w:bCs/>
      <w:sz w:val="20"/>
      <w:szCs w:val="25"/>
    </w:rPr>
  </w:style>
  <w:style w:type="paragraph" w:styleId="FootnoteText">
    <w:name w:val="footnote text"/>
    <w:basedOn w:val="Normal"/>
    <w:link w:val="FootnoteTextChar"/>
    <w:uiPriority w:val="99"/>
    <w:semiHidden/>
    <w:unhideWhenUsed/>
    <w:rsid w:val="00783152"/>
    <w:rPr>
      <w:rFonts w:cs="Angsana New"/>
      <w:sz w:val="20"/>
      <w:szCs w:val="25"/>
    </w:rPr>
  </w:style>
  <w:style w:type="character" w:customStyle="1" w:styleId="FootnoteTextChar">
    <w:name w:val="Footnote Text Char"/>
    <w:basedOn w:val="DefaultParagraphFont"/>
    <w:link w:val="FootnoteText"/>
    <w:uiPriority w:val="99"/>
    <w:semiHidden/>
    <w:rsid w:val="00783152"/>
    <w:rPr>
      <w:rFonts w:cs="Angsana New"/>
      <w:sz w:val="20"/>
      <w:szCs w:val="25"/>
    </w:rPr>
  </w:style>
  <w:style w:type="character" w:styleId="FootnoteReference">
    <w:name w:val="footnote reference"/>
    <w:aliases w:val="Ref,de nota al pie,Normal + Font:9 Point,Superscript 3 Point Times,Footnote Reference Number,Footnote Reference_LVL6,C26 Footnote Number,16 Point,Superscript 6 Point,ftref,Footnote text,fr,BearingPoint,Footnote Text1,10 pt"/>
    <w:basedOn w:val="DefaultParagraphFont"/>
    <w:unhideWhenUsed/>
    <w:qFormat/>
    <w:rsid w:val="00783152"/>
    <w:rPr>
      <w:sz w:val="32"/>
      <w:szCs w:val="32"/>
      <w:vertAlign w:val="superscript"/>
    </w:rPr>
  </w:style>
  <w:style w:type="table" w:styleId="GridTable4">
    <w:name w:val="Grid Table 4"/>
    <w:basedOn w:val="TableNormal"/>
    <w:uiPriority w:val="49"/>
    <w:rsid w:val="0097334C"/>
    <w:pPr>
      <w:spacing w:before="0" w:after="0"/>
      <w:ind w:firstLine="0"/>
      <w:jc w:val="left"/>
    </w:pPr>
    <w:rPr>
      <w:rFonts w:asciiTheme="minorHAnsi" w:hAnsiTheme="minorHAnsi" w:cstheme="minorBidi"/>
      <w:sz w:val="20"/>
      <w:szCs w:val="20"/>
      <w:lang w:bidi="ar-SA"/>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rynqvb">
    <w:name w:val="rynqvb"/>
    <w:basedOn w:val="DefaultParagraphFont"/>
    <w:rsid w:val="006B59CB"/>
  </w:style>
  <w:style w:type="character" w:customStyle="1" w:styleId="jlqj4b">
    <w:name w:val="jlqj4b"/>
    <w:basedOn w:val="DefaultParagraphFont"/>
    <w:rsid w:val="006B59CB"/>
  </w:style>
  <w:style w:type="character" w:customStyle="1" w:styleId="hwtze">
    <w:name w:val="hwtze"/>
    <w:basedOn w:val="DefaultParagraphFont"/>
    <w:rsid w:val="00AE5F62"/>
  </w:style>
  <w:style w:type="paragraph" w:styleId="Caption">
    <w:name w:val="caption"/>
    <w:basedOn w:val="Normal"/>
    <w:next w:val="Normal"/>
    <w:uiPriority w:val="35"/>
    <w:unhideWhenUsed/>
    <w:qFormat/>
    <w:rsid w:val="00781547"/>
    <w:pPr>
      <w:spacing w:after="200"/>
    </w:pPr>
    <w:rPr>
      <w:rFonts w:ascii="Open Sans" w:eastAsia="Times New Roman" w:hAnsi="Open Sans" w:cs="Times New Roman"/>
      <w:i/>
      <w:iCs/>
      <w:color w:val="44546A" w:themeColor="text2"/>
      <w:sz w:val="18"/>
      <w:szCs w:val="18"/>
      <w:lang w:val="en-NZ" w:eastAsia="en-NZ" w:bidi="ar-SA"/>
    </w:rPr>
  </w:style>
  <w:style w:type="character" w:customStyle="1" w:styleId="Heading5Char">
    <w:name w:val="Heading 5 Char"/>
    <w:basedOn w:val="DefaultParagraphFont"/>
    <w:link w:val="Heading5"/>
    <w:uiPriority w:val="9"/>
    <w:rsid w:val="00781547"/>
    <w:rPr>
      <w:rFonts w:asciiTheme="majorHAnsi" w:eastAsiaTheme="majorEastAsia" w:hAnsiTheme="majorHAnsi" w:cstheme="majorBidi"/>
      <w:color w:val="2F5496" w:themeColor="accent1" w:themeShade="BF"/>
      <w:sz w:val="20"/>
      <w:lang w:val="en-NZ" w:eastAsia="en-NZ" w:bidi="ar-SA"/>
    </w:rPr>
  </w:style>
  <w:style w:type="paragraph" w:customStyle="1" w:styleId="Footnote">
    <w:name w:val="Footnote"/>
    <w:basedOn w:val="FootnoteText"/>
    <w:link w:val="FootnoteChar"/>
    <w:qFormat/>
    <w:rsid w:val="00AB7859"/>
    <w:rPr>
      <w:rFonts w:ascii="Open Sans" w:eastAsia="Times New Roman" w:hAnsi="Open Sans" w:cs="Times New Roman"/>
      <w:color w:val="1F3864" w:themeColor="accent1" w:themeShade="80"/>
      <w:sz w:val="18"/>
      <w:szCs w:val="20"/>
      <w:lang w:val="en-NZ" w:eastAsia="en-NZ" w:bidi="ar-SA"/>
    </w:rPr>
  </w:style>
  <w:style w:type="character" w:customStyle="1" w:styleId="FootnoteChar">
    <w:name w:val="Footnote Char"/>
    <w:basedOn w:val="FootnoteTextChar"/>
    <w:link w:val="Footnote"/>
    <w:rsid w:val="00AB7859"/>
    <w:rPr>
      <w:rFonts w:ascii="Open Sans" w:eastAsia="Times New Roman" w:hAnsi="Open Sans" w:cs="Times New Roman"/>
      <w:color w:val="1F3864" w:themeColor="accent1" w:themeShade="80"/>
      <w:sz w:val="18"/>
      <w:szCs w:val="20"/>
      <w:lang w:val="en-NZ" w:eastAsia="en-NZ" w:bidi="ar-SA"/>
    </w:rPr>
  </w:style>
  <w:style w:type="paragraph" w:styleId="EndnoteText">
    <w:name w:val="endnote text"/>
    <w:basedOn w:val="Normal"/>
    <w:link w:val="EndnoteTextChar"/>
    <w:uiPriority w:val="99"/>
    <w:semiHidden/>
    <w:unhideWhenUsed/>
    <w:rsid w:val="00910031"/>
    <w:rPr>
      <w:rFonts w:cs="Angsana New"/>
      <w:sz w:val="20"/>
      <w:szCs w:val="25"/>
    </w:rPr>
  </w:style>
  <w:style w:type="character" w:customStyle="1" w:styleId="EndnoteTextChar">
    <w:name w:val="Endnote Text Char"/>
    <w:basedOn w:val="DefaultParagraphFont"/>
    <w:link w:val="EndnoteText"/>
    <w:uiPriority w:val="99"/>
    <w:semiHidden/>
    <w:rsid w:val="00910031"/>
    <w:rPr>
      <w:rFonts w:cs="Angsana New"/>
      <w:sz w:val="20"/>
      <w:szCs w:val="25"/>
    </w:rPr>
  </w:style>
  <w:style w:type="character" w:styleId="EndnoteReference">
    <w:name w:val="endnote reference"/>
    <w:basedOn w:val="DefaultParagraphFont"/>
    <w:uiPriority w:val="99"/>
    <w:semiHidden/>
    <w:unhideWhenUsed/>
    <w:rsid w:val="00910031"/>
    <w:rPr>
      <w:sz w:val="32"/>
      <w:szCs w:val="32"/>
      <w:vertAlign w:val="superscript"/>
    </w:rPr>
  </w:style>
  <w:style w:type="paragraph" w:styleId="Revision">
    <w:name w:val="Revision"/>
    <w:hidden/>
    <w:uiPriority w:val="99"/>
    <w:semiHidden/>
    <w:rsid w:val="0002482A"/>
    <w:pPr>
      <w:spacing w:before="0" w:after="0"/>
      <w:ind w:firstLine="0"/>
      <w:jc w:val="left"/>
    </w:pPr>
    <w:rPr>
      <w:rFonts w:cs="Angsana New"/>
      <w:szCs w:val="30"/>
    </w:rPr>
  </w:style>
  <w:style w:type="character" w:customStyle="1" w:styleId="apple-converted-space">
    <w:name w:val="apple-converted-space"/>
    <w:basedOn w:val="DefaultParagraphFont"/>
    <w:rsid w:val="00307478"/>
  </w:style>
  <w:style w:type="paragraph" w:styleId="BalloonText">
    <w:name w:val="Balloon Text"/>
    <w:basedOn w:val="Normal"/>
    <w:link w:val="BalloonTextChar"/>
    <w:uiPriority w:val="99"/>
    <w:semiHidden/>
    <w:unhideWhenUsed/>
    <w:rsid w:val="00A66A97"/>
    <w:rPr>
      <w:rFonts w:ascii="Segoe UI" w:hAnsi="Segoe UI" w:cs="Angsana New"/>
      <w:sz w:val="18"/>
      <w:szCs w:val="22"/>
    </w:rPr>
  </w:style>
  <w:style w:type="character" w:customStyle="1" w:styleId="BalloonTextChar">
    <w:name w:val="Balloon Text Char"/>
    <w:basedOn w:val="DefaultParagraphFont"/>
    <w:link w:val="BalloonText"/>
    <w:uiPriority w:val="99"/>
    <w:semiHidden/>
    <w:rsid w:val="00A66A97"/>
    <w:rPr>
      <w:rFonts w:ascii="Segoe UI" w:hAnsi="Segoe UI" w:cs="Angsana New"/>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90159">
      <w:bodyDiv w:val="1"/>
      <w:marLeft w:val="0"/>
      <w:marRight w:val="0"/>
      <w:marTop w:val="0"/>
      <w:marBottom w:val="0"/>
      <w:divBdr>
        <w:top w:val="none" w:sz="0" w:space="0" w:color="auto"/>
        <w:left w:val="none" w:sz="0" w:space="0" w:color="auto"/>
        <w:bottom w:val="none" w:sz="0" w:space="0" w:color="auto"/>
        <w:right w:val="none" w:sz="0" w:space="0" w:color="auto"/>
      </w:divBdr>
    </w:div>
    <w:div w:id="85924374">
      <w:bodyDiv w:val="1"/>
      <w:marLeft w:val="0"/>
      <w:marRight w:val="0"/>
      <w:marTop w:val="0"/>
      <w:marBottom w:val="0"/>
      <w:divBdr>
        <w:top w:val="none" w:sz="0" w:space="0" w:color="auto"/>
        <w:left w:val="none" w:sz="0" w:space="0" w:color="auto"/>
        <w:bottom w:val="none" w:sz="0" w:space="0" w:color="auto"/>
        <w:right w:val="none" w:sz="0" w:space="0" w:color="auto"/>
      </w:divBdr>
      <w:divsChild>
        <w:div w:id="324285876">
          <w:marLeft w:val="0"/>
          <w:marRight w:val="0"/>
          <w:marTop w:val="0"/>
          <w:marBottom w:val="0"/>
          <w:divBdr>
            <w:top w:val="none" w:sz="0" w:space="0" w:color="auto"/>
            <w:left w:val="none" w:sz="0" w:space="0" w:color="auto"/>
            <w:bottom w:val="none" w:sz="0" w:space="0" w:color="auto"/>
            <w:right w:val="none" w:sz="0" w:space="0" w:color="auto"/>
          </w:divBdr>
          <w:divsChild>
            <w:div w:id="873007198">
              <w:marLeft w:val="0"/>
              <w:marRight w:val="0"/>
              <w:marTop w:val="0"/>
              <w:marBottom w:val="0"/>
              <w:divBdr>
                <w:top w:val="none" w:sz="0" w:space="0" w:color="auto"/>
                <w:left w:val="none" w:sz="0" w:space="0" w:color="auto"/>
                <w:bottom w:val="none" w:sz="0" w:space="0" w:color="auto"/>
                <w:right w:val="none" w:sz="0" w:space="0" w:color="auto"/>
              </w:divBdr>
              <w:divsChild>
                <w:div w:id="604653184">
                  <w:marLeft w:val="0"/>
                  <w:marRight w:val="0"/>
                  <w:marTop w:val="0"/>
                  <w:marBottom w:val="0"/>
                  <w:divBdr>
                    <w:top w:val="none" w:sz="0" w:space="0" w:color="auto"/>
                    <w:left w:val="none" w:sz="0" w:space="0" w:color="auto"/>
                    <w:bottom w:val="none" w:sz="0" w:space="0" w:color="auto"/>
                    <w:right w:val="none" w:sz="0" w:space="0" w:color="auto"/>
                  </w:divBdr>
                  <w:divsChild>
                    <w:div w:id="2009672785">
                      <w:marLeft w:val="0"/>
                      <w:marRight w:val="0"/>
                      <w:marTop w:val="0"/>
                      <w:marBottom w:val="0"/>
                      <w:divBdr>
                        <w:top w:val="none" w:sz="0" w:space="0" w:color="auto"/>
                        <w:left w:val="none" w:sz="0" w:space="0" w:color="auto"/>
                        <w:bottom w:val="none" w:sz="0" w:space="0" w:color="auto"/>
                        <w:right w:val="none" w:sz="0" w:space="0" w:color="auto"/>
                      </w:divBdr>
                      <w:divsChild>
                        <w:div w:id="1012683968">
                          <w:marLeft w:val="0"/>
                          <w:marRight w:val="0"/>
                          <w:marTop w:val="0"/>
                          <w:marBottom w:val="0"/>
                          <w:divBdr>
                            <w:top w:val="none" w:sz="0" w:space="0" w:color="auto"/>
                            <w:left w:val="none" w:sz="0" w:space="0" w:color="auto"/>
                            <w:bottom w:val="none" w:sz="0" w:space="0" w:color="auto"/>
                            <w:right w:val="none" w:sz="0" w:space="0" w:color="auto"/>
                          </w:divBdr>
                          <w:divsChild>
                            <w:div w:id="957417034">
                              <w:marLeft w:val="0"/>
                              <w:marRight w:val="0"/>
                              <w:marTop w:val="0"/>
                              <w:marBottom w:val="0"/>
                              <w:divBdr>
                                <w:top w:val="none" w:sz="0" w:space="0" w:color="auto"/>
                                <w:left w:val="none" w:sz="0" w:space="0" w:color="auto"/>
                                <w:bottom w:val="none" w:sz="0" w:space="0" w:color="auto"/>
                                <w:right w:val="none" w:sz="0" w:space="0" w:color="auto"/>
                              </w:divBdr>
                              <w:divsChild>
                                <w:div w:id="374162678">
                                  <w:marLeft w:val="0"/>
                                  <w:marRight w:val="0"/>
                                  <w:marTop w:val="0"/>
                                  <w:marBottom w:val="0"/>
                                  <w:divBdr>
                                    <w:top w:val="none" w:sz="0" w:space="0" w:color="auto"/>
                                    <w:left w:val="none" w:sz="0" w:space="0" w:color="auto"/>
                                    <w:bottom w:val="none" w:sz="0" w:space="0" w:color="auto"/>
                                    <w:right w:val="none" w:sz="0" w:space="0" w:color="auto"/>
                                  </w:divBdr>
                                  <w:divsChild>
                                    <w:div w:id="2117946314">
                                      <w:marLeft w:val="0"/>
                                      <w:marRight w:val="0"/>
                                      <w:marTop w:val="0"/>
                                      <w:marBottom w:val="0"/>
                                      <w:divBdr>
                                        <w:top w:val="none" w:sz="0" w:space="0" w:color="auto"/>
                                        <w:left w:val="none" w:sz="0" w:space="0" w:color="auto"/>
                                        <w:bottom w:val="none" w:sz="0" w:space="0" w:color="auto"/>
                                        <w:right w:val="none" w:sz="0" w:space="0" w:color="auto"/>
                                      </w:divBdr>
                                      <w:divsChild>
                                        <w:div w:id="676350684">
                                          <w:marLeft w:val="0"/>
                                          <w:marRight w:val="0"/>
                                          <w:marTop w:val="0"/>
                                          <w:marBottom w:val="0"/>
                                          <w:divBdr>
                                            <w:top w:val="none" w:sz="0" w:space="0" w:color="auto"/>
                                            <w:left w:val="none" w:sz="0" w:space="0" w:color="auto"/>
                                            <w:bottom w:val="none" w:sz="0" w:space="0" w:color="auto"/>
                                            <w:right w:val="none" w:sz="0" w:space="0" w:color="auto"/>
                                          </w:divBdr>
                                          <w:divsChild>
                                            <w:div w:id="1388841612">
                                              <w:marLeft w:val="0"/>
                                              <w:marRight w:val="0"/>
                                              <w:marTop w:val="0"/>
                                              <w:marBottom w:val="0"/>
                                              <w:divBdr>
                                                <w:top w:val="none" w:sz="0" w:space="0" w:color="auto"/>
                                                <w:left w:val="none" w:sz="0" w:space="0" w:color="auto"/>
                                                <w:bottom w:val="none" w:sz="0" w:space="0" w:color="auto"/>
                                                <w:right w:val="none" w:sz="0" w:space="0" w:color="auto"/>
                                              </w:divBdr>
                                              <w:divsChild>
                                                <w:div w:id="1266380853">
                                                  <w:marLeft w:val="0"/>
                                                  <w:marRight w:val="0"/>
                                                  <w:marTop w:val="0"/>
                                                  <w:marBottom w:val="0"/>
                                                  <w:divBdr>
                                                    <w:top w:val="none" w:sz="0" w:space="0" w:color="auto"/>
                                                    <w:left w:val="none" w:sz="0" w:space="0" w:color="auto"/>
                                                    <w:bottom w:val="none" w:sz="0" w:space="0" w:color="auto"/>
                                                    <w:right w:val="none" w:sz="0" w:space="0" w:color="auto"/>
                                                  </w:divBdr>
                                                  <w:divsChild>
                                                    <w:div w:id="1517305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077511">
                                          <w:marLeft w:val="0"/>
                                          <w:marRight w:val="0"/>
                                          <w:marTop w:val="0"/>
                                          <w:marBottom w:val="0"/>
                                          <w:divBdr>
                                            <w:top w:val="none" w:sz="0" w:space="0" w:color="auto"/>
                                            <w:left w:val="none" w:sz="0" w:space="0" w:color="auto"/>
                                            <w:bottom w:val="none" w:sz="0" w:space="0" w:color="auto"/>
                                            <w:right w:val="none" w:sz="0" w:space="0" w:color="auto"/>
                                          </w:divBdr>
                                          <w:divsChild>
                                            <w:div w:id="311835050">
                                              <w:marLeft w:val="0"/>
                                              <w:marRight w:val="0"/>
                                              <w:marTop w:val="0"/>
                                              <w:marBottom w:val="0"/>
                                              <w:divBdr>
                                                <w:top w:val="none" w:sz="0" w:space="0" w:color="auto"/>
                                                <w:left w:val="none" w:sz="0" w:space="0" w:color="auto"/>
                                                <w:bottom w:val="none" w:sz="0" w:space="0" w:color="auto"/>
                                                <w:right w:val="none" w:sz="0" w:space="0" w:color="auto"/>
                                              </w:divBdr>
                                              <w:divsChild>
                                                <w:div w:id="1260287415">
                                                  <w:marLeft w:val="0"/>
                                                  <w:marRight w:val="0"/>
                                                  <w:marTop w:val="0"/>
                                                  <w:marBottom w:val="0"/>
                                                  <w:divBdr>
                                                    <w:top w:val="none" w:sz="0" w:space="0" w:color="auto"/>
                                                    <w:left w:val="none" w:sz="0" w:space="0" w:color="auto"/>
                                                    <w:bottom w:val="none" w:sz="0" w:space="0" w:color="auto"/>
                                                    <w:right w:val="none" w:sz="0" w:space="0" w:color="auto"/>
                                                  </w:divBdr>
                                                  <w:divsChild>
                                                    <w:div w:id="177833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942886">
                                      <w:marLeft w:val="0"/>
                                      <w:marRight w:val="0"/>
                                      <w:marTop w:val="0"/>
                                      <w:marBottom w:val="0"/>
                                      <w:divBdr>
                                        <w:top w:val="none" w:sz="0" w:space="0" w:color="auto"/>
                                        <w:left w:val="none" w:sz="0" w:space="0" w:color="auto"/>
                                        <w:bottom w:val="none" w:sz="0" w:space="0" w:color="auto"/>
                                        <w:right w:val="none" w:sz="0" w:space="0" w:color="auto"/>
                                      </w:divBdr>
                                      <w:divsChild>
                                        <w:div w:id="83849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400490">
          <w:marLeft w:val="0"/>
          <w:marRight w:val="0"/>
          <w:marTop w:val="0"/>
          <w:marBottom w:val="0"/>
          <w:divBdr>
            <w:top w:val="none" w:sz="0" w:space="0" w:color="auto"/>
            <w:left w:val="none" w:sz="0" w:space="0" w:color="auto"/>
            <w:bottom w:val="none" w:sz="0" w:space="0" w:color="auto"/>
            <w:right w:val="none" w:sz="0" w:space="0" w:color="auto"/>
          </w:divBdr>
          <w:divsChild>
            <w:div w:id="706150567">
              <w:marLeft w:val="0"/>
              <w:marRight w:val="0"/>
              <w:marTop w:val="0"/>
              <w:marBottom w:val="0"/>
              <w:divBdr>
                <w:top w:val="none" w:sz="0" w:space="0" w:color="auto"/>
                <w:left w:val="none" w:sz="0" w:space="0" w:color="auto"/>
                <w:bottom w:val="none" w:sz="0" w:space="0" w:color="auto"/>
                <w:right w:val="none" w:sz="0" w:space="0" w:color="auto"/>
              </w:divBdr>
              <w:divsChild>
                <w:div w:id="585500170">
                  <w:marLeft w:val="0"/>
                  <w:marRight w:val="0"/>
                  <w:marTop w:val="0"/>
                  <w:marBottom w:val="0"/>
                  <w:divBdr>
                    <w:top w:val="none" w:sz="0" w:space="0" w:color="auto"/>
                    <w:left w:val="none" w:sz="0" w:space="0" w:color="auto"/>
                    <w:bottom w:val="none" w:sz="0" w:space="0" w:color="auto"/>
                    <w:right w:val="none" w:sz="0" w:space="0" w:color="auto"/>
                  </w:divBdr>
                  <w:divsChild>
                    <w:div w:id="392390013">
                      <w:marLeft w:val="0"/>
                      <w:marRight w:val="0"/>
                      <w:marTop w:val="0"/>
                      <w:marBottom w:val="0"/>
                      <w:divBdr>
                        <w:top w:val="none" w:sz="0" w:space="0" w:color="auto"/>
                        <w:left w:val="none" w:sz="0" w:space="0" w:color="auto"/>
                        <w:bottom w:val="none" w:sz="0" w:space="0" w:color="auto"/>
                        <w:right w:val="none" w:sz="0" w:space="0" w:color="auto"/>
                      </w:divBdr>
                      <w:divsChild>
                        <w:div w:id="848373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87503">
      <w:bodyDiv w:val="1"/>
      <w:marLeft w:val="0"/>
      <w:marRight w:val="0"/>
      <w:marTop w:val="0"/>
      <w:marBottom w:val="0"/>
      <w:divBdr>
        <w:top w:val="none" w:sz="0" w:space="0" w:color="auto"/>
        <w:left w:val="none" w:sz="0" w:space="0" w:color="auto"/>
        <w:bottom w:val="none" w:sz="0" w:space="0" w:color="auto"/>
        <w:right w:val="none" w:sz="0" w:space="0" w:color="auto"/>
      </w:divBdr>
    </w:div>
    <w:div w:id="120734145">
      <w:bodyDiv w:val="1"/>
      <w:marLeft w:val="0"/>
      <w:marRight w:val="0"/>
      <w:marTop w:val="0"/>
      <w:marBottom w:val="0"/>
      <w:divBdr>
        <w:top w:val="none" w:sz="0" w:space="0" w:color="auto"/>
        <w:left w:val="none" w:sz="0" w:space="0" w:color="auto"/>
        <w:bottom w:val="none" w:sz="0" w:space="0" w:color="auto"/>
        <w:right w:val="none" w:sz="0" w:space="0" w:color="auto"/>
      </w:divBdr>
      <w:divsChild>
        <w:div w:id="1069378324">
          <w:marLeft w:val="-420"/>
          <w:marRight w:val="0"/>
          <w:marTop w:val="0"/>
          <w:marBottom w:val="0"/>
          <w:divBdr>
            <w:top w:val="none" w:sz="0" w:space="0" w:color="auto"/>
            <w:left w:val="none" w:sz="0" w:space="0" w:color="auto"/>
            <w:bottom w:val="none" w:sz="0" w:space="0" w:color="auto"/>
            <w:right w:val="none" w:sz="0" w:space="0" w:color="auto"/>
          </w:divBdr>
          <w:divsChild>
            <w:div w:id="32536839">
              <w:marLeft w:val="0"/>
              <w:marRight w:val="0"/>
              <w:marTop w:val="0"/>
              <w:marBottom w:val="0"/>
              <w:divBdr>
                <w:top w:val="none" w:sz="0" w:space="0" w:color="auto"/>
                <w:left w:val="none" w:sz="0" w:space="0" w:color="auto"/>
                <w:bottom w:val="none" w:sz="0" w:space="0" w:color="auto"/>
                <w:right w:val="none" w:sz="0" w:space="0" w:color="auto"/>
              </w:divBdr>
              <w:divsChild>
                <w:div w:id="850489856">
                  <w:marLeft w:val="0"/>
                  <w:marRight w:val="0"/>
                  <w:marTop w:val="0"/>
                  <w:marBottom w:val="0"/>
                  <w:divBdr>
                    <w:top w:val="none" w:sz="0" w:space="0" w:color="auto"/>
                    <w:left w:val="none" w:sz="0" w:space="0" w:color="auto"/>
                    <w:bottom w:val="none" w:sz="0" w:space="0" w:color="auto"/>
                    <w:right w:val="none" w:sz="0" w:space="0" w:color="auto"/>
                  </w:divBdr>
                  <w:divsChild>
                    <w:div w:id="112480673">
                      <w:marLeft w:val="0"/>
                      <w:marRight w:val="0"/>
                      <w:marTop w:val="0"/>
                      <w:marBottom w:val="0"/>
                      <w:divBdr>
                        <w:top w:val="none" w:sz="0" w:space="0" w:color="auto"/>
                        <w:left w:val="none" w:sz="0" w:space="0" w:color="auto"/>
                        <w:bottom w:val="none" w:sz="0" w:space="0" w:color="auto"/>
                        <w:right w:val="none" w:sz="0" w:space="0" w:color="auto"/>
                      </w:divBdr>
                    </w:div>
                    <w:div w:id="95972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22407">
      <w:bodyDiv w:val="1"/>
      <w:marLeft w:val="0"/>
      <w:marRight w:val="0"/>
      <w:marTop w:val="0"/>
      <w:marBottom w:val="0"/>
      <w:divBdr>
        <w:top w:val="none" w:sz="0" w:space="0" w:color="auto"/>
        <w:left w:val="none" w:sz="0" w:space="0" w:color="auto"/>
        <w:bottom w:val="none" w:sz="0" w:space="0" w:color="auto"/>
        <w:right w:val="none" w:sz="0" w:space="0" w:color="auto"/>
      </w:divBdr>
      <w:divsChild>
        <w:div w:id="2140757676">
          <w:marLeft w:val="0"/>
          <w:marRight w:val="0"/>
          <w:marTop w:val="0"/>
          <w:marBottom w:val="0"/>
          <w:divBdr>
            <w:top w:val="none" w:sz="0" w:space="0" w:color="auto"/>
            <w:left w:val="none" w:sz="0" w:space="0" w:color="auto"/>
            <w:bottom w:val="none" w:sz="0" w:space="0" w:color="auto"/>
            <w:right w:val="none" w:sz="0" w:space="0" w:color="auto"/>
          </w:divBdr>
          <w:divsChild>
            <w:div w:id="1623801563">
              <w:marLeft w:val="0"/>
              <w:marRight w:val="0"/>
              <w:marTop w:val="0"/>
              <w:marBottom w:val="0"/>
              <w:divBdr>
                <w:top w:val="none" w:sz="0" w:space="0" w:color="auto"/>
                <w:left w:val="none" w:sz="0" w:space="0" w:color="auto"/>
                <w:bottom w:val="none" w:sz="0" w:space="0" w:color="auto"/>
                <w:right w:val="none" w:sz="0" w:space="0" w:color="auto"/>
              </w:divBdr>
              <w:divsChild>
                <w:div w:id="266541998">
                  <w:marLeft w:val="0"/>
                  <w:marRight w:val="0"/>
                  <w:marTop w:val="0"/>
                  <w:marBottom w:val="0"/>
                  <w:divBdr>
                    <w:top w:val="none" w:sz="0" w:space="0" w:color="auto"/>
                    <w:left w:val="none" w:sz="0" w:space="0" w:color="auto"/>
                    <w:bottom w:val="none" w:sz="0" w:space="0" w:color="auto"/>
                    <w:right w:val="none" w:sz="0" w:space="0" w:color="auto"/>
                  </w:divBdr>
                  <w:divsChild>
                    <w:div w:id="2114085089">
                      <w:marLeft w:val="0"/>
                      <w:marRight w:val="0"/>
                      <w:marTop w:val="0"/>
                      <w:marBottom w:val="0"/>
                      <w:divBdr>
                        <w:top w:val="none" w:sz="0" w:space="0" w:color="auto"/>
                        <w:left w:val="none" w:sz="0" w:space="0" w:color="auto"/>
                        <w:bottom w:val="none" w:sz="0" w:space="0" w:color="auto"/>
                        <w:right w:val="none" w:sz="0" w:space="0" w:color="auto"/>
                      </w:divBdr>
                      <w:divsChild>
                        <w:div w:id="294725348">
                          <w:marLeft w:val="0"/>
                          <w:marRight w:val="0"/>
                          <w:marTop w:val="0"/>
                          <w:marBottom w:val="0"/>
                          <w:divBdr>
                            <w:top w:val="none" w:sz="0" w:space="0" w:color="auto"/>
                            <w:left w:val="none" w:sz="0" w:space="0" w:color="auto"/>
                            <w:bottom w:val="none" w:sz="0" w:space="0" w:color="auto"/>
                            <w:right w:val="none" w:sz="0" w:space="0" w:color="auto"/>
                          </w:divBdr>
                          <w:divsChild>
                            <w:div w:id="1369724447">
                              <w:marLeft w:val="0"/>
                              <w:marRight w:val="0"/>
                              <w:marTop w:val="0"/>
                              <w:marBottom w:val="0"/>
                              <w:divBdr>
                                <w:top w:val="none" w:sz="0" w:space="0" w:color="auto"/>
                                <w:left w:val="none" w:sz="0" w:space="0" w:color="auto"/>
                                <w:bottom w:val="none" w:sz="0" w:space="0" w:color="auto"/>
                                <w:right w:val="none" w:sz="0" w:space="0" w:color="auto"/>
                              </w:divBdr>
                              <w:divsChild>
                                <w:div w:id="651523122">
                                  <w:marLeft w:val="0"/>
                                  <w:marRight w:val="0"/>
                                  <w:marTop w:val="0"/>
                                  <w:marBottom w:val="0"/>
                                  <w:divBdr>
                                    <w:top w:val="none" w:sz="0" w:space="0" w:color="auto"/>
                                    <w:left w:val="none" w:sz="0" w:space="0" w:color="auto"/>
                                    <w:bottom w:val="none" w:sz="0" w:space="0" w:color="auto"/>
                                    <w:right w:val="none" w:sz="0" w:space="0" w:color="auto"/>
                                  </w:divBdr>
                                  <w:divsChild>
                                    <w:div w:id="55346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008201">
                      <w:marLeft w:val="0"/>
                      <w:marRight w:val="0"/>
                      <w:marTop w:val="0"/>
                      <w:marBottom w:val="0"/>
                      <w:divBdr>
                        <w:top w:val="none" w:sz="0" w:space="0" w:color="auto"/>
                        <w:left w:val="none" w:sz="0" w:space="0" w:color="auto"/>
                        <w:bottom w:val="none" w:sz="0" w:space="0" w:color="auto"/>
                        <w:right w:val="none" w:sz="0" w:space="0" w:color="auto"/>
                      </w:divBdr>
                      <w:divsChild>
                        <w:div w:id="71470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25380">
      <w:bodyDiv w:val="1"/>
      <w:marLeft w:val="0"/>
      <w:marRight w:val="0"/>
      <w:marTop w:val="0"/>
      <w:marBottom w:val="0"/>
      <w:divBdr>
        <w:top w:val="none" w:sz="0" w:space="0" w:color="auto"/>
        <w:left w:val="none" w:sz="0" w:space="0" w:color="auto"/>
        <w:bottom w:val="none" w:sz="0" w:space="0" w:color="auto"/>
        <w:right w:val="none" w:sz="0" w:space="0" w:color="auto"/>
      </w:divBdr>
    </w:div>
    <w:div w:id="138423915">
      <w:bodyDiv w:val="1"/>
      <w:marLeft w:val="0"/>
      <w:marRight w:val="0"/>
      <w:marTop w:val="0"/>
      <w:marBottom w:val="0"/>
      <w:divBdr>
        <w:top w:val="none" w:sz="0" w:space="0" w:color="auto"/>
        <w:left w:val="none" w:sz="0" w:space="0" w:color="auto"/>
        <w:bottom w:val="none" w:sz="0" w:space="0" w:color="auto"/>
        <w:right w:val="none" w:sz="0" w:space="0" w:color="auto"/>
      </w:divBdr>
      <w:divsChild>
        <w:div w:id="45036157">
          <w:marLeft w:val="0"/>
          <w:marRight w:val="0"/>
          <w:marTop w:val="0"/>
          <w:marBottom w:val="0"/>
          <w:divBdr>
            <w:top w:val="none" w:sz="0" w:space="0" w:color="auto"/>
            <w:left w:val="none" w:sz="0" w:space="0" w:color="auto"/>
            <w:bottom w:val="none" w:sz="0" w:space="0" w:color="auto"/>
            <w:right w:val="none" w:sz="0" w:space="0" w:color="auto"/>
          </w:divBdr>
          <w:divsChild>
            <w:div w:id="1523200707">
              <w:marLeft w:val="0"/>
              <w:marRight w:val="0"/>
              <w:marTop w:val="0"/>
              <w:marBottom w:val="0"/>
              <w:divBdr>
                <w:top w:val="none" w:sz="0" w:space="0" w:color="auto"/>
                <w:left w:val="none" w:sz="0" w:space="0" w:color="auto"/>
                <w:bottom w:val="none" w:sz="0" w:space="0" w:color="auto"/>
                <w:right w:val="none" w:sz="0" w:space="0" w:color="auto"/>
              </w:divBdr>
              <w:divsChild>
                <w:div w:id="1513378734">
                  <w:marLeft w:val="0"/>
                  <w:marRight w:val="0"/>
                  <w:marTop w:val="0"/>
                  <w:marBottom w:val="0"/>
                  <w:divBdr>
                    <w:top w:val="none" w:sz="0" w:space="0" w:color="auto"/>
                    <w:left w:val="none" w:sz="0" w:space="0" w:color="auto"/>
                    <w:bottom w:val="none" w:sz="0" w:space="0" w:color="auto"/>
                    <w:right w:val="none" w:sz="0" w:space="0" w:color="auto"/>
                  </w:divBdr>
                  <w:divsChild>
                    <w:div w:id="1905411146">
                      <w:marLeft w:val="0"/>
                      <w:marRight w:val="0"/>
                      <w:marTop w:val="0"/>
                      <w:marBottom w:val="0"/>
                      <w:divBdr>
                        <w:top w:val="none" w:sz="0" w:space="0" w:color="auto"/>
                        <w:left w:val="none" w:sz="0" w:space="0" w:color="auto"/>
                        <w:bottom w:val="none" w:sz="0" w:space="0" w:color="auto"/>
                        <w:right w:val="none" w:sz="0" w:space="0" w:color="auto"/>
                      </w:divBdr>
                      <w:divsChild>
                        <w:div w:id="1254587824">
                          <w:marLeft w:val="0"/>
                          <w:marRight w:val="0"/>
                          <w:marTop w:val="0"/>
                          <w:marBottom w:val="0"/>
                          <w:divBdr>
                            <w:top w:val="none" w:sz="0" w:space="0" w:color="auto"/>
                            <w:left w:val="none" w:sz="0" w:space="0" w:color="auto"/>
                            <w:bottom w:val="none" w:sz="0" w:space="0" w:color="auto"/>
                            <w:right w:val="none" w:sz="0" w:space="0" w:color="auto"/>
                          </w:divBdr>
                          <w:divsChild>
                            <w:div w:id="1063409148">
                              <w:marLeft w:val="0"/>
                              <w:marRight w:val="0"/>
                              <w:marTop w:val="0"/>
                              <w:marBottom w:val="0"/>
                              <w:divBdr>
                                <w:top w:val="none" w:sz="0" w:space="0" w:color="auto"/>
                                <w:left w:val="none" w:sz="0" w:space="0" w:color="auto"/>
                                <w:bottom w:val="none" w:sz="0" w:space="0" w:color="auto"/>
                                <w:right w:val="none" w:sz="0" w:space="0" w:color="auto"/>
                              </w:divBdr>
                              <w:divsChild>
                                <w:div w:id="387537968">
                                  <w:marLeft w:val="0"/>
                                  <w:marRight w:val="0"/>
                                  <w:marTop w:val="0"/>
                                  <w:marBottom w:val="0"/>
                                  <w:divBdr>
                                    <w:top w:val="none" w:sz="0" w:space="0" w:color="auto"/>
                                    <w:left w:val="none" w:sz="0" w:space="0" w:color="auto"/>
                                    <w:bottom w:val="none" w:sz="0" w:space="0" w:color="auto"/>
                                    <w:right w:val="none" w:sz="0" w:space="0" w:color="auto"/>
                                  </w:divBdr>
                                  <w:divsChild>
                                    <w:div w:id="46054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092430">
                      <w:marLeft w:val="0"/>
                      <w:marRight w:val="0"/>
                      <w:marTop w:val="0"/>
                      <w:marBottom w:val="0"/>
                      <w:divBdr>
                        <w:top w:val="none" w:sz="0" w:space="0" w:color="auto"/>
                        <w:left w:val="none" w:sz="0" w:space="0" w:color="auto"/>
                        <w:bottom w:val="none" w:sz="0" w:space="0" w:color="auto"/>
                        <w:right w:val="none" w:sz="0" w:space="0" w:color="auto"/>
                      </w:divBdr>
                      <w:divsChild>
                        <w:div w:id="173500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52575">
      <w:bodyDiv w:val="1"/>
      <w:marLeft w:val="0"/>
      <w:marRight w:val="0"/>
      <w:marTop w:val="0"/>
      <w:marBottom w:val="0"/>
      <w:divBdr>
        <w:top w:val="none" w:sz="0" w:space="0" w:color="auto"/>
        <w:left w:val="none" w:sz="0" w:space="0" w:color="auto"/>
        <w:bottom w:val="none" w:sz="0" w:space="0" w:color="auto"/>
        <w:right w:val="none" w:sz="0" w:space="0" w:color="auto"/>
      </w:divBdr>
    </w:div>
    <w:div w:id="182525212">
      <w:bodyDiv w:val="1"/>
      <w:marLeft w:val="0"/>
      <w:marRight w:val="0"/>
      <w:marTop w:val="0"/>
      <w:marBottom w:val="0"/>
      <w:divBdr>
        <w:top w:val="none" w:sz="0" w:space="0" w:color="auto"/>
        <w:left w:val="none" w:sz="0" w:space="0" w:color="auto"/>
        <w:bottom w:val="none" w:sz="0" w:space="0" w:color="auto"/>
        <w:right w:val="none" w:sz="0" w:space="0" w:color="auto"/>
      </w:divBdr>
    </w:div>
    <w:div w:id="198277430">
      <w:bodyDiv w:val="1"/>
      <w:marLeft w:val="0"/>
      <w:marRight w:val="0"/>
      <w:marTop w:val="0"/>
      <w:marBottom w:val="0"/>
      <w:divBdr>
        <w:top w:val="none" w:sz="0" w:space="0" w:color="auto"/>
        <w:left w:val="none" w:sz="0" w:space="0" w:color="auto"/>
        <w:bottom w:val="none" w:sz="0" w:space="0" w:color="auto"/>
        <w:right w:val="none" w:sz="0" w:space="0" w:color="auto"/>
      </w:divBdr>
    </w:div>
    <w:div w:id="213392517">
      <w:bodyDiv w:val="1"/>
      <w:marLeft w:val="0"/>
      <w:marRight w:val="0"/>
      <w:marTop w:val="0"/>
      <w:marBottom w:val="0"/>
      <w:divBdr>
        <w:top w:val="none" w:sz="0" w:space="0" w:color="auto"/>
        <w:left w:val="none" w:sz="0" w:space="0" w:color="auto"/>
        <w:bottom w:val="none" w:sz="0" w:space="0" w:color="auto"/>
        <w:right w:val="none" w:sz="0" w:space="0" w:color="auto"/>
      </w:divBdr>
      <w:divsChild>
        <w:div w:id="414713806">
          <w:marLeft w:val="0"/>
          <w:marRight w:val="0"/>
          <w:marTop w:val="0"/>
          <w:marBottom w:val="0"/>
          <w:divBdr>
            <w:top w:val="none" w:sz="0" w:space="0" w:color="auto"/>
            <w:left w:val="none" w:sz="0" w:space="0" w:color="auto"/>
            <w:bottom w:val="none" w:sz="0" w:space="0" w:color="auto"/>
            <w:right w:val="none" w:sz="0" w:space="0" w:color="auto"/>
          </w:divBdr>
          <w:divsChild>
            <w:div w:id="1084835762">
              <w:marLeft w:val="0"/>
              <w:marRight w:val="0"/>
              <w:marTop w:val="0"/>
              <w:marBottom w:val="0"/>
              <w:divBdr>
                <w:top w:val="none" w:sz="0" w:space="0" w:color="auto"/>
                <w:left w:val="none" w:sz="0" w:space="0" w:color="auto"/>
                <w:bottom w:val="none" w:sz="0" w:space="0" w:color="auto"/>
                <w:right w:val="none" w:sz="0" w:space="0" w:color="auto"/>
              </w:divBdr>
              <w:divsChild>
                <w:div w:id="1993559757">
                  <w:marLeft w:val="0"/>
                  <w:marRight w:val="0"/>
                  <w:marTop w:val="0"/>
                  <w:marBottom w:val="0"/>
                  <w:divBdr>
                    <w:top w:val="none" w:sz="0" w:space="0" w:color="auto"/>
                    <w:left w:val="none" w:sz="0" w:space="0" w:color="auto"/>
                    <w:bottom w:val="none" w:sz="0" w:space="0" w:color="auto"/>
                    <w:right w:val="none" w:sz="0" w:space="0" w:color="auto"/>
                  </w:divBdr>
                  <w:divsChild>
                    <w:div w:id="1379281349">
                      <w:marLeft w:val="0"/>
                      <w:marRight w:val="0"/>
                      <w:marTop w:val="0"/>
                      <w:marBottom w:val="0"/>
                      <w:divBdr>
                        <w:top w:val="none" w:sz="0" w:space="0" w:color="auto"/>
                        <w:left w:val="none" w:sz="0" w:space="0" w:color="auto"/>
                        <w:bottom w:val="none" w:sz="0" w:space="0" w:color="auto"/>
                        <w:right w:val="none" w:sz="0" w:space="0" w:color="auto"/>
                      </w:divBdr>
                      <w:divsChild>
                        <w:div w:id="86461831">
                          <w:marLeft w:val="0"/>
                          <w:marRight w:val="0"/>
                          <w:marTop w:val="0"/>
                          <w:marBottom w:val="0"/>
                          <w:divBdr>
                            <w:top w:val="none" w:sz="0" w:space="0" w:color="auto"/>
                            <w:left w:val="none" w:sz="0" w:space="0" w:color="auto"/>
                            <w:bottom w:val="none" w:sz="0" w:space="0" w:color="auto"/>
                            <w:right w:val="none" w:sz="0" w:space="0" w:color="auto"/>
                          </w:divBdr>
                          <w:divsChild>
                            <w:div w:id="1080982837">
                              <w:marLeft w:val="0"/>
                              <w:marRight w:val="0"/>
                              <w:marTop w:val="0"/>
                              <w:marBottom w:val="0"/>
                              <w:divBdr>
                                <w:top w:val="none" w:sz="0" w:space="0" w:color="auto"/>
                                <w:left w:val="none" w:sz="0" w:space="0" w:color="auto"/>
                                <w:bottom w:val="none" w:sz="0" w:space="0" w:color="auto"/>
                                <w:right w:val="none" w:sz="0" w:space="0" w:color="auto"/>
                              </w:divBdr>
                              <w:divsChild>
                                <w:div w:id="1110196784">
                                  <w:marLeft w:val="0"/>
                                  <w:marRight w:val="0"/>
                                  <w:marTop w:val="0"/>
                                  <w:marBottom w:val="0"/>
                                  <w:divBdr>
                                    <w:top w:val="none" w:sz="0" w:space="0" w:color="auto"/>
                                    <w:left w:val="none" w:sz="0" w:space="0" w:color="auto"/>
                                    <w:bottom w:val="none" w:sz="0" w:space="0" w:color="auto"/>
                                    <w:right w:val="none" w:sz="0" w:space="0" w:color="auto"/>
                                  </w:divBdr>
                                  <w:divsChild>
                                    <w:div w:id="1604146353">
                                      <w:marLeft w:val="0"/>
                                      <w:marRight w:val="0"/>
                                      <w:marTop w:val="0"/>
                                      <w:marBottom w:val="0"/>
                                      <w:divBdr>
                                        <w:top w:val="none" w:sz="0" w:space="0" w:color="auto"/>
                                        <w:left w:val="none" w:sz="0" w:space="0" w:color="auto"/>
                                        <w:bottom w:val="none" w:sz="0" w:space="0" w:color="auto"/>
                                        <w:right w:val="none" w:sz="0" w:space="0" w:color="auto"/>
                                      </w:divBdr>
                                      <w:divsChild>
                                        <w:div w:id="1081104670">
                                          <w:marLeft w:val="0"/>
                                          <w:marRight w:val="0"/>
                                          <w:marTop w:val="0"/>
                                          <w:marBottom w:val="0"/>
                                          <w:divBdr>
                                            <w:top w:val="none" w:sz="0" w:space="0" w:color="auto"/>
                                            <w:left w:val="none" w:sz="0" w:space="0" w:color="auto"/>
                                            <w:bottom w:val="none" w:sz="0" w:space="0" w:color="auto"/>
                                            <w:right w:val="none" w:sz="0" w:space="0" w:color="auto"/>
                                          </w:divBdr>
                                          <w:divsChild>
                                            <w:div w:id="894851360">
                                              <w:marLeft w:val="0"/>
                                              <w:marRight w:val="0"/>
                                              <w:marTop w:val="0"/>
                                              <w:marBottom w:val="0"/>
                                              <w:divBdr>
                                                <w:top w:val="none" w:sz="0" w:space="0" w:color="auto"/>
                                                <w:left w:val="none" w:sz="0" w:space="0" w:color="auto"/>
                                                <w:bottom w:val="none" w:sz="0" w:space="0" w:color="auto"/>
                                                <w:right w:val="none" w:sz="0" w:space="0" w:color="auto"/>
                                              </w:divBdr>
                                              <w:divsChild>
                                                <w:div w:id="669602586">
                                                  <w:marLeft w:val="0"/>
                                                  <w:marRight w:val="0"/>
                                                  <w:marTop w:val="0"/>
                                                  <w:marBottom w:val="0"/>
                                                  <w:divBdr>
                                                    <w:top w:val="none" w:sz="0" w:space="0" w:color="auto"/>
                                                    <w:left w:val="none" w:sz="0" w:space="0" w:color="auto"/>
                                                    <w:bottom w:val="none" w:sz="0" w:space="0" w:color="auto"/>
                                                    <w:right w:val="none" w:sz="0" w:space="0" w:color="auto"/>
                                                  </w:divBdr>
                                                  <w:divsChild>
                                                    <w:div w:id="24021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732891">
                                          <w:marLeft w:val="0"/>
                                          <w:marRight w:val="0"/>
                                          <w:marTop w:val="0"/>
                                          <w:marBottom w:val="0"/>
                                          <w:divBdr>
                                            <w:top w:val="none" w:sz="0" w:space="0" w:color="auto"/>
                                            <w:left w:val="none" w:sz="0" w:space="0" w:color="auto"/>
                                            <w:bottom w:val="none" w:sz="0" w:space="0" w:color="auto"/>
                                            <w:right w:val="none" w:sz="0" w:space="0" w:color="auto"/>
                                          </w:divBdr>
                                          <w:divsChild>
                                            <w:div w:id="306975435">
                                              <w:marLeft w:val="0"/>
                                              <w:marRight w:val="0"/>
                                              <w:marTop w:val="0"/>
                                              <w:marBottom w:val="0"/>
                                              <w:divBdr>
                                                <w:top w:val="none" w:sz="0" w:space="0" w:color="auto"/>
                                                <w:left w:val="none" w:sz="0" w:space="0" w:color="auto"/>
                                                <w:bottom w:val="none" w:sz="0" w:space="0" w:color="auto"/>
                                                <w:right w:val="none" w:sz="0" w:space="0" w:color="auto"/>
                                              </w:divBdr>
                                              <w:divsChild>
                                                <w:div w:id="1416167581">
                                                  <w:marLeft w:val="0"/>
                                                  <w:marRight w:val="0"/>
                                                  <w:marTop w:val="0"/>
                                                  <w:marBottom w:val="0"/>
                                                  <w:divBdr>
                                                    <w:top w:val="none" w:sz="0" w:space="0" w:color="auto"/>
                                                    <w:left w:val="none" w:sz="0" w:space="0" w:color="auto"/>
                                                    <w:bottom w:val="none" w:sz="0" w:space="0" w:color="auto"/>
                                                    <w:right w:val="none" w:sz="0" w:space="0" w:color="auto"/>
                                                  </w:divBdr>
                                                  <w:divsChild>
                                                    <w:div w:id="176359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061984">
                                      <w:marLeft w:val="0"/>
                                      <w:marRight w:val="0"/>
                                      <w:marTop w:val="0"/>
                                      <w:marBottom w:val="0"/>
                                      <w:divBdr>
                                        <w:top w:val="none" w:sz="0" w:space="0" w:color="auto"/>
                                        <w:left w:val="none" w:sz="0" w:space="0" w:color="auto"/>
                                        <w:bottom w:val="none" w:sz="0" w:space="0" w:color="auto"/>
                                        <w:right w:val="none" w:sz="0" w:space="0" w:color="auto"/>
                                      </w:divBdr>
                                      <w:divsChild>
                                        <w:div w:id="945580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9860051">
          <w:marLeft w:val="0"/>
          <w:marRight w:val="0"/>
          <w:marTop w:val="0"/>
          <w:marBottom w:val="0"/>
          <w:divBdr>
            <w:top w:val="none" w:sz="0" w:space="0" w:color="auto"/>
            <w:left w:val="none" w:sz="0" w:space="0" w:color="auto"/>
            <w:bottom w:val="none" w:sz="0" w:space="0" w:color="auto"/>
            <w:right w:val="none" w:sz="0" w:space="0" w:color="auto"/>
          </w:divBdr>
          <w:divsChild>
            <w:div w:id="1223368307">
              <w:marLeft w:val="0"/>
              <w:marRight w:val="0"/>
              <w:marTop w:val="0"/>
              <w:marBottom w:val="0"/>
              <w:divBdr>
                <w:top w:val="none" w:sz="0" w:space="0" w:color="auto"/>
                <w:left w:val="none" w:sz="0" w:space="0" w:color="auto"/>
                <w:bottom w:val="none" w:sz="0" w:space="0" w:color="auto"/>
                <w:right w:val="none" w:sz="0" w:space="0" w:color="auto"/>
              </w:divBdr>
              <w:divsChild>
                <w:div w:id="1810710824">
                  <w:marLeft w:val="0"/>
                  <w:marRight w:val="0"/>
                  <w:marTop w:val="0"/>
                  <w:marBottom w:val="0"/>
                  <w:divBdr>
                    <w:top w:val="none" w:sz="0" w:space="0" w:color="auto"/>
                    <w:left w:val="none" w:sz="0" w:space="0" w:color="auto"/>
                    <w:bottom w:val="none" w:sz="0" w:space="0" w:color="auto"/>
                    <w:right w:val="none" w:sz="0" w:space="0" w:color="auto"/>
                  </w:divBdr>
                  <w:divsChild>
                    <w:div w:id="257832957">
                      <w:marLeft w:val="0"/>
                      <w:marRight w:val="0"/>
                      <w:marTop w:val="0"/>
                      <w:marBottom w:val="0"/>
                      <w:divBdr>
                        <w:top w:val="none" w:sz="0" w:space="0" w:color="auto"/>
                        <w:left w:val="none" w:sz="0" w:space="0" w:color="auto"/>
                        <w:bottom w:val="none" w:sz="0" w:space="0" w:color="auto"/>
                        <w:right w:val="none" w:sz="0" w:space="0" w:color="auto"/>
                      </w:divBdr>
                      <w:divsChild>
                        <w:div w:id="20055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5627667">
      <w:bodyDiv w:val="1"/>
      <w:marLeft w:val="0"/>
      <w:marRight w:val="0"/>
      <w:marTop w:val="0"/>
      <w:marBottom w:val="0"/>
      <w:divBdr>
        <w:top w:val="none" w:sz="0" w:space="0" w:color="auto"/>
        <w:left w:val="none" w:sz="0" w:space="0" w:color="auto"/>
        <w:bottom w:val="none" w:sz="0" w:space="0" w:color="auto"/>
        <w:right w:val="none" w:sz="0" w:space="0" w:color="auto"/>
      </w:divBdr>
    </w:div>
    <w:div w:id="263148045">
      <w:bodyDiv w:val="1"/>
      <w:marLeft w:val="0"/>
      <w:marRight w:val="0"/>
      <w:marTop w:val="0"/>
      <w:marBottom w:val="0"/>
      <w:divBdr>
        <w:top w:val="none" w:sz="0" w:space="0" w:color="auto"/>
        <w:left w:val="none" w:sz="0" w:space="0" w:color="auto"/>
        <w:bottom w:val="none" w:sz="0" w:space="0" w:color="auto"/>
        <w:right w:val="none" w:sz="0" w:space="0" w:color="auto"/>
      </w:divBdr>
    </w:div>
    <w:div w:id="279805449">
      <w:bodyDiv w:val="1"/>
      <w:marLeft w:val="0"/>
      <w:marRight w:val="0"/>
      <w:marTop w:val="0"/>
      <w:marBottom w:val="0"/>
      <w:divBdr>
        <w:top w:val="none" w:sz="0" w:space="0" w:color="auto"/>
        <w:left w:val="none" w:sz="0" w:space="0" w:color="auto"/>
        <w:bottom w:val="none" w:sz="0" w:space="0" w:color="auto"/>
        <w:right w:val="none" w:sz="0" w:space="0" w:color="auto"/>
      </w:divBdr>
    </w:div>
    <w:div w:id="283928035">
      <w:bodyDiv w:val="1"/>
      <w:marLeft w:val="0"/>
      <w:marRight w:val="0"/>
      <w:marTop w:val="0"/>
      <w:marBottom w:val="0"/>
      <w:divBdr>
        <w:top w:val="none" w:sz="0" w:space="0" w:color="auto"/>
        <w:left w:val="none" w:sz="0" w:space="0" w:color="auto"/>
        <w:bottom w:val="none" w:sz="0" w:space="0" w:color="auto"/>
        <w:right w:val="none" w:sz="0" w:space="0" w:color="auto"/>
      </w:divBdr>
    </w:div>
    <w:div w:id="289749901">
      <w:bodyDiv w:val="1"/>
      <w:marLeft w:val="0"/>
      <w:marRight w:val="0"/>
      <w:marTop w:val="0"/>
      <w:marBottom w:val="0"/>
      <w:divBdr>
        <w:top w:val="none" w:sz="0" w:space="0" w:color="auto"/>
        <w:left w:val="none" w:sz="0" w:space="0" w:color="auto"/>
        <w:bottom w:val="none" w:sz="0" w:space="0" w:color="auto"/>
        <w:right w:val="none" w:sz="0" w:space="0" w:color="auto"/>
      </w:divBdr>
    </w:div>
    <w:div w:id="302657259">
      <w:bodyDiv w:val="1"/>
      <w:marLeft w:val="0"/>
      <w:marRight w:val="0"/>
      <w:marTop w:val="0"/>
      <w:marBottom w:val="0"/>
      <w:divBdr>
        <w:top w:val="none" w:sz="0" w:space="0" w:color="auto"/>
        <w:left w:val="none" w:sz="0" w:space="0" w:color="auto"/>
        <w:bottom w:val="none" w:sz="0" w:space="0" w:color="auto"/>
        <w:right w:val="none" w:sz="0" w:space="0" w:color="auto"/>
      </w:divBdr>
    </w:div>
    <w:div w:id="325327634">
      <w:bodyDiv w:val="1"/>
      <w:marLeft w:val="0"/>
      <w:marRight w:val="0"/>
      <w:marTop w:val="0"/>
      <w:marBottom w:val="0"/>
      <w:divBdr>
        <w:top w:val="none" w:sz="0" w:space="0" w:color="auto"/>
        <w:left w:val="none" w:sz="0" w:space="0" w:color="auto"/>
        <w:bottom w:val="none" w:sz="0" w:space="0" w:color="auto"/>
        <w:right w:val="none" w:sz="0" w:space="0" w:color="auto"/>
      </w:divBdr>
    </w:div>
    <w:div w:id="347145825">
      <w:bodyDiv w:val="1"/>
      <w:marLeft w:val="0"/>
      <w:marRight w:val="0"/>
      <w:marTop w:val="0"/>
      <w:marBottom w:val="0"/>
      <w:divBdr>
        <w:top w:val="none" w:sz="0" w:space="0" w:color="auto"/>
        <w:left w:val="none" w:sz="0" w:space="0" w:color="auto"/>
        <w:bottom w:val="none" w:sz="0" w:space="0" w:color="auto"/>
        <w:right w:val="none" w:sz="0" w:space="0" w:color="auto"/>
      </w:divBdr>
    </w:div>
    <w:div w:id="350112773">
      <w:bodyDiv w:val="1"/>
      <w:marLeft w:val="0"/>
      <w:marRight w:val="0"/>
      <w:marTop w:val="0"/>
      <w:marBottom w:val="0"/>
      <w:divBdr>
        <w:top w:val="none" w:sz="0" w:space="0" w:color="auto"/>
        <w:left w:val="none" w:sz="0" w:space="0" w:color="auto"/>
        <w:bottom w:val="none" w:sz="0" w:space="0" w:color="auto"/>
        <w:right w:val="none" w:sz="0" w:space="0" w:color="auto"/>
      </w:divBdr>
      <w:divsChild>
        <w:div w:id="171262644">
          <w:marLeft w:val="0"/>
          <w:marRight w:val="0"/>
          <w:marTop w:val="0"/>
          <w:marBottom w:val="0"/>
          <w:divBdr>
            <w:top w:val="none" w:sz="0" w:space="0" w:color="auto"/>
            <w:left w:val="none" w:sz="0" w:space="0" w:color="auto"/>
            <w:bottom w:val="none" w:sz="0" w:space="0" w:color="auto"/>
            <w:right w:val="none" w:sz="0" w:space="0" w:color="auto"/>
          </w:divBdr>
          <w:divsChild>
            <w:div w:id="2145734091">
              <w:marLeft w:val="0"/>
              <w:marRight w:val="0"/>
              <w:marTop w:val="0"/>
              <w:marBottom w:val="0"/>
              <w:divBdr>
                <w:top w:val="none" w:sz="0" w:space="0" w:color="auto"/>
                <w:left w:val="none" w:sz="0" w:space="0" w:color="auto"/>
                <w:bottom w:val="none" w:sz="0" w:space="0" w:color="auto"/>
                <w:right w:val="none" w:sz="0" w:space="0" w:color="auto"/>
              </w:divBdr>
              <w:divsChild>
                <w:div w:id="482627663">
                  <w:marLeft w:val="0"/>
                  <w:marRight w:val="0"/>
                  <w:marTop w:val="0"/>
                  <w:marBottom w:val="0"/>
                  <w:divBdr>
                    <w:top w:val="none" w:sz="0" w:space="0" w:color="auto"/>
                    <w:left w:val="none" w:sz="0" w:space="0" w:color="auto"/>
                    <w:bottom w:val="none" w:sz="0" w:space="0" w:color="auto"/>
                    <w:right w:val="none" w:sz="0" w:space="0" w:color="auto"/>
                  </w:divBdr>
                  <w:divsChild>
                    <w:div w:id="183447431">
                      <w:marLeft w:val="0"/>
                      <w:marRight w:val="0"/>
                      <w:marTop w:val="0"/>
                      <w:marBottom w:val="0"/>
                      <w:divBdr>
                        <w:top w:val="none" w:sz="0" w:space="0" w:color="auto"/>
                        <w:left w:val="none" w:sz="0" w:space="0" w:color="auto"/>
                        <w:bottom w:val="none" w:sz="0" w:space="0" w:color="auto"/>
                        <w:right w:val="none" w:sz="0" w:space="0" w:color="auto"/>
                      </w:divBdr>
                      <w:divsChild>
                        <w:div w:id="1210605028">
                          <w:marLeft w:val="0"/>
                          <w:marRight w:val="0"/>
                          <w:marTop w:val="0"/>
                          <w:marBottom w:val="0"/>
                          <w:divBdr>
                            <w:top w:val="none" w:sz="0" w:space="0" w:color="auto"/>
                            <w:left w:val="none" w:sz="0" w:space="0" w:color="auto"/>
                            <w:bottom w:val="none" w:sz="0" w:space="0" w:color="auto"/>
                            <w:right w:val="none" w:sz="0" w:space="0" w:color="auto"/>
                          </w:divBdr>
                          <w:divsChild>
                            <w:div w:id="1681273304">
                              <w:marLeft w:val="0"/>
                              <w:marRight w:val="0"/>
                              <w:marTop w:val="0"/>
                              <w:marBottom w:val="0"/>
                              <w:divBdr>
                                <w:top w:val="none" w:sz="0" w:space="0" w:color="auto"/>
                                <w:left w:val="none" w:sz="0" w:space="0" w:color="auto"/>
                                <w:bottom w:val="none" w:sz="0" w:space="0" w:color="auto"/>
                                <w:right w:val="none" w:sz="0" w:space="0" w:color="auto"/>
                              </w:divBdr>
                              <w:divsChild>
                                <w:div w:id="1997612851">
                                  <w:marLeft w:val="0"/>
                                  <w:marRight w:val="0"/>
                                  <w:marTop w:val="0"/>
                                  <w:marBottom w:val="0"/>
                                  <w:divBdr>
                                    <w:top w:val="none" w:sz="0" w:space="0" w:color="auto"/>
                                    <w:left w:val="none" w:sz="0" w:space="0" w:color="auto"/>
                                    <w:bottom w:val="none" w:sz="0" w:space="0" w:color="auto"/>
                                    <w:right w:val="none" w:sz="0" w:space="0" w:color="auto"/>
                                  </w:divBdr>
                                  <w:divsChild>
                                    <w:div w:id="21666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313568">
                      <w:marLeft w:val="0"/>
                      <w:marRight w:val="0"/>
                      <w:marTop w:val="0"/>
                      <w:marBottom w:val="0"/>
                      <w:divBdr>
                        <w:top w:val="none" w:sz="0" w:space="0" w:color="auto"/>
                        <w:left w:val="none" w:sz="0" w:space="0" w:color="auto"/>
                        <w:bottom w:val="none" w:sz="0" w:space="0" w:color="auto"/>
                        <w:right w:val="none" w:sz="0" w:space="0" w:color="auto"/>
                      </w:divBdr>
                      <w:divsChild>
                        <w:div w:id="1669213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9230">
      <w:bodyDiv w:val="1"/>
      <w:marLeft w:val="0"/>
      <w:marRight w:val="0"/>
      <w:marTop w:val="0"/>
      <w:marBottom w:val="0"/>
      <w:divBdr>
        <w:top w:val="none" w:sz="0" w:space="0" w:color="auto"/>
        <w:left w:val="none" w:sz="0" w:space="0" w:color="auto"/>
        <w:bottom w:val="none" w:sz="0" w:space="0" w:color="auto"/>
        <w:right w:val="none" w:sz="0" w:space="0" w:color="auto"/>
      </w:divBdr>
    </w:div>
    <w:div w:id="398939028">
      <w:bodyDiv w:val="1"/>
      <w:marLeft w:val="0"/>
      <w:marRight w:val="0"/>
      <w:marTop w:val="0"/>
      <w:marBottom w:val="0"/>
      <w:divBdr>
        <w:top w:val="none" w:sz="0" w:space="0" w:color="auto"/>
        <w:left w:val="none" w:sz="0" w:space="0" w:color="auto"/>
        <w:bottom w:val="none" w:sz="0" w:space="0" w:color="auto"/>
        <w:right w:val="none" w:sz="0" w:space="0" w:color="auto"/>
      </w:divBdr>
      <w:divsChild>
        <w:div w:id="1390684937">
          <w:marLeft w:val="0"/>
          <w:marRight w:val="0"/>
          <w:marTop w:val="0"/>
          <w:marBottom w:val="0"/>
          <w:divBdr>
            <w:top w:val="none" w:sz="0" w:space="0" w:color="auto"/>
            <w:left w:val="none" w:sz="0" w:space="0" w:color="auto"/>
            <w:bottom w:val="none" w:sz="0" w:space="0" w:color="auto"/>
            <w:right w:val="none" w:sz="0" w:space="0" w:color="auto"/>
          </w:divBdr>
          <w:divsChild>
            <w:div w:id="223374786">
              <w:marLeft w:val="0"/>
              <w:marRight w:val="0"/>
              <w:marTop w:val="0"/>
              <w:marBottom w:val="0"/>
              <w:divBdr>
                <w:top w:val="none" w:sz="0" w:space="0" w:color="auto"/>
                <w:left w:val="none" w:sz="0" w:space="0" w:color="auto"/>
                <w:bottom w:val="none" w:sz="0" w:space="0" w:color="auto"/>
                <w:right w:val="none" w:sz="0" w:space="0" w:color="auto"/>
              </w:divBdr>
              <w:divsChild>
                <w:div w:id="1417752990">
                  <w:marLeft w:val="0"/>
                  <w:marRight w:val="0"/>
                  <w:marTop w:val="0"/>
                  <w:marBottom w:val="0"/>
                  <w:divBdr>
                    <w:top w:val="none" w:sz="0" w:space="0" w:color="auto"/>
                    <w:left w:val="none" w:sz="0" w:space="0" w:color="auto"/>
                    <w:bottom w:val="none" w:sz="0" w:space="0" w:color="auto"/>
                    <w:right w:val="none" w:sz="0" w:space="0" w:color="auto"/>
                  </w:divBdr>
                  <w:divsChild>
                    <w:div w:id="444347595">
                      <w:marLeft w:val="0"/>
                      <w:marRight w:val="0"/>
                      <w:marTop w:val="0"/>
                      <w:marBottom w:val="0"/>
                      <w:divBdr>
                        <w:top w:val="none" w:sz="0" w:space="0" w:color="auto"/>
                        <w:left w:val="none" w:sz="0" w:space="0" w:color="auto"/>
                        <w:bottom w:val="none" w:sz="0" w:space="0" w:color="auto"/>
                        <w:right w:val="none" w:sz="0" w:space="0" w:color="auto"/>
                      </w:divBdr>
                      <w:divsChild>
                        <w:div w:id="1557081922">
                          <w:marLeft w:val="0"/>
                          <w:marRight w:val="0"/>
                          <w:marTop w:val="0"/>
                          <w:marBottom w:val="0"/>
                          <w:divBdr>
                            <w:top w:val="none" w:sz="0" w:space="0" w:color="auto"/>
                            <w:left w:val="none" w:sz="0" w:space="0" w:color="auto"/>
                            <w:bottom w:val="none" w:sz="0" w:space="0" w:color="auto"/>
                            <w:right w:val="none" w:sz="0" w:space="0" w:color="auto"/>
                          </w:divBdr>
                          <w:divsChild>
                            <w:div w:id="1866601412">
                              <w:marLeft w:val="0"/>
                              <w:marRight w:val="0"/>
                              <w:marTop w:val="0"/>
                              <w:marBottom w:val="0"/>
                              <w:divBdr>
                                <w:top w:val="none" w:sz="0" w:space="0" w:color="auto"/>
                                <w:left w:val="none" w:sz="0" w:space="0" w:color="auto"/>
                                <w:bottom w:val="none" w:sz="0" w:space="0" w:color="auto"/>
                                <w:right w:val="none" w:sz="0" w:space="0" w:color="auto"/>
                              </w:divBdr>
                              <w:divsChild>
                                <w:div w:id="1780295172">
                                  <w:marLeft w:val="0"/>
                                  <w:marRight w:val="0"/>
                                  <w:marTop w:val="0"/>
                                  <w:marBottom w:val="0"/>
                                  <w:divBdr>
                                    <w:top w:val="none" w:sz="0" w:space="0" w:color="auto"/>
                                    <w:left w:val="none" w:sz="0" w:space="0" w:color="auto"/>
                                    <w:bottom w:val="none" w:sz="0" w:space="0" w:color="auto"/>
                                    <w:right w:val="none" w:sz="0" w:space="0" w:color="auto"/>
                                  </w:divBdr>
                                  <w:divsChild>
                                    <w:div w:id="139172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619619">
                      <w:marLeft w:val="0"/>
                      <w:marRight w:val="0"/>
                      <w:marTop w:val="0"/>
                      <w:marBottom w:val="0"/>
                      <w:divBdr>
                        <w:top w:val="none" w:sz="0" w:space="0" w:color="auto"/>
                        <w:left w:val="none" w:sz="0" w:space="0" w:color="auto"/>
                        <w:bottom w:val="none" w:sz="0" w:space="0" w:color="auto"/>
                        <w:right w:val="none" w:sz="0" w:space="0" w:color="auto"/>
                      </w:divBdr>
                      <w:divsChild>
                        <w:div w:id="162564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5461599">
      <w:bodyDiv w:val="1"/>
      <w:marLeft w:val="0"/>
      <w:marRight w:val="0"/>
      <w:marTop w:val="0"/>
      <w:marBottom w:val="0"/>
      <w:divBdr>
        <w:top w:val="none" w:sz="0" w:space="0" w:color="auto"/>
        <w:left w:val="none" w:sz="0" w:space="0" w:color="auto"/>
        <w:bottom w:val="none" w:sz="0" w:space="0" w:color="auto"/>
        <w:right w:val="none" w:sz="0" w:space="0" w:color="auto"/>
      </w:divBdr>
    </w:div>
    <w:div w:id="431897280">
      <w:bodyDiv w:val="1"/>
      <w:marLeft w:val="0"/>
      <w:marRight w:val="0"/>
      <w:marTop w:val="0"/>
      <w:marBottom w:val="0"/>
      <w:divBdr>
        <w:top w:val="none" w:sz="0" w:space="0" w:color="auto"/>
        <w:left w:val="none" w:sz="0" w:space="0" w:color="auto"/>
        <w:bottom w:val="none" w:sz="0" w:space="0" w:color="auto"/>
        <w:right w:val="none" w:sz="0" w:space="0" w:color="auto"/>
      </w:divBdr>
    </w:div>
    <w:div w:id="438912583">
      <w:bodyDiv w:val="1"/>
      <w:marLeft w:val="0"/>
      <w:marRight w:val="0"/>
      <w:marTop w:val="0"/>
      <w:marBottom w:val="0"/>
      <w:divBdr>
        <w:top w:val="none" w:sz="0" w:space="0" w:color="auto"/>
        <w:left w:val="none" w:sz="0" w:space="0" w:color="auto"/>
        <w:bottom w:val="none" w:sz="0" w:space="0" w:color="auto"/>
        <w:right w:val="none" w:sz="0" w:space="0" w:color="auto"/>
      </w:divBdr>
      <w:divsChild>
        <w:div w:id="161513258">
          <w:marLeft w:val="0"/>
          <w:marRight w:val="0"/>
          <w:marTop w:val="0"/>
          <w:marBottom w:val="0"/>
          <w:divBdr>
            <w:top w:val="none" w:sz="0" w:space="0" w:color="auto"/>
            <w:left w:val="none" w:sz="0" w:space="0" w:color="auto"/>
            <w:bottom w:val="none" w:sz="0" w:space="0" w:color="auto"/>
            <w:right w:val="none" w:sz="0" w:space="0" w:color="auto"/>
          </w:divBdr>
          <w:divsChild>
            <w:div w:id="2100829386">
              <w:marLeft w:val="0"/>
              <w:marRight w:val="0"/>
              <w:marTop w:val="0"/>
              <w:marBottom w:val="0"/>
              <w:divBdr>
                <w:top w:val="none" w:sz="0" w:space="0" w:color="auto"/>
                <w:left w:val="none" w:sz="0" w:space="0" w:color="auto"/>
                <w:bottom w:val="none" w:sz="0" w:space="0" w:color="auto"/>
                <w:right w:val="none" w:sz="0" w:space="0" w:color="auto"/>
              </w:divBdr>
              <w:divsChild>
                <w:div w:id="1331328602">
                  <w:marLeft w:val="0"/>
                  <w:marRight w:val="0"/>
                  <w:marTop w:val="0"/>
                  <w:marBottom w:val="0"/>
                  <w:divBdr>
                    <w:top w:val="none" w:sz="0" w:space="0" w:color="auto"/>
                    <w:left w:val="none" w:sz="0" w:space="0" w:color="auto"/>
                    <w:bottom w:val="none" w:sz="0" w:space="0" w:color="auto"/>
                    <w:right w:val="none" w:sz="0" w:space="0" w:color="auto"/>
                  </w:divBdr>
                  <w:divsChild>
                    <w:div w:id="1711027299">
                      <w:marLeft w:val="0"/>
                      <w:marRight w:val="0"/>
                      <w:marTop w:val="0"/>
                      <w:marBottom w:val="0"/>
                      <w:divBdr>
                        <w:top w:val="none" w:sz="0" w:space="0" w:color="auto"/>
                        <w:left w:val="none" w:sz="0" w:space="0" w:color="auto"/>
                        <w:bottom w:val="none" w:sz="0" w:space="0" w:color="auto"/>
                        <w:right w:val="none" w:sz="0" w:space="0" w:color="auto"/>
                      </w:divBdr>
                      <w:divsChild>
                        <w:div w:id="1992056087">
                          <w:marLeft w:val="0"/>
                          <w:marRight w:val="0"/>
                          <w:marTop w:val="0"/>
                          <w:marBottom w:val="0"/>
                          <w:divBdr>
                            <w:top w:val="none" w:sz="0" w:space="0" w:color="auto"/>
                            <w:left w:val="none" w:sz="0" w:space="0" w:color="auto"/>
                            <w:bottom w:val="none" w:sz="0" w:space="0" w:color="auto"/>
                            <w:right w:val="none" w:sz="0" w:space="0" w:color="auto"/>
                          </w:divBdr>
                          <w:divsChild>
                            <w:div w:id="1458257747">
                              <w:marLeft w:val="0"/>
                              <w:marRight w:val="0"/>
                              <w:marTop w:val="0"/>
                              <w:marBottom w:val="0"/>
                              <w:divBdr>
                                <w:top w:val="none" w:sz="0" w:space="0" w:color="auto"/>
                                <w:left w:val="none" w:sz="0" w:space="0" w:color="auto"/>
                                <w:bottom w:val="none" w:sz="0" w:space="0" w:color="auto"/>
                                <w:right w:val="none" w:sz="0" w:space="0" w:color="auto"/>
                              </w:divBdr>
                              <w:divsChild>
                                <w:div w:id="1220288273">
                                  <w:marLeft w:val="0"/>
                                  <w:marRight w:val="0"/>
                                  <w:marTop w:val="0"/>
                                  <w:marBottom w:val="0"/>
                                  <w:divBdr>
                                    <w:top w:val="none" w:sz="0" w:space="0" w:color="auto"/>
                                    <w:left w:val="none" w:sz="0" w:space="0" w:color="auto"/>
                                    <w:bottom w:val="none" w:sz="0" w:space="0" w:color="auto"/>
                                    <w:right w:val="none" w:sz="0" w:space="0" w:color="auto"/>
                                  </w:divBdr>
                                  <w:divsChild>
                                    <w:div w:id="110238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923046">
                      <w:marLeft w:val="0"/>
                      <w:marRight w:val="0"/>
                      <w:marTop w:val="0"/>
                      <w:marBottom w:val="0"/>
                      <w:divBdr>
                        <w:top w:val="none" w:sz="0" w:space="0" w:color="auto"/>
                        <w:left w:val="none" w:sz="0" w:space="0" w:color="auto"/>
                        <w:bottom w:val="none" w:sz="0" w:space="0" w:color="auto"/>
                        <w:right w:val="none" w:sz="0" w:space="0" w:color="auto"/>
                      </w:divBdr>
                      <w:divsChild>
                        <w:div w:id="154752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7506649">
      <w:bodyDiv w:val="1"/>
      <w:marLeft w:val="0"/>
      <w:marRight w:val="0"/>
      <w:marTop w:val="0"/>
      <w:marBottom w:val="0"/>
      <w:divBdr>
        <w:top w:val="none" w:sz="0" w:space="0" w:color="auto"/>
        <w:left w:val="none" w:sz="0" w:space="0" w:color="auto"/>
        <w:bottom w:val="none" w:sz="0" w:space="0" w:color="auto"/>
        <w:right w:val="none" w:sz="0" w:space="0" w:color="auto"/>
      </w:divBdr>
      <w:divsChild>
        <w:div w:id="1988585106">
          <w:marLeft w:val="0"/>
          <w:marRight w:val="0"/>
          <w:marTop w:val="0"/>
          <w:marBottom w:val="0"/>
          <w:divBdr>
            <w:top w:val="none" w:sz="0" w:space="0" w:color="auto"/>
            <w:left w:val="none" w:sz="0" w:space="0" w:color="auto"/>
            <w:bottom w:val="none" w:sz="0" w:space="0" w:color="auto"/>
            <w:right w:val="none" w:sz="0" w:space="0" w:color="auto"/>
          </w:divBdr>
          <w:divsChild>
            <w:div w:id="1748064899">
              <w:marLeft w:val="0"/>
              <w:marRight w:val="0"/>
              <w:marTop w:val="0"/>
              <w:marBottom w:val="0"/>
              <w:divBdr>
                <w:top w:val="none" w:sz="0" w:space="0" w:color="auto"/>
                <w:left w:val="none" w:sz="0" w:space="0" w:color="auto"/>
                <w:bottom w:val="none" w:sz="0" w:space="0" w:color="auto"/>
                <w:right w:val="none" w:sz="0" w:space="0" w:color="auto"/>
              </w:divBdr>
              <w:divsChild>
                <w:div w:id="166865172">
                  <w:marLeft w:val="0"/>
                  <w:marRight w:val="0"/>
                  <w:marTop w:val="0"/>
                  <w:marBottom w:val="0"/>
                  <w:divBdr>
                    <w:top w:val="none" w:sz="0" w:space="0" w:color="auto"/>
                    <w:left w:val="none" w:sz="0" w:space="0" w:color="auto"/>
                    <w:bottom w:val="none" w:sz="0" w:space="0" w:color="auto"/>
                    <w:right w:val="none" w:sz="0" w:space="0" w:color="auto"/>
                  </w:divBdr>
                  <w:divsChild>
                    <w:div w:id="1175654104">
                      <w:marLeft w:val="0"/>
                      <w:marRight w:val="0"/>
                      <w:marTop w:val="0"/>
                      <w:marBottom w:val="0"/>
                      <w:divBdr>
                        <w:top w:val="none" w:sz="0" w:space="0" w:color="auto"/>
                        <w:left w:val="none" w:sz="0" w:space="0" w:color="auto"/>
                        <w:bottom w:val="none" w:sz="0" w:space="0" w:color="auto"/>
                        <w:right w:val="none" w:sz="0" w:space="0" w:color="auto"/>
                      </w:divBdr>
                      <w:divsChild>
                        <w:div w:id="1329554210">
                          <w:marLeft w:val="0"/>
                          <w:marRight w:val="0"/>
                          <w:marTop w:val="0"/>
                          <w:marBottom w:val="0"/>
                          <w:divBdr>
                            <w:top w:val="none" w:sz="0" w:space="0" w:color="auto"/>
                            <w:left w:val="none" w:sz="0" w:space="0" w:color="auto"/>
                            <w:bottom w:val="none" w:sz="0" w:space="0" w:color="auto"/>
                            <w:right w:val="none" w:sz="0" w:space="0" w:color="auto"/>
                          </w:divBdr>
                          <w:divsChild>
                            <w:div w:id="835389316">
                              <w:marLeft w:val="0"/>
                              <w:marRight w:val="0"/>
                              <w:marTop w:val="0"/>
                              <w:marBottom w:val="0"/>
                              <w:divBdr>
                                <w:top w:val="none" w:sz="0" w:space="0" w:color="auto"/>
                                <w:left w:val="none" w:sz="0" w:space="0" w:color="auto"/>
                                <w:bottom w:val="none" w:sz="0" w:space="0" w:color="auto"/>
                                <w:right w:val="none" w:sz="0" w:space="0" w:color="auto"/>
                              </w:divBdr>
                              <w:divsChild>
                                <w:div w:id="1188301199">
                                  <w:marLeft w:val="0"/>
                                  <w:marRight w:val="0"/>
                                  <w:marTop w:val="0"/>
                                  <w:marBottom w:val="0"/>
                                  <w:divBdr>
                                    <w:top w:val="none" w:sz="0" w:space="0" w:color="auto"/>
                                    <w:left w:val="none" w:sz="0" w:space="0" w:color="auto"/>
                                    <w:bottom w:val="none" w:sz="0" w:space="0" w:color="auto"/>
                                    <w:right w:val="none" w:sz="0" w:space="0" w:color="auto"/>
                                  </w:divBdr>
                                  <w:divsChild>
                                    <w:div w:id="5467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5349418">
                      <w:marLeft w:val="0"/>
                      <w:marRight w:val="0"/>
                      <w:marTop w:val="0"/>
                      <w:marBottom w:val="0"/>
                      <w:divBdr>
                        <w:top w:val="none" w:sz="0" w:space="0" w:color="auto"/>
                        <w:left w:val="none" w:sz="0" w:space="0" w:color="auto"/>
                        <w:bottom w:val="none" w:sz="0" w:space="0" w:color="auto"/>
                        <w:right w:val="none" w:sz="0" w:space="0" w:color="auto"/>
                      </w:divBdr>
                      <w:divsChild>
                        <w:div w:id="3023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9781050">
      <w:bodyDiv w:val="1"/>
      <w:marLeft w:val="0"/>
      <w:marRight w:val="0"/>
      <w:marTop w:val="0"/>
      <w:marBottom w:val="0"/>
      <w:divBdr>
        <w:top w:val="none" w:sz="0" w:space="0" w:color="auto"/>
        <w:left w:val="none" w:sz="0" w:space="0" w:color="auto"/>
        <w:bottom w:val="none" w:sz="0" w:space="0" w:color="auto"/>
        <w:right w:val="none" w:sz="0" w:space="0" w:color="auto"/>
      </w:divBdr>
    </w:div>
    <w:div w:id="451241768">
      <w:bodyDiv w:val="1"/>
      <w:marLeft w:val="0"/>
      <w:marRight w:val="0"/>
      <w:marTop w:val="0"/>
      <w:marBottom w:val="0"/>
      <w:divBdr>
        <w:top w:val="none" w:sz="0" w:space="0" w:color="auto"/>
        <w:left w:val="none" w:sz="0" w:space="0" w:color="auto"/>
        <w:bottom w:val="none" w:sz="0" w:space="0" w:color="auto"/>
        <w:right w:val="none" w:sz="0" w:space="0" w:color="auto"/>
      </w:divBdr>
    </w:div>
    <w:div w:id="489637408">
      <w:bodyDiv w:val="1"/>
      <w:marLeft w:val="0"/>
      <w:marRight w:val="0"/>
      <w:marTop w:val="0"/>
      <w:marBottom w:val="0"/>
      <w:divBdr>
        <w:top w:val="none" w:sz="0" w:space="0" w:color="auto"/>
        <w:left w:val="none" w:sz="0" w:space="0" w:color="auto"/>
        <w:bottom w:val="none" w:sz="0" w:space="0" w:color="auto"/>
        <w:right w:val="none" w:sz="0" w:space="0" w:color="auto"/>
      </w:divBdr>
    </w:div>
    <w:div w:id="513618157">
      <w:bodyDiv w:val="1"/>
      <w:marLeft w:val="0"/>
      <w:marRight w:val="0"/>
      <w:marTop w:val="0"/>
      <w:marBottom w:val="0"/>
      <w:divBdr>
        <w:top w:val="none" w:sz="0" w:space="0" w:color="auto"/>
        <w:left w:val="none" w:sz="0" w:space="0" w:color="auto"/>
        <w:bottom w:val="none" w:sz="0" w:space="0" w:color="auto"/>
        <w:right w:val="none" w:sz="0" w:space="0" w:color="auto"/>
      </w:divBdr>
    </w:div>
    <w:div w:id="519314413">
      <w:bodyDiv w:val="1"/>
      <w:marLeft w:val="0"/>
      <w:marRight w:val="0"/>
      <w:marTop w:val="0"/>
      <w:marBottom w:val="0"/>
      <w:divBdr>
        <w:top w:val="none" w:sz="0" w:space="0" w:color="auto"/>
        <w:left w:val="none" w:sz="0" w:space="0" w:color="auto"/>
        <w:bottom w:val="none" w:sz="0" w:space="0" w:color="auto"/>
        <w:right w:val="none" w:sz="0" w:space="0" w:color="auto"/>
      </w:divBdr>
    </w:div>
    <w:div w:id="536966135">
      <w:bodyDiv w:val="1"/>
      <w:marLeft w:val="0"/>
      <w:marRight w:val="0"/>
      <w:marTop w:val="0"/>
      <w:marBottom w:val="0"/>
      <w:divBdr>
        <w:top w:val="none" w:sz="0" w:space="0" w:color="auto"/>
        <w:left w:val="none" w:sz="0" w:space="0" w:color="auto"/>
        <w:bottom w:val="none" w:sz="0" w:space="0" w:color="auto"/>
        <w:right w:val="none" w:sz="0" w:space="0" w:color="auto"/>
      </w:divBdr>
    </w:div>
    <w:div w:id="568223816">
      <w:bodyDiv w:val="1"/>
      <w:marLeft w:val="0"/>
      <w:marRight w:val="0"/>
      <w:marTop w:val="0"/>
      <w:marBottom w:val="0"/>
      <w:divBdr>
        <w:top w:val="none" w:sz="0" w:space="0" w:color="auto"/>
        <w:left w:val="none" w:sz="0" w:space="0" w:color="auto"/>
        <w:bottom w:val="none" w:sz="0" w:space="0" w:color="auto"/>
        <w:right w:val="none" w:sz="0" w:space="0" w:color="auto"/>
      </w:divBdr>
    </w:div>
    <w:div w:id="571085029">
      <w:bodyDiv w:val="1"/>
      <w:marLeft w:val="0"/>
      <w:marRight w:val="0"/>
      <w:marTop w:val="0"/>
      <w:marBottom w:val="0"/>
      <w:divBdr>
        <w:top w:val="none" w:sz="0" w:space="0" w:color="auto"/>
        <w:left w:val="none" w:sz="0" w:space="0" w:color="auto"/>
        <w:bottom w:val="none" w:sz="0" w:space="0" w:color="auto"/>
        <w:right w:val="none" w:sz="0" w:space="0" w:color="auto"/>
      </w:divBdr>
    </w:div>
    <w:div w:id="575747915">
      <w:bodyDiv w:val="1"/>
      <w:marLeft w:val="0"/>
      <w:marRight w:val="0"/>
      <w:marTop w:val="0"/>
      <w:marBottom w:val="0"/>
      <w:divBdr>
        <w:top w:val="none" w:sz="0" w:space="0" w:color="auto"/>
        <w:left w:val="none" w:sz="0" w:space="0" w:color="auto"/>
        <w:bottom w:val="none" w:sz="0" w:space="0" w:color="auto"/>
        <w:right w:val="none" w:sz="0" w:space="0" w:color="auto"/>
      </w:divBdr>
    </w:div>
    <w:div w:id="584189170">
      <w:bodyDiv w:val="1"/>
      <w:marLeft w:val="0"/>
      <w:marRight w:val="0"/>
      <w:marTop w:val="0"/>
      <w:marBottom w:val="0"/>
      <w:divBdr>
        <w:top w:val="none" w:sz="0" w:space="0" w:color="auto"/>
        <w:left w:val="none" w:sz="0" w:space="0" w:color="auto"/>
        <w:bottom w:val="none" w:sz="0" w:space="0" w:color="auto"/>
        <w:right w:val="none" w:sz="0" w:space="0" w:color="auto"/>
      </w:divBdr>
    </w:div>
    <w:div w:id="622927357">
      <w:bodyDiv w:val="1"/>
      <w:marLeft w:val="0"/>
      <w:marRight w:val="0"/>
      <w:marTop w:val="0"/>
      <w:marBottom w:val="0"/>
      <w:divBdr>
        <w:top w:val="none" w:sz="0" w:space="0" w:color="auto"/>
        <w:left w:val="none" w:sz="0" w:space="0" w:color="auto"/>
        <w:bottom w:val="none" w:sz="0" w:space="0" w:color="auto"/>
        <w:right w:val="none" w:sz="0" w:space="0" w:color="auto"/>
      </w:divBdr>
    </w:div>
    <w:div w:id="639112838">
      <w:bodyDiv w:val="1"/>
      <w:marLeft w:val="0"/>
      <w:marRight w:val="0"/>
      <w:marTop w:val="0"/>
      <w:marBottom w:val="0"/>
      <w:divBdr>
        <w:top w:val="none" w:sz="0" w:space="0" w:color="auto"/>
        <w:left w:val="none" w:sz="0" w:space="0" w:color="auto"/>
        <w:bottom w:val="none" w:sz="0" w:space="0" w:color="auto"/>
        <w:right w:val="none" w:sz="0" w:space="0" w:color="auto"/>
      </w:divBdr>
    </w:div>
    <w:div w:id="662510205">
      <w:bodyDiv w:val="1"/>
      <w:marLeft w:val="0"/>
      <w:marRight w:val="0"/>
      <w:marTop w:val="0"/>
      <w:marBottom w:val="0"/>
      <w:divBdr>
        <w:top w:val="none" w:sz="0" w:space="0" w:color="auto"/>
        <w:left w:val="none" w:sz="0" w:space="0" w:color="auto"/>
        <w:bottom w:val="none" w:sz="0" w:space="0" w:color="auto"/>
        <w:right w:val="none" w:sz="0" w:space="0" w:color="auto"/>
      </w:divBdr>
    </w:div>
    <w:div w:id="675963229">
      <w:bodyDiv w:val="1"/>
      <w:marLeft w:val="0"/>
      <w:marRight w:val="0"/>
      <w:marTop w:val="0"/>
      <w:marBottom w:val="0"/>
      <w:divBdr>
        <w:top w:val="none" w:sz="0" w:space="0" w:color="auto"/>
        <w:left w:val="none" w:sz="0" w:space="0" w:color="auto"/>
        <w:bottom w:val="none" w:sz="0" w:space="0" w:color="auto"/>
        <w:right w:val="none" w:sz="0" w:space="0" w:color="auto"/>
      </w:divBdr>
    </w:div>
    <w:div w:id="714233623">
      <w:bodyDiv w:val="1"/>
      <w:marLeft w:val="0"/>
      <w:marRight w:val="0"/>
      <w:marTop w:val="0"/>
      <w:marBottom w:val="0"/>
      <w:divBdr>
        <w:top w:val="none" w:sz="0" w:space="0" w:color="auto"/>
        <w:left w:val="none" w:sz="0" w:space="0" w:color="auto"/>
        <w:bottom w:val="none" w:sz="0" w:space="0" w:color="auto"/>
        <w:right w:val="none" w:sz="0" w:space="0" w:color="auto"/>
      </w:divBdr>
      <w:divsChild>
        <w:div w:id="1864050515">
          <w:marLeft w:val="0"/>
          <w:marRight w:val="0"/>
          <w:marTop w:val="0"/>
          <w:marBottom w:val="0"/>
          <w:divBdr>
            <w:top w:val="none" w:sz="0" w:space="0" w:color="auto"/>
            <w:left w:val="none" w:sz="0" w:space="0" w:color="auto"/>
            <w:bottom w:val="none" w:sz="0" w:space="0" w:color="auto"/>
            <w:right w:val="none" w:sz="0" w:space="0" w:color="auto"/>
          </w:divBdr>
          <w:divsChild>
            <w:div w:id="974530445">
              <w:marLeft w:val="0"/>
              <w:marRight w:val="0"/>
              <w:marTop w:val="0"/>
              <w:marBottom w:val="0"/>
              <w:divBdr>
                <w:top w:val="none" w:sz="0" w:space="0" w:color="auto"/>
                <w:left w:val="none" w:sz="0" w:space="0" w:color="auto"/>
                <w:bottom w:val="none" w:sz="0" w:space="0" w:color="auto"/>
                <w:right w:val="none" w:sz="0" w:space="0" w:color="auto"/>
              </w:divBdr>
              <w:divsChild>
                <w:div w:id="1963150386">
                  <w:marLeft w:val="0"/>
                  <w:marRight w:val="0"/>
                  <w:marTop w:val="0"/>
                  <w:marBottom w:val="0"/>
                  <w:divBdr>
                    <w:top w:val="none" w:sz="0" w:space="0" w:color="auto"/>
                    <w:left w:val="none" w:sz="0" w:space="0" w:color="auto"/>
                    <w:bottom w:val="none" w:sz="0" w:space="0" w:color="auto"/>
                    <w:right w:val="none" w:sz="0" w:space="0" w:color="auto"/>
                  </w:divBdr>
                  <w:divsChild>
                    <w:div w:id="1888762313">
                      <w:marLeft w:val="0"/>
                      <w:marRight w:val="0"/>
                      <w:marTop w:val="0"/>
                      <w:marBottom w:val="0"/>
                      <w:divBdr>
                        <w:top w:val="none" w:sz="0" w:space="0" w:color="auto"/>
                        <w:left w:val="none" w:sz="0" w:space="0" w:color="auto"/>
                        <w:bottom w:val="none" w:sz="0" w:space="0" w:color="auto"/>
                        <w:right w:val="none" w:sz="0" w:space="0" w:color="auto"/>
                      </w:divBdr>
                      <w:divsChild>
                        <w:div w:id="1957979944">
                          <w:marLeft w:val="0"/>
                          <w:marRight w:val="0"/>
                          <w:marTop w:val="0"/>
                          <w:marBottom w:val="0"/>
                          <w:divBdr>
                            <w:top w:val="none" w:sz="0" w:space="0" w:color="auto"/>
                            <w:left w:val="none" w:sz="0" w:space="0" w:color="auto"/>
                            <w:bottom w:val="none" w:sz="0" w:space="0" w:color="auto"/>
                            <w:right w:val="none" w:sz="0" w:space="0" w:color="auto"/>
                          </w:divBdr>
                          <w:divsChild>
                            <w:div w:id="881599457">
                              <w:marLeft w:val="0"/>
                              <w:marRight w:val="0"/>
                              <w:marTop w:val="0"/>
                              <w:marBottom w:val="0"/>
                              <w:divBdr>
                                <w:top w:val="none" w:sz="0" w:space="0" w:color="auto"/>
                                <w:left w:val="none" w:sz="0" w:space="0" w:color="auto"/>
                                <w:bottom w:val="none" w:sz="0" w:space="0" w:color="auto"/>
                                <w:right w:val="none" w:sz="0" w:space="0" w:color="auto"/>
                              </w:divBdr>
                              <w:divsChild>
                                <w:div w:id="1575890451">
                                  <w:marLeft w:val="0"/>
                                  <w:marRight w:val="0"/>
                                  <w:marTop w:val="0"/>
                                  <w:marBottom w:val="0"/>
                                  <w:divBdr>
                                    <w:top w:val="none" w:sz="0" w:space="0" w:color="auto"/>
                                    <w:left w:val="none" w:sz="0" w:space="0" w:color="auto"/>
                                    <w:bottom w:val="none" w:sz="0" w:space="0" w:color="auto"/>
                                    <w:right w:val="none" w:sz="0" w:space="0" w:color="auto"/>
                                  </w:divBdr>
                                  <w:divsChild>
                                    <w:div w:id="163829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71546">
                          <w:marLeft w:val="0"/>
                          <w:marRight w:val="0"/>
                          <w:marTop w:val="0"/>
                          <w:marBottom w:val="0"/>
                          <w:divBdr>
                            <w:top w:val="none" w:sz="0" w:space="0" w:color="auto"/>
                            <w:left w:val="none" w:sz="0" w:space="0" w:color="auto"/>
                            <w:bottom w:val="none" w:sz="0" w:space="0" w:color="auto"/>
                            <w:right w:val="none" w:sz="0" w:space="0" w:color="auto"/>
                          </w:divBdr>
                          <w:divsChild>
                            <w:div w:id="1599823792">
                              <w:marLeft w:val="0"/>
                              <w:marRight w:val="0"/>
                              <w:marTop w:val="0"/>
                              <w:marBottom w:val="0"/>
                              <w:divBdr>
                                <w:top w:val="none" w:sz="0" w:space="0" w:color="auto"/>
                                <w:left w:val="none" w:sz="0" w:space="0" w:color="auto"/>
                                <w:bottom w:val="none" w:sz="0" w:space="0" w:color="auto"/>
                                <w:right w:val="none" w:sz="0" w:space="0" w:color="auto"/>
                              </w:divBdr>
                              <w:divsChild>
                                <w:div w:id="30811635">
                                  <w:marLeft w:val="0"/>
                                  <w:marRight w:val="0"/>
                                  <w:marTop w:val="0"/>
                                  <w:marBottom w:val="0"/>
                                  <w:divBdr>
                                    <w:top w:val="none" w:sz="0" w:space="0" w:color="auto"/>
                                    <w:left w:val="none" w:sz="0" w:space="0" w:color="auto"/>
                                    <w:bottom w:val="none" w:sz="0" w:space="0" w:color="auto"/>
                                    <w:right w:val="none" w:sz="0" w:space="0" w:color="auto"/>
                                  </w:divBdr>
                                  <w:divsChild>
                                    <w:div w:id="210129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0253905">
      <w:bodyDiv w:val="1"/>
      <w:marLeft w:val="0"/>
      <w:marRight w:val="0"/>
      <w:marTop w:val="0"/>
      <w:marBottom w:val="0"/>
      <w:divBdr>
        <w:top w:val="none" w:sz="0" w:space="0" w:color="auto"/>
        <w:left w:val="none" w:sz="0" w:space="0" w:color="auto"/>
        <w:bottom w:val="none" w:sz="0" w:space="0" w:color="auto"/>
        <w:right w:val="none" w:sz="0" w:space="0" w:color="auto"/>
      </w:divBdr>
      <w:divsChild>
        <w:div w:id="1615669642">
          <w:marLeft w:val="-420"/>
          <w:marRight w:val="0"/>
          <w:marTop w:val="0"/>
          <w:marBottom w:val="0"/>
          <w:divBdr>
            <w:top w:val="none" w:sz="0" w:space="0" w:color="auto"/>
            <w:left w:val="none" w:sz="0" w:space="0" w:color="auto"/>
            <w:bottom w:val="none" w:sz="0" w:space="0" w:color="auto"/>
            <w:right w:val="none" w:sz="0" w:space="0" w:color="auto"/>
          </w:divBdr>
          <w:divsChild>
            <w:div w:id="1172991717">
              <w:marLeft w:val="0"/>
              <w:marRight w:val="0"/>
              <w:marTop w:val="0"/>
              <w:marBottom w:val="0"/>
              <w:divBdr>
                <w:top w:val="none" w:sz="0" w:space="0" w:color="auto"/>
                <w:left w:val="none" w:sz="0" w:space="0" w:color="auto"/>
                <w:bottom w:val="none" w:sz="0" w:space="0" w:color="auto"/>
                <w:right w:val="none" w:sz="0" w:space="0" w:color="auto"/>
              </w:divBdr>
              <w:divsChild>
                <w:div w:id="668338669">
                  <w:marLeft w:val="0"/>
                  <w:marRight w:val="0"/>
                  <w:marTop w:val="0"/>
                  <w:marBottom w:val="0"/>
                  <w:divBdr>
                    <w:top w:val="none" w:sz="0" w:space="0" w:color="auto"/>
                    <w:left w:val="none" w:sz="0" w:space="0" w:color="auto"/>
                    <w:bottom w:val="none" w:sz="0" w:space="0" w:color="auto"/>
                    <w:right w:val="none" w:sz="0" w:space="0" w:color="auto"/>
                  </w:divBdr>
                  <w:divsChild>
                    <w:div w:id="385564094">
                      <w:marLeft w:val="0"/>
                      <w:marRight w:val="0"/>
                      <w:marTop w:val="0"/>
                      <w:marBottom w:val="0"/>
                      <w:divBdr>
                        <w:top w:val="none" w:sz="0" w:space="0" w:color="auto"/>
                        <w:left w:val="none" w:sz="0" w:space="0" w:color="auto"/>
                        <w:bottom w:val="none" w:sz="0" w:space="0" w:color="auto"/>
                        <w:right w:val="none" w:sz="0" w:space="0" w:color="auto"/>
                      </w:divBdr>
                    </w:div>
                    <w:div w:id="75610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805017">
      <w:bodyDiv w:val="1"/>
      <w:marLeft w:val="0"/>
      <w:marRight w:val="0"/>
      <w:marTop w:val="0"/>
      <w:marBottom w:val="0"/>
      <w:divBdr>
        <w:top w:val="none" w:sz="0" w:space="0" w:color="auto"/>
        <w:left w:val="none" w:sz="0" w:space="0" w:color="auto"/>
        <w:bottom w:val="none" w:sz="0" w:space="0" w:color="auto"/>
        <w:right w:val="none" w:sz="0" w:space="0" w:color="auto"/>
      </w:divBdr>
    </w:div>
    <w:div w:id="797719743">
      <w:bodyDiv w:val="1"/>
      <w:marLeft w:val="0"/>
      <w:marRight w:val="0"/>
      <w:marTop w:val="0"/>
      <w:marBottom w:val="0"/>
      <w:divBdr>
        <w:top w:val="none" w:sz="0" w:space="0" w:color="auto"/>
        <w:left w:val="none" w:sz="0" w:space="0" w:color="auto"/>
        <w:bottom w:val="none" w:sz="0" w:space="0" w:color="auto"/>
        <w:right w:val="none" w:sz="0" w:space="0" w:color="auto"/>
      </w:divBdr>
    </w:div>
    <w:div w:id="798887753">
      <w:bodyDiv w:val="1"/>
      <w:marLeft w:val="0"/>
      <w:marRight w:val="0"/>
      <w:marTop w:val="0"/>
      <w:marBottom w:val="0"/>
      <w:divBdr>
        <w:top w:val="none" w:sz="0" w:space="0" w:color="auto"/>
        <w:left w:val="none" w:sz="0" w:space="0" w:color="auto"/>
        <w:bottom w:val="none" w:sz="0" w:space="0" w:color="auto"/>
        <w:right w:val="none" w:sz="0" w:space="0" w:color="auto"/>
      </w:divBdr>
    </w:div>
    <w:div w:id="815027952">
      <w:bodyDiv w:val="1"/>
      <w:marLeft w:val="0"/>
      <w:marRight w:val="0"/>
      <w:marTop w:val="0"/>
      <w:marBottom w:val="0"/>
      <w:divBdr>
        <w:top w:val="none" w:sz="0" w:space="0" w:color="auto"/>
        <w:left w:val="none" w:sz="0" w:space="0" w:color="auto"/>
        <w:bottom w:val="none" w:sz="0" w:space="0" w:color="auto"/>
        <w:right w:val="none" w:sz="0" w:space="0" w:color="auto"/>
      </w:divBdr>
      <w:divsChild>
        <w:div w:id="1571038795">
          <w:marLeft w:val="0"/>
          <w:marRight w:val="0"/>
          <w:marTop w:val="0"/>
          <w:marBottom w:val="0"/>
          <w:divBdr>
            <w:top w:val="none" w:sz="0" w:space="0" w:color="auto"/>
            <w:left w:val="none" w:sz="0" w:space="0" w:color="auto"/>
            <w:bottom w:val="none" w:sz="0" w:space="0" w:color="auto"/>
            <w:right w:val="none" w:sz="0" w:space="0" w:color="auto"/>
          </w:divBdr>
          <w:divsChild>
            <w:div w:id="1821923540">
              <w:marLeft w:val="0"/>
              <w:marRight w:val="0"/>
              <w:marTop w:val="0"/>
              <w:marBottom w:val="0"/>
              <w:divBdr>
                <w:top w:val="none" w:sz="0" w:space="0" w:color="auto"/>
                <w:left w:val="none" w:sz="0" w:space="0" w:color="auto"/>
                <w:bottom w:val="none" w:sz="0" w:space="0" w:color="auto"/>
                <w:right w:val="none" w:sz="0" w:space="0" w:color="auto"/>
              </w:divBdr>
              <w:divsChild>
                <w:div w:id="1303005966">
                  <w:marLeft w:val="0"/>
                  <w:marRight w:val="0"/>
                  <w:marTop w:val="0"/>
                  <w:marBottom w:val="0"/>
                  <w:divBdr>
                    <w:top w:val="none" w:sz="0" w:space="0" w:color="auto"/>
                    <w:left w:val="none" w:sz="0" w:space="0" w:color="auto"/>
                    <w:bottom w:val="none" w:sz="0" w:space="0" w:color="auto"/>
                    <w:right w:val="none" w:sz="0" w:space="0" w:color="auto"/>
                  </w:divBdr>
                  <w:divsChild>
                    <w:div w:id="1259830453">
                      <w:marLeft w:val="0"/>
                      <w:marRight w:val="0"/>
                      <w:marTop w:val="0"/>
                      <w:marBottom w:val="0"/>
                      <w:divBdr>
                        <w:top w:val="none" w:sz="0" w:space="0" w:color="auto"/>
                        <w:left w:val="none" w:sz="0" w:space="0" w:color="auto"/>
                        <w:bottom w:val="none" w:sz="0" w:space="0" w:color="auto"/>
                        <w:right w:val="none" w:sz="0" w:space="0" w:color="auto"/>
                      </w:divBdr>
                      <w:divsChild>
                        <w:div w:id="578904293">
                          <w:marLeft w:val="0"/>
                          <w:marRight w:val="0"/>
                          <w:marTop w:val="0"/>
                          <w:marBottom w:val="0"/>
                          <w:divBdr>
                            <w:top w:val="none" w:sz="0" w:space="0" w:color="auto"/>
                            <w:left w:val="none" w:sz="0" w:space="0" w:color="auto"/>
                            <w:bottom w:val="none" w:sz="0" w:space="0" w:color="auto"/>
                            <w:right w:val="none" w:sz="0" w:space="0" w:color="auto"/>
                          </w:divBdr>
                          <w:divsChild>
                            <w:div w:id="1853107474">
                              <w:marLeft w:val="0"/>
                              <w:marRight w:val="0"/>
                              <w:marTop w:val="0"/>
                              <w:marBottom w:val="0"/>
                              <w:divBdr>
                                <w:top w:val="none" w:sz="0" w:space="0" w:color="auto"/>
                                <w:left w:val="none" w:sz="0" w:space="0" w:color="auto"/>
                                <w:bottom w:val="none" w:sz="0" w:space="0" w:color="auto"/>
                                <w:right w:val="none" w:sz="0" w:space="0" w:color="auto"/>
                              </w:divBdr>
                              <w:divsChild>
                                <w:div w:id="687021574">
                                  <w:marLeft w:val="0"/>
                                  <w:marRight w:val="0"/>
                                  <w:marTop w:val="0"/>
                                  <w:marBottom w:val="0"/>
                                  <w:divBdr>
                                    <w:top w:val="none" w:sz="0" w:space="0" w:color="auto"/>
                                    <w:left w:val="none" w:sz="0" w:space="0" w:color="auto"/>
                                    <w:bottom w:val="none" w:sz="0" w:space="0" w:color="auto"/>
                                    <w:right w:val="none" w:sz="0" w:space="0" w:color="auto"/>
                                  </w:divBdr>
                                  <w:divsChild>
                                    <w:div w:id="211859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005469">
                      <w:marLeft w:val="0"/>
                      <w:marRight w:val="0"/>
                      <w:marTop w:val="0"/>
                      <w:marBottom w:val="0"/>
                      <w:divBdr>
                        <w:top w:val="none" w:sz="0" w:space="0" w:color="auto"/>
                        <w:left w:val="none" w:sz="0" w:space="0" w:color="auto"/>
                        <w:bottom w:val="none" w:sz="0" w:space="0" w:color="auto"/>
                        <w:right w:val="none" w:sz="0" w:space="0" w:color="auto"/>
                      </w:divBdr>
                      <w:divsChild>
                        <w:div w:id="141848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6453747">
      <w:bodyDiv w:val="1"/>
      <w:marLeft w:val="0"/>
      <w:marRight w:val="0"/>
      <w:marTop w:val="0"/>
      <w:marBottom w:val="0"/>
      <w:divBdr>
        <w:top w:val="none" w:sz="0" w:space="0" w:color="auto"/>
        <w:left w:val="none" w:sz="0" w:space="0" w:color="auto"/>
        <w:bottom w:val="none" w:sz="0" w:space="0" w:color="auto"/>
        <w:right w:val="none" w:sz="0" w:space="0" w:color="auto"/>
      </w:divBdr>
    </w:div>
    <w:div w:id="821970374">
      <w:bodyDiv w:val="1"/>
      <w:marLeft w:val="0"/>
      <w:marRight w:val="0"/>
      <w:marTop w:val="0"/>
      <w:marBottom w:val="0"/>
      <w:divBdr>
        <w:top w:val="none" w:sz="0" w:space="0" w:color="auto"/>
        <w:left w:val="none" w:sz="0" w:space="0" w:color="auto"/>
        <w:bottom w:val="none" w:sz="0" w:space="0" w:color="auto"/>
        <w:right w:val="none" w:sz="0" w:space="0" w:color="auto"/>
      </w:divBdr>
      <w:divsChild>
        <w:div w:id="555703183">
          <w:marLeft w:val="0"/>
          <w:marRight w:val="0"/>
          <w:marTop w:val="0"/>
          <w:marBottom w:val="0"/>
          <w:divBdr>
            <w:top w:val="none" w:sz="0" w:space="0" w:color="auto"/>
            <w:left w:val="none" w:sz="0" w:space="0" w:color="auto"/>
            <w:bottom w:val="none" w:sz="0" w:space="0" w:color="auto"/>
            <w:right w:val="none" w:sz="0" w:space="0" w:color="auto"/>
          </w:divBdr>
          <w:divsChild>
            <w:div w:id="1405373626">
              <w:marLeft w:val="0"/>
              <w:marRight w:val="0"/>
              <w:marTop w:val="0"/>
              <w:marBottom w:val="0"/>
              <w:divBdr>
                <w:top w:val="none" w:sz="0" w:space="0" w:color="auto"/>
                <w:left w:val="none" w:sz="0" w:space="0" w:color="auto"/>
                <w:bottom w:val="none" w:sz="0" w:space="0" w:color="auto"/>
                <w:right w:val="none" w:sz="0" w:space="0" w:color="auto"/>
              </w:divBdr>
              <w:divsChild>
                <w:div w:id="1258174326">
                  <w:marLeft w:val="0"/>
                  <w:marRight w:val="0"/>
                  <w:marTop w:val="0"/>
                  <w:marBottom w:val="0"/>
                  <w:divBdr>
                    <w:top w:val="none" w:sz="0" w:space="0" w:color="auto"/>
                    <w:left w:val="none" w:sz="0" w:space="0" w:color="auto"/>
                    <w:bottom w:val="none" w:sz="0" w:space="0" w:color="auto"/>
                    <w:right w:val="none" w:sz="0" w:space="0" w:color="auto"/>
                  </w:divBdr>
                  <w:divsChild>
                    <w:div w:id="412090841">
                      <w:marLeft w:val="0"/>
                      <w:marRight w:val="0"/>
                      <w:marTop w:val="0"/>
                      <w:marBottom w:val="0"/>
                      <w:divBdr>
                        <w:top w:val="none" w:sz="0" w:space="0" w:color="auto"/>
                        <w:left w:val="none" w:sz="0" w:space="0" w:color="auto"/>
                        <w:bottom w:val="none" w:sz="0" w:space="0" w:color="auto"/>
                        <w:right w:val="none" w:sz="0" w:space="0" w:color="auto"/>
                      </w:divBdr>
                      <w:divsChild>
                        <w:div w:id="697509614">
                          <w:marLeft w:val="0"/>
                          <w:marRight w:val="0"/>
                          <w:marTop w:val="0"/>
                          <w:marBottom w:val="0"/>
                          <w:divBdr>
                            <w:top w:val="none" w:sz="0" w:space="0" w:color="auto"/>
                            <w:left w:val="none" w:sz="0" w:space="0" w:color="auto"/>
                            <w:bottom w:val="none" w:sz="0" w:space="0" w:color="auto"/>
                            <w:right w:val="none" w:sz="0" w:space="0" w:color="auto"/>
                          </w:divBdr>
                          <w:divsChild>
                            <w:div w:id="1626735917">
                              <w:marLeft w:val="0"/>
                              <w:marRight w:val="0"/>
                              <w:marTop w:val="0"/>
                              <w:marBottom w:val="0"/>
                              <w:divBdr>
                                <w:top w:val="none" w:sz="0" w:space="0" w:color="auto"/>
                                <w:left w:val="none" w:sz="0" w:space="0" w:color="auto"/>
                                <w:bottom w:val="none" w:sz="0" w:space="0" w:color="auto"/>
                                <w:right w:val="none" w:sz="0" w:space="0" w:color="auto"/>
                              </w:divBdr>
                              <w:divsChild>
                                <w:div w:id="1366172163">
                                  <w:marLeft w:val="0"/>
                                  <w:marRight w:val="0"/>
                                  <w:marTop w:val="0"/>
                                  <w:marBottom w:val="0"/>
                                  <w:divBdr>
                                    <w:top w:val="none" w:sz="0" w:space="0" w:color="auto"/>
                                    <w:left w:val="none" w:sz="0" w:space="0" w:color="auto"/>
                                    <w:bottom w:val="none" w:sz="0" w:space="0" w:color="auto"/>
                                    <w:right w:val="none" w:sz="0" w:space="0" w:color="auto"/>
                                  </w:divBdr>
                                  <w:divsChild>
                                    <w:div w:id="5551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7125823">
                      <w:marLeft w:val="0"/>
                      <w:marRight w:val="0"/>
                      <w:marTop w:val="0"/>
                      <w:marBottom w:val="0"/>
                      <w:divBdr>
                        <w:top w:val="none" w:sz="0" w:space="0" w:color="auto"/>
                        <w:left w:val="none" w:sz="0" w:space="0" w:color="auto"/>
                        <w:bottom w:val="none" w:sz="0" w:space="0" w:color="auto"/>
                        <w:right w:val="none" w:sz="0" w:space="0" w:color="auto"/>
                      </w:divBdr>
                      <w:divsChild>
                        <w:div w:id="158637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0218975">
      <w:bodyDiv w:val="1"/>
      <w:marLeft w:val="0"/>
      <w:marRight w:val="0"/>
      <w:marTop w:val="0"/>
      <w:marBottom w:val="0"/>
      <w:divBdr>
        <w:top w:val="none" w:sz="0" w:space="0" w:color="auto"/>
        <w:left w:val="none" w:sz="0" w:space="0" w:color="auto"/>
        <w:bottom w:val="none" w:sz="0" w:space="0" w:color="auto"/>
        <w:right w:val="none" w:sz="0" w:space="0" w:color="auto"/>
      </w:divBdr>
      <w:divsChild>
        <w:div w:id="1753623183">
          <w:marLeft w:val="0"/>
          <w:marRight w:val="0"/>
          <w:marTop w:val="0"/>
          <w:marBottom w:val="0"/>
          <w:divBdr>
            <w:top w:val="none" w:sz="0" w:space="0" w:color="auto"/>
            <w:left w:val="none" w:sz="0" w:space="0" w:color="auto"/>
            <w:bottom w:val="none" w:sz="0" w:space="0" w:color="auto"/>
            <w:right w:val="none" w:sz="0" w:space="0" w:color="auto"/>
          </w:divBdr>
          <w:divsChild>
            <w:div w:id="1564482788">
              <w:marLeft w:val="0"/>
              <w:marRight w:val="0"/>
              <w:marTop w:val="0"/>
              <w:marBottom w:val="0"/>
              <w:divBdr>
                <w:top w:val="none" w:sz="0" w:space="0" w:color="auto"/>
                <w:left w:val="none" w:sz="0" w:space="0" w:color="auto"/>
                <w:bottom w:val="none" w:sz="0" w:space="0" w:color="auto"/>
                <w:right w:val="none" w:sz="0" w:space="0" w:color="auto"/>
              </w:divBdr>
              <w:divsChild>
                <w:div w:id="1829132190">
                  <w:marLeft w:val="0"/>
                  <w:marRight w:val="0"/>
                  <w:marTop w:val="0"/>
                  <w:marBottom w:val="0"/>
                  <w:divBdr>
                    <w:top w:val="none" w:sz="0" w:space="0" w:color="auto"/>
                    <w:left w:val="none" w:sz="0" w:space="0" w:color="auto"/>
                    <w:bottom w:val="none" w:sz="0" w:space="0" w:color="auto"/>
                    <w:right w:val="none" w:sz="0" w:space="0" w:color="auto"/>
                  </w:divBdr>
                  <w:divsChild>
                    <w:div w:id="101608636">
                      <w:marLeft w:val="0"/>
                      <w:marRight w:val="0"/>
                      <w:marTop w:val="0"/>
                      <w:marBottom w:val="0"/>
                      <w:divBdr>
                        <w:top w:val="none" w:sz="0" w:space="0" w:color="auto"/>
                        <w:left w:val="none" w:sz="0" w:space="0" w:color="auto"/>
                        <w:bottom w:val="none" w:sz="0" w:space="0" w:color="auto"/>
                        <w:right w:val="none" w:sz="0" w:space="0" w:color="auto"/>
                      </w:divBdr>
                      <w:divsChild>
                        <w:div w:id="1455127174">
                          <w:marLeft w:val="0"/>
                          <w:marRight w:val="0"/>
                          <w:marTop w:val="0"/>
                          <w:marBottom w:val="0"/>
                          <w:divBdr>
                            <w:top w:val="none" w:sz="0" w:space="0" w:color="auto"/>
                            <w:left w:val="none" w:sz="0" w:space="0" w:color="auto"/>
                            <w:bottom w:val="none" w:sz="0" w:space="0" w:color="auto"/>
                            <w:right w:val="none" w:sz="0" w:space="0" w:color="auto"/>
                          </w:divBdr>
                          <w:divsChild>
                            <w:div w:id="742726477">
                              <w:marLeft w:val="0"/>
                              <w:marRight w:val="0"/>
                              <w:marTop w:val="0"/>
                              <w:marBottom w:val="0"/>
                              <w:divBdr>
                                <w:top w:val="none" w:sz="0" w:space="0" w:color="auto"/>
                                <w:left w:val="none" w:sz="0" w:space="0" w:color="auto"/>
                                <w:bottom w:val="none" w:sz="0" w:space="0" w:color="auto"/>
                                <w:right w:val="none" w:sz="0" w:space="0" w:color="auto"/>
                              </w:divBdr>
                              <w:divsChild>
                                <w:div w:id="1230918409">
                                  <w:marLeft w:val="0"/>
                                  <w:marRight w:val="0"/>
                                  <w:marTop w:val="0"/>
                                  <w:marBottom w:val="0"/>
                                  <w:divBdr>
                                    <w:top w:val="none" w:sz="0" w:space="0" w:color="auto"/>
                                    <w:left w:val="none" w:sz="0" w:space="0" w:color="auto"/>
                                    <w:bottom w:val="none" w:sz="0" w:space="0" w:color="auto"/>
                                    <w:right w:val="none" w:sz="0" w:space="0" w:color="auto"/>
                                  </w:divBdr>
                                  <w:divsChild>
                                    <w:div w:id="14405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1732841">
                      <w:marLeft w:val="0"/>
                      <w:marRight w:val="0"/>
                      <w:marTop w:val="0"/>
                      <w:marBottom w:val="0"/>
                      <w:divBdr>
                        <w:top w:val="none" w:sz="0" w:space="0" w:color="auto"/>
                        <w:left w:val="none" w:sz="0" w:space="0" w:color="auto"/>
                        <w:bottom w:val="none" w:sz="0" w:space="0" w:color="auto"/>
                        <w:right w:val="none" w:sz="0" w:space="0" w:color="auto"/>
                      </w:divBdr>
                      <w:divsChild>
                        <w:div w:id="512764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2692684">
      <w:bodyDiv w:val="1"/>
      <w:marLeft w:val="0"/>
      <w:marRight w:val="0"/>
      <w:marTop w:val="0"/>
      <w:marBottom w:val="0"/>
      <w:divBdr>
        <w:top w:val="none" w:sz="0" w:space="0" w:color="auto"/>
        <w:left w:val="none" w:sz="0" w:space="0" w:color="auto"/>
        <w:bottom w:val="none" w:sz="0" w:space="0" w:color="auto"/>
        <w:right w:val="none" w:sz="0" w:space="0" w:color="auto"/>
      </w:divBdr>
    </w:div>
    <w:div w:id="854198208">
      <w:bodyDiv w:val="1"/>
      <w:marLeft w:val="0"/>
      <w:marRight w:val="0"/>
      <w:marTop w:val="0"/>
      <w:marBottom w:val="0"/>
      <w:divBdr>
        <w:top w:val="none" w:sz="0" w:space="0" w:color="auto"/>
        <w:left w:val="none" w:sz="0" w:space="0" w:color="auto"/>
        <w:bottom w:val="none" w:sz="0" w:space="0" w:color="auto"/>
        <w:right w:val="none" w:sz="0" w:space="0" w:color="auto"/>
      </w:divBdr>
    </w:div>
    <w:div w:id="866526104">
      <w:bodyDiv w:val="1"/>
      <w:marLeft w:val="0"/>
      <w:marRight w:val="0"/>
      <w:marTop w:val="0"/>
      <w:marBottom w:val="0"/>
      <w:divBdr>
        <w:top w:val="none" w:sz="0" w:space="0" w:color="auto"/>
        <w:left w:val="none" w:sz="0" w:space="0" w:color="auto"/>
        <w:bottom w:val="none" w:sz="0" w:space="0" w:color="auto"/>
        <w:right w:val="none" w:sz="0" w:space="0" w:color="auto"/>
      </w:divBdr>
    </w:div>
    <w:div w:id="869026050">
      <w:bodyDiv w:val="1"/>
      <w:marLeft w:val="0"/>
      <w:marRight w:val="0"/>
      <w:marTop w:val="0"/>
      <w:marBottom w:val="0"/>
      <w:divBdr>
        <w:top w:val="none" w:sz="0" w:space="0" w:color="auto"/>
        <w:left w:val="none" w:sz="0" w:space="0" w:color="auto"/>
        <w:bottom w:val="none" w:sz="0" w:space="0" w:color="auto"/>
        <w:right w:val="none" w:sz="0" w:space="0" w:color="auto"/>
      </w:divBdr>
    </w:div>
    <w:div w:id="901671321">
      <w:bodyDiv w:val="1"/>
      <w:marLeft w:val="0"/>
      <w:marRight w:val="0"/>
      <w:marTop w:val="0"/>
      <w:marBottom w:val="0"/>
      <w:divBdr>
        <w:top w:val="none" w:sz="0" w:space="0" w:color="auto"/>
        <w:left w:val="none" w:sz="0" w:space="0" w:color="auto"/>
        <w:bottom w:val="none" w:sz="0" w:space="0" w:color="auto"/>
        <w:right w:val="none" w:sz="0" w:space="0" w:color="auto"/>
      </w:divBdr>
    </w:div>
    <w:div w:id="904143564">
      <w:bodyDiv w:val="1"/>
      <w:marLeft w:val="0"/>
      <w:marRight w:val="0"/>
      <w:marTop w:val="0"/>
      <w:marBottom w:val="0"/>
      <w:divBdr>
        <w:top w:val="none" w:sz="0" w:space="0" w:color="auto"/>
        <w:left w:val="none" w:sz="0" w:space="0" w:color="auto"/>
        <w:bottom w:val="none" w:sz="0" w:space="0" w:color="auto"/>
        <w:right w:val="none" w:sz="0" w:space="0" w:color="auto"/>
      </w:divBdr>
    </w:div>
    <w:div w:id="917208202">
      <w:bodyDiv w:val="1"/>
      <w:marLeft w:val="0"/>
      <w:marRight w:val="0"/>
      <w:marTop w:val="0"/>
      <w:marBottom w:val="0"/>
      <w:divBdr>
        <w:top w:val="none" w:sz="0" w:space="0" w:color="auto"/>
        <w:left w:val="none" w:sz="0" w:space="0" w:color="auto"/>
        <w:bottom w:val="none" w:sz="0" w:space="0" w:color="auto"/>
        <w:right w:val="none" w:sz="0" w:space="0" w:color="auto"/>
      </w:divBdr>
    </w:div>
    <w:div w:id="922642079">
      <w:bodyDiv w:val="1"/>
      <w:marLeft w:val="0"/>
      <w:marRight w:val="0"/>
      <w:marTop w:val="0"/>
      <w:marBottom w:val="0"/>
      <w:divBdr>
        <w:top w:val="none" w:sz="0" w:space="0" w:color="auto"/>
        <w:left w:val="none" w:sz="0" w:space="0" w:color="auto"/>
        <w:bottom w:val="none" w:sz="0" w:space="0" w:color="auto"/>
        <w:right w:val="none" w:sz="0" w:space="0" w:color="auto"/>
      </w:divBdr>
    </w:div>
    <w:div w:id="938952283">
      <w:bodyDiv w:val="1"/>
      <w:marLeft w:val="0"/>
      <w:marRight w:val="0"/>
      <w:marTop w:val="0"/>
      <w:marBottom w:val="0"/>
      <w:divBdr>
        <w:top w:val="none" w:sz="0" w:space="0" w:color="auto"/>
        <w:left w:val="none" w:sz="0" w:space="0" w:color="auto"/>
        <w:bottom w:val="none" w:sz="0" w:space="0" w:color="auto"/>
        <w:right w:val="none" w:sz="0" w:space="0" w:color="auto"/>
      </w:divBdr>
    </w:div>
    <w:div w:id="941302829">
      <w:bodyDiv w:val="1"/>
      <w:marLeft w:val="0"/>
      <w:marRight w:val="0"/>
      <w:marTop w:val="0"/>
      <w:marBottom w:val="0"/>
      <w:divBdr>
        <w:top w:val="none" w:sz="0" w:space="0" w:color="auto"/>
        <w:left w:val="none" w:sz="0" w:space="0" w:color="auto"/>
        <w:bottom w:val="none" w:sz="0" w:space="0" w:color="auto"/>
        <w:right w:val="none" w:sz="0" w:space="0" w:color="auto"/>
      </w:divBdr>
    </w:div>
    <w:div w:id="956915656">
      <w:bodyDiv w:val="1"/>
      <w:marLeft w:val="0"/>
      <w:marRight w:val="0"/>
      <w:marTop w:val="0"/>
      <w:marBottom w:val="0"/>
      <w:divBdr>
        <w:top w:val="none" w:sz="0" w:space="0" w:color="auto"/>
        <w:left w:val="none" w:sz="0" w:space="0" w:color="auto"/>
        <w:bottom w:val="none" w:sz="0" w:space="0" w:color="auto"/>
        <w:right w:val="none" w:sz="0" w:space="0" w:color="auto"/>
      </w:divBdr>
      <w:divsChild>
        <w:div w:id="94911427">
          <w:marLeft w:val="0"/>
          <w:marRight w:val="0"/>
          <w:marTop w:val="0"/>
          <w:marBottom w:val="0"/>
          <w:divBdr>
            <w:top w:val="none" w:sz="0" w:space="0" w:color="auto"/>
            <w:left w:val="none" w:sz="0" w:space="0" w:color="auto"/>
            <w:bottom w:val="none" w:sz="0" w:space="0" w:color="auto"/>
            <w:right w:val="none" w:sz="0" w:space="0" w:color="auto"/>
          </w:divBdr>
          <w:divsChild>
            <w:div w:id="1109350209">
              <w:marLeft w:val="0"/>
              <w:marRight w:val="0"/>
              <w:marTop w:val="0"/>
              <w:marBottom w:val="0"/>
              <w:divBdr>
                <w:top w:val="none" w:sz="0" w:space="0" w:color="auto"/>
                <w:left w:val="none" w:sz="0" w:space="0" w:color="auto"/>
                <w:bottom w:val="none" w:sz="0" w:space="0" w:color="auto"/>
                <w:right w:val="none" w:sz="0" w:space="0" w:color="auto"/>
              </w:divBdr>
              <w:divsChild>
                <w:div w:id="1159730920">
                  <w:marLeft w:val="0"/>
                  <w:marRight w:val="0"/>
                  <w:marTop w:val="0"/>
                  <w:marBottom w:val="0"/>
                  <w:divBdr>
                    <w:top w:val="none" w:sz="0" w:space="0" w:color="auto"/>
                    <w:left w:val="none" w:sz="0" w:space="0" w:color="auto"/>
                    <w:bottom w:val="none" w:sz="0" w:space="0" w:color="auto"/>
                    <w:right w:val="none" w:sz="0" w:space="0" w:color="auto"/>
                  </w:divBdr>
                  <w:divsChild>
                    <w:div w:id="128669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2880436">
      <w:bodyDiv w:val="1"/>
      <w:marLeft w:val="0"/>
      <w:marRight w:val="0"/>
      <w:marTop w:val="0"/>
      <w:marBottom w:val="0"/>
      <w:divBdr>
        <w:top w:val="none" w:sz="0" w:space="0" w:color="auto"/>
        <w:left w:val="none" w:sz="0" w:space="0" w:color="auto"/>
        <w:bottom w:val="none" w:sz="0" w:space="0" w:color="auto"/>
        <w:right w:val="none" w:sz="0" w:space="0" w:color="auto"/>
      </w:divBdr>
    </w:div>
    <w:div w:id="967396512">
      <w:bodyDiv w:val="1"/>
      <w:marLeft w:val="0"/>
      <w:marRight w:val="0"/>
      <w:marTop w:val="0"/>
      <w:marBottom w:val="0"/>
      <w:divBdr>
        <w:top w:val="none" w:sz="0" w:space="0" w:color="auto"/>
        <w:left w:val="none" w:sz="0" w:space="0" w:color="auto"/>
        <w:bottom w:val="none" w:sz="0" w:space="0" w:color="auto"/>
        <w:right w:val="none" w:sz="0" w:space="0" w:color="auto"/>
      </w:divBdr>
    </w:div>
    <w:div w:id="982004237">
      <w:bodyDiv w:val="1"/>
      <w:marLeft w:val="0"/>
      <w:marRight w:val="0"/>
      <w:marTop w:val="0"/>
      <w:marBottom w:val="0"/>
      <w:divBdr>
        <w:top w:val="none" w:sz="0" w:space="0" w:color="auto"/>
        <w:left w:val="none" w:sz="0" w:space="0" w:color="auto"/>
        <w:bottom w:val="none" w:sz="0" w:space="0" w:color="auto"/>
        <w:right w:val="none" w:sz="0" w:space="0" w:color="auto"/>
      </w:divBdr>
    </w:div>
    <w:div w:id="983386306">
      <w:bodyDiv w:val="1"/>
      <w:marLeft w:val="0"/>
      <w:marRight w:val="0"/>
      <w:marTop w:val="0"/>
      <w:marBottom w:val="0"/>
      <w:divBdr>
        <w:top w:val="none" w:sz="0" w:space="0" w:color="auto"/>
        <w:left w:val="none" w:sz="0" w:space="0" w:color="auto"/>
        <w:bottom w:val="none" w:sz="0" w:space="0" w:color="auto"/>
        <w:right w:val="none" w:sz="0" w:space="0" w:color="auto"/>
      </w:divBdr>
    </w:div>
    <w:div w:id="991713051">
      <w:bodyDiv w:val="1"/>
      <w:marLeft w:val="0"/>
      <w:marRight w:val="0"/>
      <w:marTop w:val="0"/>
      <w:marBottom w:val="0"/>
      <w:divBdr>
        <w:top w:val="none" w:sz="0" w:space="0" w:color="auto"/>
        <w:left w:val="none" w:sz="0" w:space="0" w:color="auto"/>
        <w:bottom w:val="none" w:sz="0" w:space="0" w:color="auto"/>
        <w:right w:val="none" w:sz="0" w:space="0" w:color="auto"/>
      </w:divBdr>
    </w:div>
    <w:div w:id="1003974439">
      <w:bodyDiv w:val="1"/>
      <w:marLeft w:val="0"/>
      <w:marRight w:val="0"/>
      <w:marTop w:val="0"/>
      <w:marBottom w:val="0"/>
      <w:divBdr>
        <w:top w:val="none" w:sz="0" w:space="0" w:color="auto"/>
        <w:left w:val="none" w:sz="0" w:space="0" w:color="auto"/>
        <w:bottom w:val="none" w:sz="0" w:space="0" w:color="auto"/>
        <w:right w:val="none" w:sz="0" w:space="0" w:color="auto"/>
      </w:divBdr>
    </w:div>
    <w:div w:id="1037313255">
      <w:bodyDiv w:val="1"/>
      <w:marLeft w:val="0"/>
      <w:marRight w:val="0"/>
      <w:marTop w:val="0"/>
      <w:marBottom w:val="0"/>
      <w:divBdr>
        <w:top w:val="none" w:sz="0" w:space="0" w:color="auto"/>
        <w:left w:val="none" w:sz="0" w:space="0" w:color="auto"/>
        <w:bottom w:val="none" w:sz="0" w:space="0" w:color="auto"/>
        <w:right w:val="none" w:sz="0" w:space="0" w:color="auto"/>
      </w:divBdr>
    </w:div>
    <w:div w:id="1039816900">
      <w:bodyDiv w:val="1"/>
      <w:marLeft w:val="0"/>
      <w:marRight w:val="0"/>
      <w:marTop w:val="0"/>
      <w:marBottom w:val="0"/>
      <w:divBdr>
        <w:top w:val="none" w:sz="0" w:space="0" w:color="auto"/>
        <w:left w:val="none" w:sz="0" w:space="0" w:color="auto"/>
        <w:bottom w:val="none" w:sz="0" w:space="0" w:color="auto"/>
        <w:right w:val="none" w:sz="0" w:space="0" w:color="auto"/>
      </w:divBdr>
    </w:div>
    <w:div w:id="1044646181">
      <w:bodyDiv w:val="1"/>
      <w:marLeft w:val="0"/>
      <w:marRight w:val="0"/>
      <w:marTop w:val="0"/>
      <w:marBottom w:val="0"/>
      <w:divBdr>
        <w:top w:val="none" w:sz="0" w:space="0" w:color="auto"/>
        <w:left w:val="none" w:sz="0" w:space="0" w:color="auto"/>
        <w:bottom w:val="none" w:sz="0" w:space="0" w:color="auto"/>
        <w:right w:val="none" w:sz="0" w:space="0" w:color="auto"/>
      </w:divBdr>
    </w:div>
    <w:div w:id="1071735934">
      <w:bodyDiv w:val="1"/>
      <w:marLeft w:val="0"/>
      <w:marRight w:val="0"/>
      <w:marTop w:val="0"/>
      <w:marBottom w:val="0"/>
      <w:divBdr>
        <w:top w:val="none" w:sz="0" w:space="0" w:color="auto"/>
        <w:left w:val="none" w:sz="0" w:space="0" w:color="auto"/>
        <w:bottom w:val="none" w:sz="0" w:space="0" w:color="auto"/>
        <w:right w:val="none" w:sz="0" w:space="0" w:color="auto"/>
      </w:divBdr>
    </w:div>
    <w:div w:id="1082871880">
      <w:bodyDiv w:val="1"/>
      <w:marLeft w:val="0"/>
      <w:marRight w:val="0"/>
      <w:marTop w:val="0"/>
      <w:marBottom w:val="0"/>
      <w:divBdr>
        <w:top w:val="none" w:sz="0" w:space="0" w:color="auto"/>
        <w:left w:val="none" w:sz="0" w:space="0" w:color="auto"/>
        <w:bottom w:val="none" w:sz="0" w:space="0" w:color="auto"/>
        <w:right w:val="none" w:sz="0" w:space="0" w:color="auto"/>
      </w:divBdr>
    </w:div>
    <w:div w:id="1082989185">
      <w:bodyDiv w:val="1"/>
      <w:marLeft w:val="0"/>
      <w:marRight w:val="0"/>
      <w:marTop w:val="0"/>
      <w:marBottom w:val="0"/>
      <w:divBdr>
        <w:top w:val="none" w:sz="0" w:space="0" w:color="auto"/>
        <w:left w:val="none" w:sz="0" w:space="0" w:color="auto"/>
        <w:bottom w:val="none" w:sz="0" w:space="0" w:color="auto"/>
        <w:right w:val="none" w:sz="0" w:space="0" w:color="auto"/>
      </w:divBdr>
    </w:div>
    <w:div w:id="1118180012">
      <w:bodyDiv w:val="1"/>
      <w:marLeft w:val="0"/>
      <w:marRight w:val="0"/>
      <w:marTop w:val="0"/>
      <w:marBottom w:val="0"/>
      <w:divBdr>
        <w:top w:val="none" w:sz="0" w:space="0" w:color="auto"/>
        <w:left w:val="none" w:sz="0" w:space="0" w:color="auto"/>
        <w:bottom w:val="none" w:sz="0" w:space="0" w:color="auto"/>
        <w:right w:val="none" w:sz="0" w:space="0" w:color="auto"/>
      </w:divBdr>
    </w:div>
    <w:div w:id="1129783684">
      <w:bodyDiv w:val="1"/>
      <w:marLeft w:val="0"/>
      <w:marRight w:val="0"/>
      <w:marTop w:val="0"/>
      <w:marBottom w:val="0"/>
      <w:divBdr>
        <w:top w:val="none" w:sz="0" w:space="0" w:color="auto"/>
        <w:left w:val="none" w:sz="0" w:space="0" w:color="auto"/>
        <w:bottom w:val="none" w:sz="0" w:space="0" w:color="auto"/>
        <w:right w:val="none" w:sz="0" w:space="0" w:color="auto"/>
      </w:divBdr>
      <w:divsChild>
        <w:div w:id="956181068">
          <w:marLeft w:val="0"/>
          <w:marRight w:val="0"/>
          <w:marTop w:val="0"/>
          <w:marBottom w:val="0"/>
          <w:divBdr>
            <w:top w:val="none" w:sz="0" w:space="0" w:color="auto"/>
            <w:left w:val="none" w:sz="0" w:space="0" w:color="auto"/>
            <w:bottom w:val="none" w:sz="0" w:space="0" w:color="auto"/>
            <w:right w:val="none" w:sz="0" w:space="0" w:color="auto"/>
          </w:divBdr>
          <w:divsChild>
            <w:div w:id="223220549">
              <w:marLeft w:val="0"/>
              <w:marRight w:val="0"/>
              <w:marTop w:val="0"/>
              <w:marBottom w:val="0"/>
              <w:divBdr>
                <w:top w:val="none" w:sz="0" w:space="0" w:color="auto"/>
                <w:left w:val="none" w:sz="0" w:space="0" w:color="auto"/>
                <w:bottom w:val="none" w:sz="0" w:space="0" w:color="auto"/>
                <w:right w:val="none" w:sz="0" w:space="0" w:color="auto"/>
              </w:divBdr>
              <w:divsChild>
                <w:div w:id="1367366779">
                  <w:marLeft w:val="0"/>
                  <w:marRight w:val="0"/>
                  <w:marTop w:val="0"/>
                  <w:marBottom w:val="0"/>
                  <w:divBdr>
                    <w:top w:val="none" w:sz="0" w:space="0" w:color="auto"/>
                    <w:left w:val="none" w:sz="0" w:space="0" w:color="auto"/>
                    <w:bottom w:val="none" w:sz="0" w:space="0" w:color="auto"/>
                    <w:right w:val="none" w:sz="0" w:space="0" w:color="auto"/>
                  </w:divBdr>
                  <w:divsChild>
                    <w:div w:id="1110199511">
                      <w:marLeft w:val="0"/>
                      <w:marRight w:val="0"/>
                      <w:marTop w:val="0"/>
                      <w:marBottom w:val="0"/>
                      <w:divBdr>
                        <w:top w:val="none" w:sz="0" w:space="0" w:color="auto"/>
                        <w:left w:val="none" w:sz="0" w:space="0" w:color="auto"/>
                        <w:bottom w:val="none" w:sz="0" w:space="0" w:color="auto"/>
                        <w:right w:val="none" w:sz="0" w:space="0" w:color="auto"/>
                      </w:divBdr>
                      <w:divsChild>
                        <w:div w:id="2074739791">
                          <w:marLeft w:val="0"/>
                          <w:marRight w:val="0"/>
                          <w:marTop w:val="0"/>
                          <w:marBottom w:val="0"/>
                          <w:divBdr>
                            <w:top w:val="none" w:sz="0" w:space="0" w:color="auto"/>
                            <w:left w:val="none" w:sz="0" w:space="0" w:color="auto"/>
                            <w:bottom w:val="none" w:sz="0" w:space="0" w:color="auto"/>
                            <w:right w:val="none" w:sz="0" w:space="0" w:color="auto"/>
                          </w:divBdr>
                          <w:divsChild>
                            <w:div w:id="783574366">
                              <w:marLeft w:val="0"/>
                              <w:marRight w:val="0"/>
                              <w:marTop w:val="0"/>
                              <w:marBottom w:val="0"/>
                              <w:divBdr>
                                <w:top w:val="none" w:sz="0" w:space="0" w:color="auto"/>
                                <w:left w:val="none" w:sz="0" w:space="0" w:color="auto"/>
                                <w:bottom w:val="none" w:sz="0" w:space="0" w:color="auto"/>
                                <w:right w:val="none" w:sz="0" w:space="0" w:color="auto"/>
                              </w:divBdr>
                              <w:divsChild>
                                <w:div w:id="1293638734">
                                  <w:marLeft w:val="0"/>
                                  <w:marRight w:val="0"/>
                                  <w:marTop w:val="0"/>
                                  <w:marBottom w:val="0"/>
                                  <w:divBdr>
                                    <w:top w:val="none" w:sz="0" w:space="0" w:color="auto"/>
                                    <w:left w:val="none" w:sz="0" w:space="0" w:color="auto"/>
                                    <w:bottom w:val="none" w:sz="0" w:space="0" w:color="auto"/>
                                    <w:right w:val="none" w:sz="0" w:space="0" w:color="auto"/>
                                  </w:divBdr>
                                  <w:divsChild>
                                    <w:div w:id="1711416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301073">
                      <w:marLeft w:val="0"/>
                      <w:marRight w:val="0"/>
                      <w:marTop w:val="0"/>
                      <w:marBottom w:val="0"/>
                      <w:divBdr>
                        <w:top w:val="none" w:sz="0" w:space="0" w:color="auto"/>
                        <w:left w:val="none" w:sz="0" w:space="0" w:color="auto"/>
                        <w:bottom w:val="none" w:sz="0" w:space="0" w:color="auto"/>
                        <w:right w:val="none" w:sz="0" w:space="0" w:color="auto"/>
                      </w:divBdr>
                      <w:divsChild>
                        <w:div w:id="205615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619041">
      <w:bodyDiv w:val="1"/>
      <w:marLeft w:val="0"/>
      <w:marRight w:val="0"/>
      <w:marTop w:val="0"/>
      <w:marBottom w:val="0"/>
      <w:divBdr>
        <w:top w:val="none" w:sz="0" w:space="0" w:color="auto"/>
        <w:left w:val="none" w:sz="0" w:space="0" w:color="auto"/>
        <w:bottom w:val="none" w:sz="0" w:space="0" w:color="auto"/>
        <w:right w:val="none" w:sz="0" w:space="0" w:color="auto"/>
      </w:divBdr>
    </w:div>
    <w:div w:id="1189222951">
      <w:bodyDiv w:val="1"/>
      <w:marLeft w:val="0"/>
      <w:marRight w:val="0"/>
      <w:marTop w:val="0"/>
      <w:marBottom w:val="0"/>
      <w:divBdr>
        <w:top w:val="none" w:sz="0" w:space="0" w:color="auto"/>
        <w:left w:val="none" w:sz="0" w:space="0" w:color="auto"/>
        <w:bottom w:val="none" w:sz="0" w:space="0" w:color="auto"/>
        <w:right w:val="none" w:sz="0" w:space="0" w:color="auto"/>
      </w:divBdr>
    </w:div>
    <w:div w:id="1231188559">
      <w:bodyDiv w:val="1"/>
      <w:marLeft w:val="0"/>
      <w:marRight w:val="0"/>
      <w:marTop w:val="0"/>
      <w:marBottom w:val="0"/>
      <w:divBdr>
        <w:top w:val="none" w:sz="0" w:space="0" w:color="auto"/>
        <w:left w:val="none" w:sz="0" w:space="0" w:color="auto"/>
        <w:bottom w:val="none" w:sz="0" w:space="0" w:color="auto"/>
        <w:right w:val="none" w:sz="0" w:space="0" w:color="auto"/>
      </w:divBdr>
    </w:div>
    <w:div w:id="1238903730">
      <w:bodyDiv w:val="1"/>
      <w:marLeft w:val="0"/>
      <w:marRight w:val="0"/>
      <w:marTop w:val="0"/>
      <w:marBottom w:val="0"/>
      <w:divBdr>
        <w:top w:val="none" w:sz="0" w:space="0" w:color="auto"/>
        <w:left w:val="none" w:sz="0" w:space="0" w:color="auto"/>
        <w:bottom w:val="none" w:sz="0" w:space="0" w:color="auto"/>
        <w:right w:val="none" w:sz="0" w:space="0" w:color="auto"/>
      </w:divBdr>
    </w:div>
    <w:div w:id="1254557761">
      <w:bodyDiv w:val="1"/>
      <w:marLeft w:val="0"/>
      <w:marRight w:val="0"/>
      <w:marTop w:val="0"/>
      <w:marBottom w:val="0"/>
      <w:divBdr>
        <w:top w:val="none" w:sz="0" w:space="0" w:color="auto"/>
        <w:left w:val="none" w:sz="0" w:space="0" w:color="auto"/>
        <w:bottom w:val="none" w:sz="0" w:space="0" w:color="auto"/>
        <w:right w:val="none" w:sz="0" w:space="0" w:color="auto"/>
      </w:divBdr>
    </w:div>
    <w:div w:id="1285118992">
      <w:bodyDiv w:val="1"/>
      <w:marLeft w:val="0"/>
      <w:marRight w:val="0"/>
      <w:marTop w:val="0"/>
      <w:marBottom w:val="0"/>
      <w:divBdr>
        <w:top w:val="none" w:sz="0" w:space="0" w:color="auto"/>
        <w:left w:val="none" w:sz="0" w:space="0" w:color="auto"/>
        <w:bottom w:val="none" w:sz="0" w:space="0" w:color="auto"/>
        <w:right w:val="none" w:sz="0" w:space="0" w:color="auto"/>
      </w:divBdr>
    </w:div>
    <w:div w:id="1378044810">
      <w:bodyDiv w:val="1"/>
      <w:marLeft w:val="0"/>
      <w:marRight w:val="0"/>
      <w:marTop w:val="0"/>
      <w:marBottom w:val="0"/>
      <w:divBdr>
        <w:top w:val="none" w:sz="0" w:space="0" w:color="auto"/>
        <w:left w:val="none" w:sz="0" w:space="0" w:color="auto"/>
        <w:bottom w:val="none" w:sz="0" w:space="0" w:color="auto"/>
        <w:right w:val="none" w:sz="0" w:space="0" w:color="auto"/>
      </w:divBdr>
    </w:div>
    <w:div w:id="1419055675">
      <w:bodyDiv w:val="1"/>
      <w:marLeft w:val="0"/>
      <w:marRight w:val="0"/>
      <w:marTop w:val="0"/>
      <w:marBottom w:val="0"/>
      <w:divBdr>
        <w:top w:val="none" w:sz="0" w:space="0" w:color="auto"/>
        <w:left w:val="none" w:sz="0" w:space="0" w:color="auto"/>
        <w:bottom w:val="none" w:sz="0" w:space="0" w:color="auto"/>
        <w:right w:val="none" w:sz="0" w:space="0" w:color="auto"/>
      </w:divBdr>
    </w:div>
    <w:div w:id="1453591476">
      <w:bodyDiv w:val="1"/>
      <w:marLeft w:val="0"/>
      <w:marRight w:val="0"/>
      <w:marTop w:val="0"/>
      <w:marBottom w:val="0"/>
      <w:divBdr>
        <w:top w:val="none" w:sz="0" w:space="0" w:color="auto"/>
        <w:left w:val="none" w:sz="0" w:space="0" w:color="auto"/>
        <w:bottom w:val="none" w:sz="0" w:space="0" w:color="auto"/>
        <w:right w:val="none" w:sz="0" w:space="0" w:color="auto"/>
      </w:divBdr>
    </w:div>
    <w:div w:id="1472554369">
      <w:bodyDiv w:val="1"/>
      <w:marLeft w:val="0"/>
      <w:marRight w:val="0"/>
      <w:marTop w:val="0"/>
      <w:marBottom w:val="0"/>
      <w:divBdr>
        <w:top w:val="none" w:sz="0" w:space="0" w:color="auto"/>
        <w:left w:val="none" w:sz="0" w:space="0" w:color="auto"/>
        <w:bottom w:val="none" w:sz="0" w:space="0" w:color="auto"/>
        <w:right w:val="none" w:sz="0" w:space="0" w:color="auto"/>
      </w:divBdr>
      <w:divsChild>
        <w:div w:id="1744598387">
          <w:marLeft w:val="0"/>
          <w:marRight w:val="0"/>
          <w:marTop w:val="0"/>
          <w:marBottom w:val="0"/>
          <w:divBdr>
            <w:top w:val="none" w:sz="0" w:space="0" w:color="auto"/>
            <w:left w:val="none" w:sz="0" w:space="0" w:color="auto"/>
            <w:bottom w:val="none" w:sz="0" w:space="0" w:color="auto"/>
            <w:right w:val="none" w:sz="0" w:space="0" w:color="auto"/>
          </w:divBdr>
          <w:divsChild>
            <w:div w:id="163403985">
              <w:marLeft w:val="0"/>
              <w:marRight w:val="0"/>
              <w:marTop w:val="0"/>
              <w:marBottom w:val="0"/>
              <w:divBdr>
                <w:top w:val="none" w:sz="0" w:space="0" w:color="auto"/>
                <w:left w:val="none" w:sz="0" w:space="0" w:color="auto"/>
                <w:bottom w:val="none" w:sz="0" w:space="0" w:color="auto"/>
                <w:right w:val="none" w:sz="0" w:space="0" w:color="auto"/>
              </w:divBdr>
              <w:divsChild>
                <w:div w:id="1766076733">
                  <w:marLeft w:val="0"/>
                  <w:marRight w:val="0"/>
                  <w:marTop w:val="0"/>
                  <w:marBottom w:val="0"/>
                  <w:divBdr>
                    <w:top w:val="none" w:sz="0" w:space="0" w:color="auto"/>
                    <w:left w:val="none" w:sz="0" w:space="0" w:color="auto"/>
                    <w:bottom w:val="none" w:sz="0" w:space="0" w:color="auto"/>
                    <w:right w:val="none" w:sz="0" w:space="0" w:color="auto"/>
                  </w:divBdr>
                  <w:divsChild>
                    <w:div w:id="159153837">
                      <w:marLeft w:val="0"/>
                      <w:marRight w:val="0"/>
                      <w:marTop w:val="0"/>
                      <w:marBottom w:val="0"/>
                      <w:divBdr>
                        <w:top w:val="none" w:sz="0" w:space="0" w:color="auto"/>
                        <w:left w:val="none" w:sz="0" w:space="0" w:color="auto"/>
                        <w:bottom w:val="none" w:sz="0" w:space="0" w:color="auto"/>
                        <w:right w:val="none" w:sz="0" w:space="0" w:color="auto"/>
                      </w:divBdr>
                      <w:divsChild>
                        <w:div w:id="1398632663">
                          <w:marLeft w:val="0"/>
                          <w:marRight w:val="0"/>
                          <w:marTop w:val="0"/>
                          <w:marBottom w:val="0"/>
                          <w:divBdr>
                            <w:top w:val="none" w:sz="0" w:space="0" w:color="auto"/>
                            <w:left w:val="none" w:sz="0" w:space="0" w:color="auto"/>
                            <w:bottom w:val="none" w:sz="0" w:space="0" w:color="auto"/>
                            <w:right w:val="none" w:sz="0" w:space="0" w:color="auto"/>
                          </w:divBdr>
                          <w:divsChild>
                            <w:div w:id="488447907">
                              <w:marLeft w:val="0"/>
                              <w:marRight w:val="0"/>
                              <w:marTop w:val="0"/>
                              <w:marBottom w:val="0"/>
                              <w:divBdr>
                                <w:top w:val="none" w:sz="0" w:space="0" w:color="auto"/>
                                <w:left w:val="none" w:sz="0" w:space="0" w:color="auto"/>
                                <w:bottom w:val="none" w:sz="0" w:space="0" w:color="auto"/>
                                <w:right w:val="none" w:sz="0" w:space="0" w:color="auto"/>
                              </w:divBdr>
                              <w:divsChild>
                                <w:div w:id="786196862">
                                  <w:marLeft w:val="0"/>
                                  <w:marRight w:val="0"/>
                                  <w:marTop w:val="0"/>
                                  <w:marBottom w:val="0"/>
                                  <w:divBdr>
                                    <w:top w:val="none" w:sz="0" w:space="0" w:color="auto"/>
                                    <w:left w:val="none" w:sz="0" w:space="0" w:color="auto"/>
                                    <w:bottom w:val="none" w:sz="0" w:space="0" w:color="auto"/>
                                    <w:right w:val="none" w:sz="0" w:space="0" w:color="auto"/>
                                  </w:divBdr>
                                  <w:divsChild>
                                    <w:div w:id="155754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959500">
                      <w:marLeft w:val="0"/>
                      <w:marRight w:val="0"/>
                      <w:marTop w:val="0"/>
                      <w:marBottom w:val="0"/>
                      <w:divBdr>
                        <w:top w:val="none" w:sz="0" w:space="0" w:color="auto"/>
                        <w:left w:val="none" w:sz="0" w:space="0" w:color="auto"/>
                        <w:bottom w:val="none" w:sz="0" w:space="0" w:color="auto"/>
                        <w:right w:val="none" w:sz="0" w:space="0" w:color="auto"/>
                      </w:divBdr>
                      <w:divsChild>
                        <w:div w:id="143243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978055">
      <w:bodyDiv w:val="1"/>
      <w:marLeft w:val="0"/>
      <w:marRight w:val="0"/>
      <w:marTop w:val="0"/>
      <w:marBottom w:val="0"/>
      <w:divBdr>
        <w:top w:val="none" w:sz="0" w:space="0" w:color="auto"/>
        <w:left w:val="none" w:sz="0" w:space="0" w:color="auto"/>
        <w:bottom w:val="none" w:sz="0" w:space="0" w:color="auto"/>
        <w:right w:val="none" w:sz="0" w:space="0" w:color="auto"/>
      </w:divBdr>
    </w:div>
    <w:div w:id="1516191587">
      <w:bodyDiv w:val="1"/>
      <w:marLeft w:val="0"/>
      <w:marRight w:val="0"/>
      <w:marTop w:val="0"/>
      <w:marBottom w:val="0"/>
      <w:divBdr>
        <w:top w:val="none" w:sz="0" w:space="0" w:color="auto"/>
        <w:left w:val="none" w:sz="0" w:space="0" w:color="auto"/>
        <w:bottom w:val="none" w:sz="0" w:space="0" w:color="auto"/>
        <w:right w:val="none" w:sz="0" w:space="0" w:color="auto"/>
      </w:divBdr>
    </w:div>
    <w:div w:id="1527794372">
      <w:bodyDiv w:val="1"/>
      <w:marLeft w:val="0"/>
      <w:marRight w:val="0"/>
      <w:marTop w:val="0"/>
      <w:marBottom w:val="0"/>
      <w:divBdr>
        <w:top w:val="none" w:sz="0" w:space="0" w:color="auto"/>
        <w:left w:val="none" w:sz="0" w:space="0" w:color="auto"/>
        <w:bottom w:val="none" w:sz="0" w:space="0" w:color="auto"/>
        <w:right w:val="none" w:sz="0" w:space="0" w:color="auto"/>
      </w:divBdr>
    </w:div>
    <w:div w:id="1549411292">
      <w:bodyDiv w:val="1"/>
      <w:marLeft w:val="0"/>
      <w:marRight w:val="0"/>
      <w:marTop w:val="0"/>
      <w:marBottom w:val="0"/>
      <w:divBdr>
        <w:top w:val="none" w:sz="0" w:space="0" w:color="auto"/>
        <w:left w:val="none" w:sz="0" w:space="0" w:color="auto"/>
        <w:bottom w:val="none" w:sz="0" w:space="0" w:color="auto"/>
        <w:right w:val="none" w:sz="0" w:space="0" w:color="auto"/>
      </w:divBdr>
    </w:div>
    <w:div w:id="1572039142">
      <w:bodyDiv w:val="1"/>
      <w:marLeft w:val="0"/>
      <w:marRight w:val="0"/>
      <w:marTop w:val="0"/>
      <w:marBottom w:val="0"/>
      <w:divBdr>
        <w:top w:val="none" w:sz="0" w:space="0" w:color="auto"/>
        <w:left w:val="none" w:sz="0" w:space="0" w:color="auto"/>
        <w:bottom w:val="none" w:sz="0" w:space="0" w:color="auto"/>
        <w:right w:val="none" w:sz="0" w:space="0" w:color="auto"/>
      </w:divBdr>
    </w:div>
    <w:div w:id="1575122299">
      <w:bodyDiv w:val="1"/>
      <w:marLeft w:val="0"/>
      <w:marRight w:val="0"/>
      <w:marTop w:val="0"/>
      <w:marBottom w:val="0"/>
      <w:divBdr>
        <w:top w:val="none" w:sz="0" w:space="0" w:color="auto"/>
        <w:left w:val="none" w:sz="0" w:space="0" w:color="auto"/>
        <w:bottom w:val="none" w:sz="0" w:space="0" w:color="auto"/>
        <w:right w:val="none" w:sz="0" w:space="0" w:color="auto"/>
      </w:divBdr>
    </w:div>
    <w:div w:id="1597859088">
      <w:bodyDiv w:val="1"/>
      <w:marLeft w:val="0"/>
      <w:marRight w:val="0"/>
      <w:marTop w:val="0"/>
      <w:marBottom w:val="0"/>
      <w:divBdr>
        <w:top w:val="none" w:sz="0" w:space="0" w:color="auto"/>
        <w:left w:val="none" w:sz="0" w:space="0" w:color="auto"/>
        <w:bottom w:val="none" w:sz="0" w:space="0" w:color="auto"/>
        <w:right w:val="none" w:sz="0" w:space="0" w:color="auto"/>
      </w:divBdr>
    </w:div>
    <w:div w:id="1602570548">
      <w:bodyDiv w:val="1"/>
      <w:marLeft w:val="0"/>
      <w:marRight w:val="0"/>
      <w:marTop w:val="0"/>
      <w:marBottom w:val="0"/>
      <w:divBdr>
        <w:top w:val="none" w:sz="0" w:space="0" w:color="auto"/>
        <w:left w:val="none" w:sz="0" w:space="0" w:color="auto"/>
        <w:bottom w:val="none" w:sz="0" w:space="0" w:color="auto"/>
        <w:right w:val="none" w:sz="0" w:space="0" w:color="auto"/>
      </w:divBdr>
    </w:div>
    <w:div w:id="1619331658">
      <w:bodyDiv w:val="1"/>
      <w:marLeft w:val="0"/>
      <w:marRight w:val="0"/>
      <w:marTop w:val="0"/>
      <w:marBottom w:val="0"/>
      <w:divBdr>
        <w:top w:val="none" w:sz="0" w:space="0" w:color="auto"/>
        <w:left w:val="none" w:sz="0" w:space="0" w:color="auto"/>
        <w:bottom w:val="none" w:sz="0" w:space="0" w:color="auto"/>
        <w:right w:val="none" w:sz="0" w:space="0" w:color="auto"/>
      </w:divBdr>
      <w:divsChild>
        <w:div w:id="752632485">
          <w:marLeft w:val="0"/>
          <w:marRight w:val="0"/>
          <w:marTop w:val="0"/>
          <w:marBottom w:val="0"/>
          <w:divBdr>
            <w:top w:val="none" w:sz="0" w:space="0" w:color="auto"/>
            <w:left w:val="none" w:sz="0" w:space="0" w:color="auto"/>
            <w:bottom w:val="none" w:sz="0" w:space="0" w:color="auto"/>
            <w:right w:val="none" w:sz="0" w:space="0" w:color="auto"/>
          </w:divBdr>
          <w:divsChild>
            <w:div w:id="1450512470">
              <w:marLeft w:val="0"/>
              <w:marRight w:val="0"/>
              <w:marTop w:val="0"/>
              <w:marBottom w:val="0"/>
              <w:divBdr>
                <w:top w:val="none" w:sz="0" w:space="0" w:color="auto"/>
                <w:left w:val="none" w:sz="0" w:space="0" w:color="auto"/>
                <w:bottom w:val="none" w:sz="0" w:space="0" w:color="auto"/>
                <w:right w:val="none" w:sz="0" w:space="0" w:color="auto"/>
              </w:divBdr>
              <w:divsChild>
                <w:div w:id="1472866192">
                  <w:marLeft w:val="0"/>
                  <w:marRight w:val="0"/>
                  <w:marTop w:val="0"/>
                  <w:marBottom w:val="0"/>
                  <w:divBdr>
                    <w:top w:val="none" w:sz="0" w:space="0" w:color="auto"/>
                    <w:left w:val="none" w:sz="0" w:space="0" w:color="auto"/>
                    <w:bottom w:val="none" w:sz="0" w:space="0" w:color="auto"/>
                    <w:right w:val="none" w:sz="0" w:space="0" w:color="auto"/>
                  </w:divBdr>
                  <w:divsChild>
                    <w:div w:id="164727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313427">
      <w:bodyDiv w:val="1"/>
      <w:marLeft w:val="0"/>
      <w:marRight w:val="0"/>
      <w:marTop w:val="0"/>
      <w:marBottom w:val="0"/>
      <w:divBdr>
        <w:top w:val="none" w:sz="0" w:space="0" w:color="auto"/>
        <w:left w:val="none" w:sz="0" w:space="0" w:color="auto"/>
        <w:bottom w:val="none" w:sz="0" w:space="0" w:color="auto"/>
        <w:right w:val="none" w:sz="0" w:space="0" w:color="auto"/>
      </w:divBdr>
    </w:div>
    <w:div w:id="1657764386">
      <w:bodyDiv w:val="1"/>
      <w:marLeft w:val="0"/>
      <w:marRight w:val="0"/>
      <w:marTop w:val="0"/>
      <w:marBottom w:val="0"/>
      <w:divBdr>
        <w:top w:val="none" w:sz="0" w:space="0" w:color="auto"/>
        <w:left w:val="none" w:sz="0" w:space="0" w:color="auto"/>
        <w:bottom w:val="none" w:sz="0" w:space="0" w:color="auto"/>
        <w:right w:val="none" w:sz="0" w:space="0" w:color="auto"/>
      </w:divBdr>
    </w:div>
    <w:div w:id="1682049436">
      <w:bodyDiv w:val="1"/>
      <w:marLeft w:val="0"/>
      <w:marRight w:val="0"/>
      <w:marTop w:val="0"/>
      <w:marBottom w:val="0"/>
      <w:divBdr>
        <w:top w:val="none" w:sz="0" w:space="0" w:color="auto"/>
        <w:left w:val="none" w:sz="0" w:space="0" w:color="auto"/>
        <w:bottom w:val="none" w:sz="0" w:space="0" w:color="auto"/>
        <w:right w:val="none" w:sz="0" w:space="0" w:color="auto"/>
      </w:divBdr>
      <w:divsChild>
        <w:div w:id="744642332">
          <w:marLeft w:val="0"/>
          <w:marRight w:val="0"/>
          <w:marTop w:val="0"/>
          <w:marBottom w:val="0"/>
          <w:divBdr>
            <w:top w:val="none" w:sz="0" w:space="0" w:color="auto"/>
            <w:left w:val="none" w:sz="0" w:space="0" w:color="auto"/>
            <w:bottom w:val="none" w:sz="0" w:space="0" w:color="auto"/>
            <w:right w:val="none" w:sz="0" w:space="0" w:color="auto"/>
          </w:divBdr>
          <w:divsChild>
            <w:div w:id="1652635389">
              <w:marLeft w:val="0"/>
              <w:marRight w:val="0"/>
              <w:marTop w:val="0"/>
              <w:marBottom w:val="0"/>
              <w:divBdr>
                <w:top w:val="none" w:sz="0" w:space="0" w:color="auto"/>
                <w:left w:val="none" w:sz="0" w:space="0" w:color="auto"/>
                <w:bottom w:val="none" w:sz="0" w:space="0" w:color="auto"/>
                <w:right w:val="none" w:sz="0" w:space="0" w:color="auto"/>
              </w:divBdr>
              <w:divsChild>
                <w:div w:id="1319188303">
                  <w:marLeft w:val="0"/>
                  <w:marRight w:val="0"/>
                  <w:marTop w:val="0"/>
                  <w:marBottom w:val="0"/>
                  <w:divBdr>
                    <w:top w:val="none" w:sz="0" w:space="0" w:color="auto"/>
                    <w:left w:val="none" w:sz="0" w:space="0" w:color="auto"/>
                    <w:bottom w:val="none" w:sz="0" w:space="0" w:color="auto"/>
                    <w:right w:val="none" w:sz="0" w:space="0" w:color="auto"/>
                  </w:divBdr>
                  <w:divsChild>
                    <w:div w:id="835149245">
                      <w:marLeft w:val="0"/>
                      <w:marRight w:val="0"/>
                      <w:marTop w:val="0"/>
                      <w:marBottom w:val="0"/>
                      <w:divBdr>
                        <w:top w:val="none" w:sz="0" w:space="0" w:color="auto"/>
                        <w:left w:val="none" w:sz="0" w:space="0" w:color="auto"/>
                        <w:bottom w:val="none" w:sz="0" w:space="0" w:color="auto"/>
                        <w:right w:val="none" w:sz="0" w:space="0" w:color="auto"/>
                      </w:divBdr>
                      <w:divsChild>
                        <w:div w:id="948045319">
                          <w:marLeft w:val="0"/>
                          <w:marRight w:val="0"/>
                          <w:marTop w:val="0"/>
                          <w:marBottom w:val="0"/>
                          <w:divBdr>
                            <w:top w:val="none" w:sz="0" w:space="0" w:color="auto"/>
                            <w:left w:val="none" w:sz="0" w:space="0" w:color="auto"/>
                            <w:bottom w:val="none" w:sz="0" w:space="0" w:color="auto"/>
                            <w:right w:val="none" w:sz="0" w:space="0" w:color="auto"/>
                          </w:divBdr>
                          <w:divsChild>
                            <w:div w:id="1303803884">
                              <w:marLeft w:val="0"/>
                              <w:marRight w:val="0"/>
                              <w:marTop w:val="0"/>
                              <w:marBottom w:val="0"/>
                              <w:divBdr>
                                <w:top w:val="none" w:sz="0" w:space="0" w:color="auto"/>
                                <w:left w:val="none" w:sz="0" w:space="0" w:color="auto"/>
                                <w:bottom w:val="none" w:sz="0" w:space="0" w:color="auto"/>
                                <w:right w:val="none" w:sz="0" w:space="0" w:color="auto"/>
                              </w:divBdr>
                              <w:divsChild>
                                <w:div w:id="346493158">
                                  <w:marLeft w:val="0"/>
                                  <w:marRight w:val="0"/>
                                  <w:marTop w:val="0"/>
                                  <w:marBottom w:val="0"/>
                                  <w:divBdr>
                                    <w:top w:val="none" w:sz="0" w:space="0" w:color="auto"/>
                                    <w:left w:val="none" w:sz="0" w:space="0" w:color="auto"/>
                                    <w:bottom w:val="none" w:sz="0" w:space="0" w:color="auto"/>
                                    <w:right w:val="none" w:sz="0" w:space="0" w:color="auto"/>
                                  </w:divBdr>
                                  <w:divsChild>
                                    <w:div w:id="214677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39588">
                      <w:marLeft w:val="0"/>
                      <w:marRight w:val="0"/>
                      <w:marTop w:val="0"/>
                      <w:marBottom w:val="0"/>
                      <w:divBdr>
                        <w:top w:val="none" w:sz="0" w:space="0" w:color="auto"/>
                        <w:left w:val="none" w:sz="0" w:space="0" w:color="auto"/>
                        <w:bottom w:val="none" w:sz="0" w:space="0" w:color="auto"/>
                        <w:right w:val="none" w:sz="0" w:space="0" w:color="auto"/>
                      </w:divBdr>
                      <w:divsChild>
                        <w:div w:id="94781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8826979">
      <w:bodyDiv w:val="1"/>
      <w:marLeft w:val="0"/>
      <w:marRight w:val="0"/>
      <w:marTop w:val="0"/>
      <w:marBottom w:val="0"/>
      <w:divBdr>
        <w:top w:val="none" w:sz="0" w:space="0" w:color="auto"/>
        <w:left w:val="none" w:sz="0" w:space="0" w:color="auto"/>
        <w:bottom w:val="none" w:sz="0" w:space="0" w:color="auto"/>
        <w:right w:val="none" w:sz="0" w:space="0" w:color="auto"/>
      </w:divBdr>
    </w:div>
    <w:div w:id="1712025561">
      <w:bodyDiv w:val="1"/>
      <w:marLeft w:val="0"/>
      <w:marRight w:val="0"/>
      <w:marTop w:val="0"/>
      <w:marBottom w:val="0"/>
      <w:divBdr>
        <w:top w:val="none" w:sz="0" w:space="0" w:color="auto"/>
        <w:left w:val="none" w:sz="0" w:space="0" w:color="auto"/>
        <w:bottom w:val="none" w:sz="0" w:space="0" w:color="auto"/>
        <w:right w:val="none" w:sz="0" w:space="0" w:color="auto"/>
      </w:divBdr>
    </w:div>
    <w:div w:id="1744059214">
      <w:bodyDiv w:val="1"/>
      <w:marLeft w:val="0"/>
      <w:marRight w:val="0"/>
      <w:marTop w:val="0"/>
      <w:marBottom w:val="0"/>
      <w:divBdr>
        <w:top w:val="none" w:sz="0" w:space="0" w:color="auto"/>
        <w:left w:val="none" w:sz="0" w:space="0" w:color="auto"/>
        <w:bottom w:val="none" w:sz="0" w:space="0" w:color="auto"/>
        <w:right w:val="none" w:sz="0" w:space="0" w:color="auto"/>
      </w:divBdr>
    </w:div>
    <w:div w:id="1751270201">
      <w:bodyDiv w:val="1"/>
      <w:marLeft w:val="0"/>
      <w:marRight w:val="0"/>
      <w:marTop w:val="0"/>
      <w:marBottom w:val="0"/>
      <w:divBdr>
        <w:top w:val="none" w:sz="0" w:space="0" w:color="auto"/>
        <w:left w:val="none" w:sz="0" w:space="0" w:color="auto"/>
        <w:bottom w:val="none" w:sz="0" w:space="0" w:color="auto"/>
        <w:right w:val="none" w:sz="0" w:space="0" w:color="auto"/>
      </w:divBdr>
    </w:div>
    <w:div w:id="1751926430">
      <w:bodyDiv w:val="1"/>
      <w:marLeft w:val="0"/>
      <w:marRight w:val="0"/>
      <w:marTop w:val="0"/>
      <w:marBottom w:val="0"/>
      <w:divBdr>
        <w:top w:val="none" w:sz="0" w:space="0" w:color="auto"/>
        <w:left w:val="none" w:sz="0" w:space="0" w:color="auto"/>
        <w:bottom w:val="none" w:sz="0" w:space="0" w:color="auto"/>
        <w:right w:val="none" w:sz="0" w:space="0" w:color="auto"/>
      </w:divBdr>
    </w:div>
    <w:div w:id="1764180748">
      <w:bodyDiv w:val="1"/>
      <w:marLeft w:val="0"/>
      <w:marRight w:val="0"/>
      <w:marTop w:val="0"/>
      <w:marBottom w:val="0"/>
      <w:divBdr>
        <w:top w:val="none" w:sz="0" w:space="0" w:color="auto"/>
        <w:left w:val="none" w:sz="0" w:space="0" w:color="auto"/>
        <w:bottom w:val="none" w:sz="0" w:space="0" w:color="auto"/>
        <w:right w:val="none" w:sz="0" w:space="0" w:color="auto"/>
      </w:divBdr>
    </w:div>
    <w:div w:id="1774785033">
      <w:bodyDiv w:val="1"/>
      <w:marLeft w:val="0"/>
      <w:marRight w:val="0"/>
      <w:marTop w:val="0"/>
      <w:marBottom w:val="0"/>
      <w:divBdr>
        <w:top w:val="none" w:sz="0" w:space="0" w:color="auto"/>
        <w:left w:val="none" w:sz="0" w:space="0" w:color="auto"/>
        <w:bottom w:val="none" w:sz="0" w:space="0" w:color="auto"/>
        <w:right w:val="none" w:sz="0" w:space="0" w:color="auto"/>
      </w:divBdr>
    </w:div>
    <w:div w:id="1795444435">
      <w:bodyDiv w:val="1"/>
      <w:marLeft w:val="0"/>
      <w:marRight w:val="0"/>
      <w:marTop w:val="0"/>
      <w:marBottom w:val="0"/>
      <w:divBdr>
        <w:top w:val="none" w:sz="0" w:space="0" w:color="auto"/>
        <w:left w:val="none" w:sz="0" w:space="0" w:color="auto"/>
        <w:bottom w:val="none" w:sz="0" w:space="0" w:color="auto"/>
        <w:right w:val="none" w:sz="0" w:space="0" w:color="auto"/>
      </w:divBdr>
    </w:div>
    <w:div w:id="1839926214">
      <w:bodyDiv w:val="1"/>
      <w:marLeft w:val="0"/>
      <w:marRight w:val="0"/>
      <w:marTop w:val="0"/>
      <w:marBottom w:val="0"/>
      <w:divBdr>
        <w:top w:val="none" w:sz="0" w:space="0" w:color="auto"/>
        <w:left w:val="none" w:sz="0" w:space="0" w:color="auto"/>
        <w:bottom w:val="none" w:sz="0" w:space="0" w:color="auto"/>
        <w:right w:val="none" w:sz="0" w:space="0" w:color="auto"/>
      </w:divBdr>
      <w:divsChild>
        <w:div w:id="1353725011">
          <w:marLeft w:val="0"/>
          <w:marRight w:val="0"/>
          <w:marTop w:val="0"/>
          <w:marBottom w:val="0"/>
          <w:divBdr>
            <w:top w:val="none" w:sz="0" w:space="0" w:color="auto"/>
            <w:left w:val="none" w:sz="0" w:space="0" w:color="auto"/>
            <w:bottom w:val="none" w:sz="0" w:space="0" w:color="auto"/>
            <w:right w:val="none" w:sz="0" w:space="0" w:color="auto"/>
          </w:divBdr>
          <w:divsChild>
            <w:div w:id="1487817271">
              <w:marLeft w:val="0"/>
              <w:marRight w:val="0"/>
              <w:marTop w:val="0"/>
              <w:marBottom w:val="0"/>
              <w:divBdr>
                <w:top w:val="none" w:sz="0" w:space="0" w:color="auto"/>
                <w:left w:val="none" w:sz="0" w:space="0" w:color="auto"/>
                <w:bottom w:val="none" w:sz="0" w:space="0" w:color="auto"/>
                <w:right w:val="none" w:sz="0" w:space="0" w:color="auto"/>
              </w:divBdr>
              <w:divsChild>
                <w:div w:id="727069295">
                  <w:marLeft w:val="0"/>
                  <w:marRight w:val="0"/>
                  <w:marTop w:val="0"/>
                  <w:marBottom w:val="0"/>
                  <w:divBdr>
                    <w:top w:val="none" w:sz="0" w:space="0" w:color="auto"/>
                    <w:left w:val="none" w:sz="0" w:space="0" w:color="auto"/>
                    <w:bottom w:val="none" w:sz="0" w:space="0" w:color="auto"/>
                    <w:right w:val="none" w:sz="0" w:space="0" w:color="auto"/>
                  </w:divBdr>
                  <w:divsChild>
                    <w:div w:id="355011494">
                      <w:marLeft w:val="0"/>
                      <w:marRight w:val="0"/>
                      <w:marTop w:val="0"/>
                      <w:marBottom w:val="0"/>
                      <w:divBdr>
                        <w:top w:val="none" w:sz="0" w:space="0" w:color="auto"/>
                        <w:left w:val="none" w:sz="0" w:space="0" w:color="auto"/>
                        <w:bottom w:val="none" w:sz="0" w:space="0" w:color="auto"/>
                        <w:right w:val="none" w:sz="0" w:space="0" w:color="auto"/>
                      </w:divBdr>
                      <w:divsChild>
                        <w:div w:id="1806384339">
                          <w:marLeft w:val="0"/>
                          <w:marRight w:val="0"/>
                          <w:marTop w:val="0"/>
                          <w:marBottom w:val="0"/>
                          <w:divBdr>
                            <w:top w:val="none" w:sz="0" w:space="0" w:color="auto"/>
                            <w:left w:val="none" w:sz="0" w:space="0" w:color="auto"/>
                            <w:bottom w:val="none" w:sz="0" w:space="0" w:color="auto"/>
                            <w:right w:val="none" w:sz="0" w:space="0" w:color="auto"/>
                          </w:divBdr>
                          <w:divsChild>
                            <w:div w:id="95295536">
                              <w:marLeft w:val="0"/>
                              <w:marRight w:val="0"/>
                              <w:marTop w:val="0"/>
                              <w:marBottom w:val="0"/>
                              <w:divBdr>
                                <w:top w:val="none" w:sz="0" w:space="0" w:color="auto"/>
                                <w:left w:val="none" w:sz="0" w:space="0" w:color="auto"/>
                                <w:bottom w:val="none" w:sz="0" w:space="0" w:color="auto"/>
                                <w:right w:val="none" w:sz="0" w:space="0" w:color="auto"/>
                              </w:divBdr>
                              <w:divsChild>
                                <w:div w:id="483932044">
                                  <w:marLeft w:val="0"/>
                                  <w:marRight w:val="0"/>
                                  <w:marTop w:val="0"/>
                                  <w:marBottom w:val="0"/>
                                  <w:divBdr>
                                    <w:top w:val="none" w:sz="0" w:space="0" w:color="auto"/>
                                    <w:left w:val="none" w:sz="0" w:space="0" w:color="auto"/>
                                    <w:bottom w:val="none" w:sz="0" w:space="0" w:color="auto"/>
                                    <w:right w:val="none" w:sz="0" w:space="0" w:color="auto"/>
                                  </w:divBdr>
                                  <w:divsChild>
                                    <w:div w:id="65649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9877410">
                      <w:marLeft w:val="0"/>
                      <w:marRight w:val="0"/>
                      <w:marTop w:val="0"/>
                      <w:marBottom w:val="0"/>
                      <w:divBdr>
                        <w:top w:val="none" w:sz="0" w:space="0" w:color="auto"/>
                        <w:left w:val="none" w:sz="0" w:space="0" w:color="auto"/>
                        <w:bottom w:val="none" w:sz="0" w:space="0" w:color="auto"/>
                        <w:right w:val="none" w:sz="0" w:space="0" w:color="auto"/>
                      </w:divBdr>
                      <w:divsChild>
                        <w:div w:id="2006475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735992">
      <w:bodyDiv w:val="1"/>
      <w:marLeft w:val="0"/>
      <w:marRight w:val="0"/>
      <w:marTop w:val="0"/>
      <w:marBottom w:val="0"/>
      <w:divBdr>
        <w:top w:val="none" w:sz="0" w:space="0" w:color="auto"/>
        <w:left w:val="none" w:sz="0" w:space="0" w:color="auto"/>
        <w:bottom w:val="none" w:sz="0" w:space="0" w:color="auto"/>
        <w:right w:val="none" w:sz="0" w:space="0" w:color="auto"/>
      </w:divBdr>
    </w:div>
    <w:div w:id="1852407269">
      <w:bodyDiv w:val="1"/>
      <w:marLeft w:val="0"/>
      <w:marRight w:val="0"/>
      <w:marTop w:val="0"/>
      <w:marBottom w:val="0"/>
      <w:divBdr>
        <w:top w:val="none" w:sz="0" w:space="0" w:color="auto"/>
        <w:left w:val="none" w:sz="0" w:space="0" w:color="auto"/>
        <w:bottom w:val="none" w:sz="0" w:space="0" w:color="auto"/>
        <w:right w:val="none" w:sz="0" w:space="0" w:color="auto"/>
      </w:divBdr>
    </w:div>
    <w:div w:id="1861510264">
      <w:bodyDiv w:val="1"/>
      <w:marLeft w:val="0"/>
      <w:marRight w:val="0"/>
      <w:marTop w:val="0"/>
      <w:marBottom w:val="0"/>
      <w:divBdr>
        <w:top w:val="none" w:sz="0" w:space="0" w:color="auto"/>
        <w:left w:val="none" w:sz="0" w:space="0" w:color="auto"/>
        <w:bottom w:val="none" w:sz="0" w:space="0" w:color="auto"/>
        <w:right w:val="none" w:sz="0" w:space="0" w:color="auto"/>
      </w:divBdr>
    </w:div>
    <w:div w:id="1877230169">
      <w:bodyDiv w:val="1"/>
      <w:marLeft w:val="0"/>
      <w:marRight w:val="0"/>
      <w:marTop w:val="0"/>
      <w:marBottom w:val="0"/>
      <w:divBdr>
        <w:top w:val="none" w:sz="0" w:space="0" w:color="auto"/>
        <w:left w:val="none" w:sz="0" w:space="0" w:color="auto"/>
        <w:bottom w:val="none" w:sz="0" w:space="0" w:color="auto"/>
        <w:right w:val="none" w:sz="0" w:space="0" w:color="auto"/>
      </w:divBdr>
    </w:div>
    <w:div w:id="1878808357">
      <w:bodyDiv w:val="1"/>
      <w:marLeft w:val="0"/>
      <w:marRight w:val="0"/>
      <w:marTop w:val="0"/>
      <w:marBottom w:val="0"/>
      <w:divBdr>
        <w:top w:val="none" w:sz="0" w:space="0" w:color="auto"/>
        <w:left w:val="none" w:sz="0" w:space="0" w:color="auto"/>
        <w:bottom w:val="none" w:sz="0" w:space="0" w:color="auto"/>
        <w:right w:val="none" w:sz="0" w:space="0" w:color="auto"/>
      </w:divBdr>
      <w:divsChild>
        <w:div w:id="571162635">
          <w:marLeft w:val="0"/>
          <w:marRight w:val="0"/>
          <w:marTop w:val="0"/>
          <w:marBottom w:val="0"/>
          <w:divBdr>
            <w:top w:val="none" w:sz="0" w:space="0" w:color="auto"/>
            <w:left w:val="none" w:sz="0" w:space="0" w:color="auto"/>
            <w:bottom w:val="none" w:sz="0" w:space="0" w:color="auto"/>
            <w:right w:val="none" w:sz="0" w:space="0" w:color="auto"/>
          </w:divBdr>
          <w:divsChild>
            <w:div w:id="2036037304">
              <w:marLeft w:val="0"/>
              <w:marRight w:val="0"/>
              <w:marTop w:val="0"/>
              <w:marBottom w:val="0"/>
              <w:divBdr>
                <w:top w:val="none" w:sz="0" w:space="0" w:color="auto"/>
                <w:left w:val="none" w:sz="0" w:space="0" w:color="auto"/>
                <w:bottom w:val="none" w:sz="0" w:space="0" w:color="auto"/>
                <w:right w:val="none" w:sz="0" w:space="0" w:color="auto"/>
              </w:divBdr>
              <w:divsChild>
                <w:div w:id="380787064">
                  <w:marLeft w:val="0"/>
                  <w:marRight w:val="0"/>
                  <w:marTop w:val="0"/>
                  <w:marBottom w:val="0"/>
                  <w:divBdr>
                    <w:top w:val="none" w:sz="0" w:space="0" w:color="auto"/>
                    <w:left w:val="none" w:sz="0" w:space="0" w:color="auto"/>
                    <w:bottom w:val="none" w:sz="0" w:space="0" w:color="auto"/>
                    <w:right w:val="none" w:sz="0" w:space="0" w:color="auto"/>
                  </w:divBdr>
                  <w:divsChild>
                    <w:div w:id="2061199162">
                      <w:marLeft w:val="0"/>
                      <w:marRight w:val="0"/>
                      <w:marTop w:val="0"/>
                      <w:marBottom w:val="0"/>
                      <w:divBdr>
                        <w:top w:val="none" w:sz="0" w:space="0" w:color="auto"/>
                        <w:left w:val="none" w:sz="0" w:space="0" w:color="auto"/>
                        <w:bottom w:val="none" w:sz="0" w:space="0" w:color="auto"/>
                        <w:right w:val="none" w:sz="0" w:space="0" w:color="auto"/>
                      </w:divBdr>
                      <w:divsChild>
                        <w:div w:id="748314163">
                          <w:marLeft w:val="0"/>
                          <w:marRight w:val="0"/>
                          <w:marTop w:val="0"/>
                          <w:marBottom w:val="0"/>
                          <w:divBdr>
                            <w:top w:val="none" w:sz="0" w:space="0" w:color="auto"/>
                            <w:left w:val="none" w:sz="0" w:space="0" w:color="auto"/>
                            <w:bottom w:val="none" w:sz="0" w:space="0" w:color="auto"/>
                            <w:right w:val="none" w:sz="0" w:space="0" w:color="auto"/>
                          </w:divBdr>
                          <w:divsChild>
                            <w:div w:id="613563861">
                              <w:marLeft w:val="0"/>
                              <w:marRight w:val="0"/>
                              <w:marTop w:val="0"/>
                              <w:marBottom w:val="0"/>
                              <w:divBdr>
                                <w:top w:val="none" w:sz="0" w:space="0" w:color="auto"/>
                                <w:left w:val="none" w:sz="0" w:space="0" w:color="auto"/>
                                <w:bottom w:val="none" w:sz="0" w:space="0" w:color="auto"/>
                                <w:right w:val="none" w:sz="0" w:space="0" w:color="auto"/>
                              </w:divBdr>
                              <w:divsChild>
                                <w:div w:id="1847554577">
                                  <w:marLeft w:val="0"/>
                                  <w:marRight w:val="0"/>
                                  <w:marTop w:val="0"/>
                                  <w:marBottom w:val="0"/>
                                  <w:divBdr>
                                    <w:top w:val="none" w:sz="0" w:space="0" w:color="auto"/>
                                    <w:left w:val="none" w:sz="0" w:space="0" w:color="auto"/>
                                    <w:bottom w:val="none" w:sz="0" w:space="0" w:color="auto"/>
                                    <w:right w:val="none" w:sz="0" w:space="0" w:color="auto"/>
                                  </w:divBdr>
                                  <w:divsChild>
                                    <w:div w:id="7158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0190444">
                      <w:marLeft w:val="0"/>
                      <w:marRight w:val="0"/>
                      <w:marTop w:val="0"/>
                      <w:marBottom w:val="0"/>
                      <w:divBdr>
                        <w:top w:val="none" w:sz="0" w:space="0" w:color="auto"/>
                        <w:left w:val="none" w:sz="0" w:space="0" w:color="auto"/>
                        <w:bottom w:val="none" w:sz="0" w:space="0" w:color="auto"/>
                        <w:right w:val="none" w:sz="0" w:space="0" w:color="auto"/>
                      </w:divBdr>
                      <w:divsChild>
                        <w:div w:id="135202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6331810">
      <w:bodyDiv w:val="1"/>
      <w:marLeft w:val="0"/>
      <w:marRight w:val="0"/>
      <w:marTop w:val="0"/>
      <w:marBottom w:val="0"/>
      <w:divBdr>
        <w:top w:val="none" w:sz="0" w:space="0" w:color="auto"/>
        <w:left w:val="none" w:sz="0" w:space="0" w:color="auto"/>
        <w:bottom w:val="none" w:sz="0" w:space="0" w:color="auto"/>
        <w:right w:val="none" w:sz="0" w:space="0" w:color="auto"/>
      </w:divBdr>
    </w:div>
    <w:div w:id="1913195779">
      <w:bodyDiv w:val="1"/>
      <w:marLeft w:val="0"/>
      <w:marRight w:val="0"/>
      <w:marTop w:val="0"/>
      <w:marBottom w:val="0"/>
      <w:divBdr>
        <w:top w:val="none" w:sz="0" w:space="0" w:color="auto"/>
        <w:left w:val="none" w:sz="0" w:space="0" w:color="auto"/>
        <w:bottom w:val="none" w:sz="0" w:space="0" w:color="auto"/>
        <w:right w:val="none" w:sz="0" w:space="0" w:color="auto"/>
      </w:divBdr>
    </w:div>
    <w:div w:id="1925335976">
      <w:bodyDiv w:val="1"/>
      <w:marLeft w:val="0"/>
      <w:marRight w:val="0"/>
      <w:marTop w:val="0"/>
      <w:marBottom w:val="0"/>
      <w:divBdr>
        <w:top w:val="none" w:sz="0" w:space="0" w:color="auto"/>
        <w:left w:val="none" w:sz="0" w:space="0" w:color="auto"/>
        <w:bottom w:val="none" w:sz="0" w:space="0" w:color="auto"/>
        <w:right w:val="none" w:sz="0" w:space="0" w:color="auto"/>
      </w:divBdr>
    </w:div>
    <w:div w:id="1939674092">
      <w:bodyDiv w:val="1"/>
      <w:marLeft w:val="0"/>
      <w:marRight w:val="0"/>
      <w:marTop w:val="0"/>
      <w:marBottom w:val="0"/>
      <w:divBdr>
        <w:top w:val="none" w:sz="0" w:space="0" w:color="auto"/>
        <w:left w:val="none" w:sz="0" w:space="0" w:color="auto"/>
        <w:bottom w:val="none" w:sz="0" w:space="0" w:color="auto"/>
        <w:right w:val="none" w:sz="0" w:space="0" w:color="auto"/>
      </w:divBdr>
      <w:divsChild>
        <w:div w:id="1307662855">
          <w:marLeft w:val="0"/>
          <w:marRight w:val="0"/>
          <w:marTop w:val="0"/>
          <w:marBottom w:val="0"/>
          <w:divBdr>
            <w:top w:val="none" w:sz="0" w:space="0" w:color="auto"/>
            <w:left w:val="none" w:sz="0" w:space="0" w:color="auto"/>
            <w:bottom w:val="none" w:sz="0" w:space="0" w:color="auto"/>
            <w:right w:val="none" w:sz="0" w:space="0" w:color="auto"/>
          </w:divBdr>
          <w:divsChild>
            <w:div w:id="502429843">
              <w:marLeft w:val="0"/>
              <w:marRight w:val="0"/>
              <w:marTop w:val="0"/>
              <w:marBottom w:val="0"/>
              <w:divBdr>
                <w:top w:val="none" w:sz="0" w:space="0" w:color="auto"/>
                <w:left w:val="none" w:sz="0" w:space="0" w:color="auto"/>
                <w:bottom w:val="none" w:sz="0" w:space="0" w:color="auto"/>
                <w:right w:val="none" w:sz="0" w:space="0" w:color="auto"/>
              </w:divBdr>
              <w:divsChild>
                <w:div w:id="615139904">
                  <w:marLeft w:val="0"/>
                  <w:marRight w:val="0"/>
                  <w:marTop w:val="0"/>
                  <w:marBottom w:val="0"/>
                  <w:divBdr>
                    <w:top w:val="none" w:sz="0" w:space="0" w:color="auto"/>
                    <w:left w:val="none" w:sz="0" w:space="0" w:color="auto"/>
                    <w:bottom w:val="none" w:sz="0" w:space="0" w:color="auto"/>
                    <w:right w:val="none" w:sz="0" w:space="0" w:color="auto"/>
                  </w:divBdr>
                  <w:divsChild>
                    <w:div w:id="968706391">
                      <w:marLeft w:val="0"/>
                      <w:marRight w:val="0"/>
                      <w:marTop w:val="0"/>
                      <w:marBottom w:val="0"/>
                      <w:divBdr>
                        <w:top w:val="none" w:sz="0" w:space="0" w:color="auto"/>
                        <w:left w:val="none" w:sz="0" w:space="0" w:color="auto"/>
                        <w:bottom w:val="none" w:sz="0" w:space="0" w:color="auto"/>
                        <w:right w:val="none" w:sz="0" w:space="0" w:color="auto"/>
                      </w:divBdr>
                      <w:divsChild>
                        <w:div w:id="2016573456">
                          <w:marLeft w:val="0"/>
                          <w:marRight w:val="0"/>
                          <w:marTop w:val="0"/>
                          <w:marBottom w:val="0"/>
                          <w:divBdr>
                            <w:top w:val="none" w:sz="0" w:space="0" w:color="auto"/>
                            <w:left w:val="none" w:sz="0" w:space="0" w:color="auto"/>
                            <w:bottom w:val="none" w:sz="0" w:space="0" w:color="auto"/>
                            <w:right w:val="none" w:sz="0" w:space="0" w:color="auto"/>
                          </w:divBdr>
                          <w:divsChild>
                            <w:div w:id="720446703">
                              <w:marLeft w:val="0"/>
                              <w:marRight w:val="0"/>
                              <w:marTop w:val="0"/>
                              <w:marBottom w:val="0"/>
                              <w:divBdr>
                                <w:top w:val="none" w:sz="0" w:space="0" w:color="auto"/>
                                <w:left w:val="none" w:sz="0" w:space="0" w:color="auto"/>
                                <w:bottom w:val="none" w:sz="0" w:space="0" w:color="auto"/>
                                <w:right w:val="none" w:sz="0" w:space="0" w:color="auto"/>
                              </w:divBdr>
                              <w:divsChild>
                                <w:div w:id="1533614126">
                                  <w:marLeft w:val="0"/>
                                  <w:marRight w:val="0"/>
                                  <w:marTop w:val="0"/>
                                  <w:marBottom w:val="0"/>
                                  <w:divBdr>
                                    <w:top w:val="none" w:sz="0" w:space="0" w:color="auto"/>
                                    <w:left w:val="none" w:sz="0" w:space="0" w:color="auto"/>
                                    <w:bottom w:val="none" w:sz="0" w:space="0" w:color="auto"/>
                                    <w:right w:val="none" w:sz="0" w:space="0" w:color="auto"/>
                                  </w:divBdr>
                                  <w:divsChild>
                                    <w:div w:id="122598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821367">
                      <w:marLeft w:val="0"/>
                      <w:marRight w:val="0"/>
                      <w:marTop w:val="0"/>
                      <w:marBottom w:val="0"/>
                      <w:divBdr>
                        <w:top w:val="none" w:sz="0" w:space="0" w:color="auto"/>
                        <w:left w:val="none" w:sz="0" w:space="0" w:color="auto"/>
                        <w:bottom w:val="none" w:sz="0" w:space="0" w:color="auto"/>
                        <w:right w:val="none" w:sz="0" w:space="0" w:color="auto"/>
                      </w:divBdr>
                      <w:divsChild>
                        <w:div w:id="47272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3247856">
      <w:bodyDiv w:val="1"/>
      <w:marLeft w:val="0"/>
      <w:marRight w:val="0"/>
      <w:marTop w:val="0"/>
      <w:marBottom w:val="0"/>
      <w:divBdr>
        <w:top w:val="none" w:sz="0" w:space="0" w:color="auto"/>
        <w:left w:val="none" w:sz="0" w:space="0" w:color="auto"/>
        <w:bottom w:val="none" w:sz="0" w:space="0" w:color="auto"/>
        <w:right w:val="none" w:sz="0" w:space="0" w:color="auto"/>
      </w:divBdr>
    </w:div>
    <w:div w:id="2078163961">
      <w:bodyDiv w:val="1"/>
      <w:marLeft w:val="0"/>
      <w:marRight w:val="0"/>
      <w:marTop w:val="0"/>
      <w:marBottom w:val="0"/>
      <w:divBdr>
        <w:top w:val="none" w:sz="0" w:space="0" w:color="auto"/>
        <w:left w:val="none" w:sz="0" w:space="0" w:color="auto"/>
        <w:bottom w:val="none" w:sz="0" w:space="0" w:color="auto"/>
        <w:right w:val="none" w:sz="0" w:space="0" w:color="auto"/>
      </w:divBdr>
    </w:div>
    <w:div w:id="2096125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data.worldbank.org/country/thailand" TargetMode="External"/><Relationship Id="rId2" Type="http://schemas.openxmlformats.org/officeDocument/2006/relationships/hyperlink" Target="https://www.pemsea.org/resources/publications/reports/state-oceans-and-coasts-thailand" TargetMode="External"/><Relationship Id="rId1" Type="http://schemas.openxmlformats.org/officeDocument/2006/relationships/hyperlink" Target="https://www.pemsea.org/sites/default/files/2023-12/NSOC%20Thailand%202018%20%28FINAL%29%2012032020.pdf"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chart" Target="charts/chart1.xml"/><Relationship Id="rId18" Type="http://schemas.openxmlformats.org/officeDocument/2006/relationships/chart" Target="charts/chart4.xml"/><Relationship Id="rId26" Type="http://schemas.openxmlformats.org/officeDocument/2006/relationships/hyperlink" Target="https://www.nesdc.go.th/en/info/gross-regional-and-provincial-product-gpp/"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yperlink" Target="https://www.nesdc.go.th/main.php?filename=gross_regional" TargetMode="External"/><Relationship Id="rId25" Type="http://schemas.openxmlformats.org/officeDocument/2006/relationships/hyperlink" Target="https://www.dbd.go.th/common-article/24"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www.bb.go.th/index.php" TargetMode="External"/><Relationship Id="rId29" Type="http://schemas.openxmlformats.org/officeDocument/2006/relationships/hyperlink" Target="https://datahelpdesk.worldbank.org/knowledgebase/articles/906519-world-bank-country-and-lending-group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bb.go.th/index.php"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epi.yale.edu/" TargetMode="External"/><Relationship Id="rId28" Type="http://schemas.openxmlformats.org/officeDocument/2006/relationships/hyperlink" Target="https://databank.worldbank.org/source/world-development-indicators" TargetMode="External"/><Relationship Id="rId10" Type="http://schemas.microsoft.com/office/2016/09/relationships/commentsIds" Target="commentsIds.xml"/><Relationship Id="rId19" Type="http://schemas.openxmlformats.org/officeDocument/2006/relationships/chart" Target="charts/chart5.xml"/><Relationship Id="rId31"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chart" Target="charts/chart2.xml"/><Relationship Id="rId22" Type="http://schemas.openxmlformats.org/officeDocument/2006/relationships/image" Target="media/image3.png"/><Relationship Id="rId27" Type="http://schemas.openxmlformats.org/officeDocument/2006/relationships/hyperlink" Target="https://ipstat.boi.go.th/pubrpt/index.php"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umboA\Downloads\World%20development%20indocator%20for%20SC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umboA\Downloads\World%20development%20indocator%20for%20SC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umboA\Desktop\south%20china%20seas%20indicators\GPP.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JumboA\Downloads\World%20development%20indocator%20for%20SC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umboA\Desktop\south%20china%20seas%20indicators\&#3591;&#3610;&#3611;&#3619;&#3632;&#3617;&#3634;&#3603;%20DMCR.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577115232259207E-2"/>
          <c:y val="7.0303030303030298E-2"/>
          <c:w val="0.88487054492931705"/>
          <c:h val="0.87994750656167975"/>
        </c:manualLayout>
      </c:layout>
      <c:barChart>
        <c:barDir val="col"/>
        <c:grouping val="clustered"/>
        <c:varyColors val="0"/>
        <c:ser>
          <c:idx val="0"/>
          <c:order val="1"/>
          <c:tx>
            <c:strRef>
              <c:f>Sheet1!$B$1</c:f>
              <c:strCache>
                <c:ptCount val="1"/>
                <c:pt idx="0">
                  <c:v>GDP (current million US$)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Sheet1!$B$2:$B$26</c:f>
              <c:numCache>
                <c:formatCode>0.0</c:formatCode>
                <c:ptCount val="25"/>
                <c:pt idx="0">
                  <c:v>126.39222425379383</c:v>
                </c:pt>
                <c:pt idx="1">
                  <c:v>120.29647618040192</c:v>
                </c:pt>
                <c:pt idx="2">
                  <c:v>134.30090440002175</c:v>
                </c:pt>
                <c:pt idx="3">
                  <c:v>152.28061524588742</c:v>
                </c:pt>
                <c:pt idx="4">
                  <c:v>172.89568515465817</c:v>
                </c:pt>
                <c:pt idx="5">
                  <c:v>189.31840846859521</c:v>
                </c:pt>
                <c:pt idx="6">
                  <c:v>221.75829602162062</c:v>
                </c:pt>
                <c:pt idx="7">
                  <c:v>262.94262145505292</c:v>
                </c:pt>
                <c:pt idx="8">
                  <c:v>291.38298243095147</c:v>
                </c:pt>
                <c:pt idx="9">
                  <c:v>281.71063018731911</c:v>
                </c:pt>
                <c:pt idx="10">
                  <c:v>341.10476632916965</c:v>
                </c:pt>
                <c:pt idx="11">
                  <c:v>370.81873962362192</c:v>
                </c:pt>
                <c:pt idx="12">
                  <c:v>397.5583252785791</c:v>
                </c:pt>
                <c:pt idx="13">
                  <c:v>420.33365459254708</c:v>
                </c:pt>
                <c:pt idx="14">
                  <c:v>407.33904019765129</c:v>
                </c:pt>
                <c:pt idx="15">
                  <c:v>401.29623822808389</c:v>
                </c:pt>
                <c:pt idx="16">
                  <c:v>413.36634974750808</c:v>
                </c:pt>
                <c:pt idx="17">
                  <c:v>456.3568135367637</c:v>
                </c:pt>
                <c:pt idx="18">
                  <c:v>506.7542084044847</c:v>
                </c:pt>
                <c:pt idx="19">
                  <c:v>543.97669179388583</c:v>
                </c:pt>
                <c:pt idx="20">
                  <c:v>500.46189848024551</c:v>
                </c:pt>
                <c:pt idx="21">
                  <c:v>506.1946687899366</c:v>
                </c:pt>
                <c:pt idx="22">
                  <c:v>495.64469758766057</c:v>
                </c:pt>
                <c:pt idx="23">
                  <c:v>515.90628394093267</c:v>
                </c:pt>
                <c:pt idx="24">
                  <c:v>526.41126542768257</c:v>
                </c:pt>
              </c:numCache>
            </c:numRef>
          </c:val>
          <c:extLst>
            <c:ext xmlns:c16="http://schemas.microsoft.com/office/drawing/2014/chart" uri="{C3380CC4-5D6E-409C-BE32-E72D297353CC}">
              <c16:uniqueId val="{00000000-0CF6-40E0-8E8D-32A345839462}"/>
            </c:ext>
          </c:extLst>
        </c:ser>
        <c:dLbls>
          <c:showLegendKey val="0"/>
          <c:showVal val="0"/>
          <c:showCatName val="0"/>
          <c:showSerName val="0"/>
          <c:showPercent val="0"/>
          <c:showBubbleSize val="0"/>
        </c:dLbls>
        <c:gapWidth val="150"/>
        <c:axId val="173240207"/>
        <c:axId val="76897055"/>
      </c:barChart>
      <c:lineChart>
        <c:grouping val="standard"/>
        <c:varyColors val="0"/>
        <c:ser>
          <c:idx val="1"/>
          <c:order val="0"/>
          <c:tx>
            <c:strRef>
              <c:f>Sheet1!$C$1</c:f>
              <c:strCache>
                <c:ptCount val="1"/>
                <c:pt idx="0">
                  <c:v>GDP growth (annual %)</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9"/>
              <c:layout>
                <c:manualLayout>
                  <c:x val="-2.4029616480285593E-2"/>
                  <c:y val="-5.57980207469565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CF6-40E0-8E8D-32A345839462}"/>
                </c:ext>
              </c:extLst>
            </c:dLbl>
            <c:dLbl>
              <c:idx val="11"/>
              <c:layout>
                <c:manualLayout>
                  <c:x val="-1.4065316018344128E-2"/>
                  <c:y val="1.605304624950684E-2"/>
                </c:manualLayout>
              </c:layout>
              <c:dLblPos val="r"/>
              <c:showLegendKey val="0"/>
              <c:showVal val="1"/>
              <c:showCatName val="0"/>
              <c:showSerName val="0"/>
              <c:showPercent val="0"/>
              <c:showBubbleSize val="0"/>
              <c:extLst>
                <c:ext xmlns:c15="http://schemas.microsoft.com/office/drawing/2012/chart" uri="{CE6537A1-D6FC-4f65-9D91-7224C49458BB}">
                  <c15:layout>
                    <c:manualLayout>
                      <c:w val="3.6686257390310811E-2"/>
                      <c:h val="5.7590837508947744E-2"/>
                    </c:manualLayout>
                  </c15:layout>
                </c:ext>
                <c:ext xmlns:c16="http://schemas.microsoft.com/office/drawing/2014/chart" uri="{C3380CC4-5D6E-409C-BE32-E72D297353CC}">
                  <c16:uniqueId val="{00000002-0CF6-40E0-8E8D-32A345839462}"/>
                </c:ext>
              </c:extLst>
            </c:dLbl>
            <c:dLbl>
              <c:idx val="20"/>
              <c:layout>
                <c:manualLayout>
                  <c:x val="-2.5018863145186934E-2"/>
                  <c:y val="-6.7799188737771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CF6-40E0-8E8D-32A345839462}"/>
                </c:ext>
              </c:extLst>
            </c:dLbl>
            <c:spPr>
              <a:noFill/>
              <a:ln>
                <a:noFill/>
              </a:ln>
              <a:effectLst/>
            </c:spPr>
            <c:txPr>
              <a:bodyPr rot="0" spcFirstLastPara="1" vertOverflow="ellipsis" vert="horz" wrap="square" anchor="ctr" anchorCtr="1"/>
              <a:lstStyle/>
              <a:p>
                <a:pPr>
                  <a:defRPr sz="7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Sheet1!$C$2:$C$26</c:f>
              <c:numCache>
                <c:formatCode>0.0</c:formatCode>
                <c:ptCount val="25"/>
                <c:pt idx="0">
                  <c:v>4.4552470433501412</c:v>
                </c:pt>
                <c:pt idx="1">
                  <c:v>3.4442490096837162</c:v>
                </c:pt>
                <c:pt idx="2">
                  <c:v>6.1490360521003566</c:v>
                </c:pt>
                <c:pt idx="3">
                  <c:v>7.189243303409711</c:v>
                </c:pt>
                <c:pt idx="4">
                  <c:v>6.2893421428579472</c:v>
                </c:pt>
                <c:pt idx="5">
                  <c:v>4.1876384288433712</c:v>
                </c:pt>
                <c:pt idx="6">
                  <c:v>4.967810892461074</c:v>
                </c:pt>
                <c:pt idx="7">
                  <c:v>5.4351516905080928</c:v>
                </c:pt>
                <c:pt idx="8">
                  <c:v>1.7256988486633418</c:v>
                </c:pt>
                <c:pt idx="9">
                  <c:v>-0.69061823230057939</c:v>
                </c:pt>
                <c:pt idx="10">
                  <c:v>7.513390532616242</c:v>
                </c:pt>
                <c:pt idx="11">
                  <c:v>0.84013208305333364</c:v>
                </c:pt>
                <c:pt idx="12">
                  <c:v>7.2427962024964216</c:v>
                </c:pt>
                <c:pt idx="13">
                  <c:v>2.6874955632055588</c:v>
                </c:pt>
                <c:pt idx="14">
                  <c:v>0.98446886361942632</c:v>
                </c:pt>
                <c:pt idx="15">
                  <c:v>3.1340472491163496</c:v>
                </c:pt>
                <c:pt idx="16">
                  <c:v>3.4351577169218217</c:v>
                </c:pt>
                <c:pt idx="17">
                  <c:v>4.1776810321000966</c:v>
                </c:pt>
                <c:pt idx="18">
                  <c:v>4.222870287460708</c:v>
                </c:pt>
                <c:pt idx="19">
                  <c:v>2.1145577962827815</c:v>
                </c:pt>
                <c:pt idx="20">
                  <c:v>-6.0500384685162203</c:v>
                </c:pt>
                <c:pt idx="21">
                  <c:v>1.5521660842664744</c:v>
                </c:pt>
                <c:pt idx="22">
                  <c:v>2.5803787470982655</c:v>
                </c:pt>
                <c:pt idx="23">
                  <c:v>2.0177509532832687</c:v>
                </c:pt>
                <c:pt idx="24">
                  <c:v>2.5259617577149527</c:v>
                </c:pt>
              </c:numCache>
            </c:numRef>
          </c:val>
          <c:smooth val="0"/>
          <c:extLst>
            <c:ext xmlns:c16="http://schemas.microsoft.com/office/drawing/2014/chart" uri="{C3380CC4-5D6E-409C-BE32-E72D297353CC}">
              <c16:uniqueId val="{00000004-0CF6-40E0-8E8D-32A345839462}"/>
            </c:ext>
          </c:extLst>
        </c:ser>
        <c:ser>
          <c:idx val="2"/>
          <c:order val="2"/>
          <c:tx>
            <c:strRef>
              <c:f>Sheet1!$D$1</c:f>
              <c:strCache>
                <c:ptCount val="1"/>
                <c:pt idx="0">
                  <c:v>Inflation, consumer prices (annual %)</c:v>
                </c:pt>
              </c:strCache>
            </c:strRef>
          </c:tx>
          <c:spPr>
            <a:ln w="28575" cap="rnd">
              <a:solidFill>
                <a:schemeClr val="tx1"/>
              </a:solidFill>
              <a:round/>
            </a:ln>
            <a:effectLst/>
          </c:spPr>
          <c:marker>
            <c:symbol val="square"/>
            <c:size val="5"/>
            <c:spPr>
              <a:solidFill>
                <a:schemeClr val="tx1"/>
              </a:solidFill>
              <a:ln w="9525">
                <a:solidFill>
                  <a:schemeClr val="accent3"/>
                </a:solidFill>
              </a:ln>
              <a:effectLst/>
            </c:spPr>
          </c:marker>
          <c:dLbls>
            <c:dLbl>
              <c:idx val="11"/>
              <c:layout>
                <c:manualLayout>
                  <c:x val="-1.9426052887193495E-2"/>
                  <c:y val="-2.82101438490305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CF6-40E0-8E8D-32A345839462}"/>
                </c:ext>
              </c:extLst>
            </c:dLbl>
            <c:spPr>
              <a:noFill/>
              <a:ln>
                <a:noFill/>
              </a:ln>
              <a:effectLst/>
            </c:spPr>
            <c:txPr>
              <a:bodyPr rot="0" spcFirstLastPara="1" vertOverflow="ellipsis" vert="horz" wrap="square" anchor="ctr" anchorCtr="1"/>
              <a:lstStyle/>
              <a:p>
                <a:pPr>
                  <a:defRPr sz="7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Sheet1!$D$2:$D$26</c:f>
              <c:numCache>
                <c:formatCode>General</c:formatCode>
                <c:ptCount val="25"/>
                <c:pt idx="0">
                  <c:v>1.3</c:v>
                </c:pt>
                <c:pt idx="1">
                  <c:v>2.2000000000000002</c:v>
                </c:pt>
                <c:pt idx="2">
                  <c:v>1.6</c:v>
                </c:pt>
                <c:pt idx="3">
                  <c:v>3.3</c:v>
                </c:pt>
                <c:pt idx="4">
                  <c:v>3.2</c:v>
                </c:pt>
                <c:pt idx="5">
                  <c:v>4.5</c:v>
                </c:pt>
                <c:pt idx="6">
                  <c:v>4.5999999999999996</c:v>
                </c:pt>
                <c:pt idx="7">
                  <c:v>2.2000000000000002</c:v>
                </c:pt>
                <c:pt idx="8">
                  <c:v>5.5</c:v>
                </c:pt>
                <c:pt idx="9">
                  <c:v>-0.9</c:v>
                </c:pt>
                <c:pt idx="10">
                  <c:v>3.3</c:v>
                </c:pt>
                <c:pt idx="11" formatCode="0.0">
                  <c:v>3.8087905813963281</c:v>
                </c:pt>
                <c:pt idx="12" formatCode="0.0">
                  <c:v>3.014899503349882</c:v>
                </c:pt>
                <c:pt idx="13" formatCode="0.0">
                  <c:v>2.1848861853068109</c:v>
                </c:pt>
                <c:pt idx="14" formatCode="0.0">
                  <c:v>1.8951418189878471</c:v>
                </c:pt>
                <c:pt idx="15" formatCode="0.0">
                  <c:v>-0.90042496329157995</c:v>
                </c:pt>
                <c:pt idx="16" formatCode="0.0">
                  <c:v>0.18814970444817589</c:v>
                </c:pt>
                <c:pt idx="17" formatCode="0.0">
                  <c:v>0.66563189313511029</c:v>
                </c:pt>
                <c:pt idx="18" formatCode="0.0">
                  <c:v>1.0638975418302501</c:v>
                </c:pt>
                <c:pt idx="19" formatCode="0.0">
                  <c:v>0.70672860131427506</c:v>
                </c:pt>
                <c:pt idx="20" formatCode="0.0">
                  <c:v>-0.84593714735706427</c:v>
                </c:pt>
                <c:pt idx="21" formatCode="0.0">
                  <c:v>1.230395413183839</c:v>
                </c:pt>
                <c:pt idx="22" formatCode="0.0">
                  <c:v>-1.6106803048669029</c:v>
                </c:pt>
                <c:pt idx="23" formatCode="0.0">
                  <c:v>8.4780517442154579</c:v>
                </c:pt>
                <c:pt idx="24" formatCode="0.0">
                  <c:v>1.365805407980397</c:v>
                </c:pt>
              </c:numCache>
            </c:numRef>
          </c:val>
          <c:smooth val="0"/>
          <c:extLst>
            <c:ext xmlns:c16="http://schemas.microsoft.com/office/drawing/2014/chart" uri="{C3380CC4-5D6E-409C-BE32-E72D297353CC}">
              <c16:uniqueId val="{00000006-0CF6-40E0-8E8D-32A345839462}"/>
            </c:ext>
          </c:extLst>
        </c:ser>
        <c:dLbls>
          <c:showLegendKey val="0"/>
          <c:showVal val="0"/>
          <c:showCatName val="0"/>
          <c:showSerName val="0"/>
          <c:showPercent val="0"/>
          <c:showBubbleSize val="0"/>
        </c:dLbls>
        <c:marker val="1"/>
        <c:smooth val="0"/>
        <c:axId val="786371839"/>
        <c:axId val="382204287"/>
      </c:lineChart>
      <c:catAx>
        <c:axId val="1732402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76897055"/>
        <c:crosses val="autoZero"/>
        <c:auto val="1"/>
        <c:lblAlgn val="ctr"/>
        <c:lblOffset val="100"/>
        <c:noMultiLvlLbl val="0"/>
      </c:catAx>
      <c:valAx>
        <c:axId val="76897055"/>
        <c:scaling>
          <c:orientation val="minMax"/>
          <c:max val="2000"/>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GDP (million US$)</a:t>
                </a:r>
              </a:p>
            </c:rich>
          </c:tx>
          <c:layout>
            <c:manualLayout>
              <c:xMode val="edge"/>
              <c:yMode val="edge"/>
              <c:x val="5.0597692228923118E-3"/>
              <c:y val="1.0529420186113095E-2"/>
            </c:manualLayout>
          </c:layout>
          <c:overlay val="0"/>
          <c:spPr>
            <a:noFill/>
            <a:ln>
              <a:noFill/>
            </a:ln>
            <a:effectLst/>
          </c:spPr>
          <c:txPr>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173240207"/>
        <c:crosses val="autoZero"/>
        <c:crossBetween val="between"/>
      </c:valAx>
      <c:valAx>
        <c:axId val="382204287"/>
        <c:scaling>
          <c:orientation val="minMax"/>
          <c:max val="15"/>
          <c:min val="-20"/>
        </c:scaling>
        <c:delete val="0"/>
        <c:axPos val="r"/>
        <c:title>
          <c:tx>
            <c:rich>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GDP Growth  and Inflation (annual %)</a:t>
                </a:r>
              </a:p>
            </c:rich>
          </c:tx>
          <c:layout>
            <c:manualLayout>
              <c:xMode val="edge"/>
              <c:yMode val="edge"/>
              <c:x val="0.81951785357297169"/>
              <c:y val="4.4643655202249101E-4"/>
            </c:manualLayout>
          </c:layout>
          <c:overlay val="0"/>
          <c:spPr>
            <a:noFill/>
            <a:ln>
              <a:noFill/>
            </a:ln>
            <a:effectLst/>
          </c:spPr>
          <c:txPr>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786371839"/>
        <c:crosses val="max"/>
        <c:crossBetween val="between"/>
      </c:valAx>
      <c:catAx>
        <c:axId val="786371839"/>
        <c:scaling>
          <c:orientation val="minMax"/>
        </c:scaling>
        <c:delete val="1"/>
        <c:axPos val="b"/>
        <c:numFmt formatCode="General" sourceLinked="1"/>
        <c:majorTickMark val="out"/>
        <c:minorTickMark val="none"/>
        <c:tickLblPos val="nextTo"/>
        <c:crossAx val="382204287"/>
        <c:crosses val="autoZero"/>
        <c:auto val="1"/>
        <c:lblAlgn val="ctr"/>
        <c:lblOffset val="100"/>
        <c:noMultiLvlLbl val="0"/>
      </c:catAx>
      <c:spPr>
        <a:noFill/>
        <a:ln>
          <a:noFill/>
        </a:ln>
        <a:effectLst/>
      </c:spPr>
    </c:plotArea>
    <c:legend>
      <c:legendPos val="r"/>
      <c:layout>
        <c:manualLayout>
          <c:xMode val="edge"/>
          <c:yMode val="edge"/>
          <c:x val="0.10546055664223215"/>
          <c:y val="0.55510684800763554"/>
          <c:w val="0.46503918995152121"/>
          <c:h val="0.10796793128131711"/>
        </c:manualLayout>
      </c:layout>
      <c:overlay val="0"/>
      <c:spPr>
        <a:noFill/>
        <a:ln>
          <a:noFill/>
        </a:ln>
        <a:effectLst/>
      </c:spPr>
      <c:txPr>
        <a:bodyPr rot="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legend>
    <c:plotVisOnly val="1"/>
    <c:dispBlanksAs val="gap"/>
    <c:showDLblsOverMax val="0"/>
  </c:chart>
  <c:spPr>
    <a:solidFill>
      <a:schemeClr val="bg1"/>
    </a:solidFill>
    <a:ln w="9525" cap="flat" cmpd="sng" algn="ctr">
      <a:noFill/>
      <a:round/>
    </a:ln>
    <a:effectLst/>
  </c:spPr>
  <c:txPr>
    <a:bodyPr/>
    <a:lstStyle/>
    <a:p>
      <a:pPr>
        <a:defRPr sz="700" b="1">
          <a:latin typeface="Arial" panose="020B0604020202020204" pitchFamily="34" charset="0"/>
          <a:cs typeface="Arial" panose="020B0604020202020204" pitchFamily="34" charset="0"/>
        </a:defRPr>
      </a:pPr>
      <a:endParaRPr lang="th-TH"/>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628696073679105E-2"/>
          <c:y val="7.8926598263614839E-2"/>
          <c:w val="0.87433343129733587"/>
          <c:h val="0.85311453761390477"/>
        </c:manualLayout>
      </c:layout>
      <c:lineChart>
        <c:grouping val="standard"/>
        <c:varyColors val="0"/>
        <c:ser>
          <c:idx val="0"/>
          <c:order val="0"/>
          <c:tx>
            <c:strRef>
              <c:f>Sheet1!$E$1</c:f>
              <c:strCache>
                <c:ptCount val="1"/>
                <c:pt idx="0">
                  <c:v>GDP per capita (current US$)</c:v>
                </c:pt>
              </c:strCache>
            </c:strRef>
          </c:tx>
          <c:spPr>
            <a:ln w="28575" cap="rnd">
              <a:solidFill>
                <a:schemeClr val="accent1"/>
              </a:solidFill>
              <a:round/>
            </a:ln>
            <a:effectLst/>
          </c:spPr>
          <c:marker>
            <c:symbol val="circle"/>
            <c:size val="7"/>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Sheet1!$E$2:$E$26</c:f>
              <c:numCache>
                <c:formatCode>_-* #,##0.0_-;\-* #,##0.0_-;_-* "-"??_-;_-@_-</c:formatCode>
                <c:ptCount val="25"/>
                <c:pt idx="0">
                  <c:v>2005.9769451423419</c:v>
                </c:pt>
                <c:pt idx="1">
                  <c:v>1889.934324671445</c:v>
                </c:pt>
                <c:pt idx="2">
                  <c:v>2089.7518311155445</c:v>
                </c:pt>
                <c:pt idx="3">
                  <c:v>2347.5400128606598</c:v>
                </c:pt>
                <c:pt idx="4">
                  <c:v>2641.5626871785717</c:v>
                </c:pt>
                <c:pt idx="5">
                  <c:v>2867.7038343606159</c:v>
                </c:pt>
                <c:pt idx="6">
                  <c:v>3331.3204351177264</c:v>
                </c:pt>
                <c:pt idx="7">
                  <c:v>3918.5281743458054</c:v>
                </c:pt>
                <c:pt idx="8">
                  <c:v>4309.1350929298624</c:v>
                </c:pt>
                <c:pt idx="9">
                  <c:v>4135.4398695281852</c:v>
                </c:pt>
                <c:pt idx="10">
                  <c:v>4973.862888237778</c:v>
                </c:pt>
                <c:pt idx="11">
                  <c:v>5373.6232832897967</c:v>
                </c:pt>
                <c:pt idx="12">
                  <c:v>5725.5280283546335</c:v>
                </c:pt>
                <c:pt idx="13">
                  <c:v>6018.0824472925487</c:v>
                </c:pt>
                <c:pt idx="14">
                  <c:v>5801.1978916204998</c:v>
                </c:pt>
                <c:pt idx="15">
                  <c:v>5688.8533539788423</c:v>
                </c:pt>
                <c:pt idx="16">
                  <c:v>5833.5771561709844</c:v>
                </c:pt>
                <c:pt idx="17">
                  <c:v>6413.0918253034333</c:v>
                </c:pt>
                <c:pt idx="18">
                  <c:v>7099.7765008145752</c:v>
                </c:pt>
                <c:pt idx="19">
                  <c:v>7605.696577977591</c:v>
                </c:pt>
                <c:pt idx="20">
                  <c:v>6985.6439389257421</c:v>
                </c:pt>
                <c:pt idx="21">
                  <c:v>7057.2075480227895</c:v>
                </c:pt>
                <c:pt idx="22">
                  <c:v>6909.3528181582678</c:v>
                </c:pt>
                <c:pt idx="23">
                  <c:v>7195.1013091944869</c:v>
                </c:pt>
                <c:pt idx="24">
                  <c:v>7345.1356900037672</c:v>
                </c:pt>
              </c:numCache>
            </c:numRef>
          </c:val>
          <c:smooth val="0"/>
          <c:extLst>
            <c:ext xmlns:c16="http://schemas.microsoft.com/office/drawing/2014/chart" uri="{C3380CC4-5D6E-409C-BE32-E72D297353CC}">
              <c16:uniqueId val="{00000000-C91A-4EB9-84D0-35F875BA1BEA}"/>
            </c:ext>
          </c:extLst>
        </c:ser>
        <c:dLbls>
          <c:showLegendKey val="0"/>
          <c:showVal val="0"/>
          <c:showCatName val="0"/>
          <c:showSerName val="0"/>
          <c:showPercent val="0"/>
          <c:showBubbleSize val="0"/>
        </c:dLbls>
        <c:marker val="1"/>
        <c:smooth val="0"/>
        <c:axId val="815643631"/>
        <c:axId val="391698639"/>
      </c:lineChart>
      <c:lineChart>
        <c:grouping val="standard"/>
        <c:varyColors val="0"/>
        <c:ser>
          <c:idx val="1"/>
          <c:order val="1"/>
          <c:tx>
            <c:strRef>
              <c:f>Sheet1!$F$1</c:f>
              <c:strCache>
                <c:ptCount val="1"/>
                <c:pt idx="0">
                  <c:v>Unemployment, total (% of total labor force) (national estimate)</c:v>
                </c:pt>
              </c:strCache>
            </c:strRef>
          </c:tx>
          <c:spPr>
            <a:ln w="28575" cap="rnd">
              <a:solidFill>
                <a:schemeClr val="accent2"/>
              </a:solidFill>
              <a:round/>
            </a:ln>
            <a:effectLst/>
          </c:spPr>
          <c:marker>
            <c:symbol val="circle"/>
            <c:size val="6"/>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Sheet1!$F$2:$F$26</c:f>
              <c:numCache>
                <c:formatCode>0.0</c:formatCode>
                <c:ptCount val="25"/>
                <c:pt idx="0">
                  <c:v>2.3889999999999998</c:v>
                </c:pt>
                <c:pt idx="1">
                  <c:v>2.6</c:v>
                </c:pt>
                <c:pt idx="2">
                  <c:v>0</c:v>
                </c:pt>
                <c:pt idx="3">
                  <c:v>1.54</c:v>
                </c:pt>
                <c:pt idx="4">
                  <c:v>1.51</c:v>
                </c:pt>
                <c:pt idx="5">
                  <c:v>1.35</c:v>
                </c:pt>
                <c:pt idx="6">
                  <c:v>1.22</c:v>
                </c:pt>
                <c:pt idx="7">
                  <c:v>1.18</c:v>
                </c:pt>
                <c:pt idx="8">
                  <c:v>1.18</c:v>
                </c:pt>
                <c:pt idx="9">
                  <c:v>1.49</c:v>
                </c:pt>
                <c:pt idx="10">
                  <c:v>0.622</c:v>
                </c:pt>
                <c:pt idx="11">
                  <c:v>0.66</c:v>
                </c:pt>
                <c:pt idx="12">
                  <c:v>0.57999999999999996</c:v>
                </c:pt>
                <c:pt idx="13">
                  <c:v>0.249</c:v>
                </c:pt>
                <c:pt idx="14">
                  <c:v>0.57599999999999996</c:v>
                </c:pt>
                <c:pt idx="15">
                  <c:v>0.59699999999999998</c:v>
                </c:pt>
                <c:pt idx="16">
                  <c:v>0.68799999999999994</c:v>
                </c:pt>
                <c:pt idx="17">
                  <c:v>0.83</c:v>
                </c:pt>
                <c:pt idx="18">
                  <c:v>0.76500000000000001</c:v>
                </c:pt>
                <c:pt idx="19">
                  <c:v>0.71599999999999997</c:v>
                </c:pt>
                <c:pt idx="20">
                  <c:v>1.099</c:v>
                </c:pt>
                <c:pt idx="21">
                  <c:v>1.2150000000000001</c:v>
                </c:pt>
                <c:pt idx="22">
                  <c:v>0.94</c:v>
                </c:pt>
                <c:pt idx="23">
                  <c:v>0.73299999999999998</c:v>
                </c:pt>
                <c:pt idx="24">
                  <c:v>0.78100000000000003</c:v>
                </c:pt>
              </c:numCache>
            </c:numRef>
          </c:val>
          <c:smooth val="0"/>
          <c:extLst>
            <c:ext xmlns:c16="http://schemas.microsoft.com/office/drawing/2014/chart" uri="{C3380CC4-5D6E-409C-BE32-E72D297353CC}">
              <c16:uniqueId val="{00000001-C91A-4EB9-84D0-35F875BA1BEA}"/>
            </c:ext>
          </c:extLst>
        </c:ser>
        <c:ser>
          <c:idx val="2"/>
          <c:order val="2"/>
          <c:tx>
            <c:strRef>
              <c:f>Sheet1!$G$1</c:f>
              <c:strCache>
                <c:ptCount val="1"/>
                <c:pt idx="0">
                  <c:v>Poverty headcount ratio at $8.30 a day (2021 PPP) (% of population)</c:v>
                </c:pt>
              </c:strCache>
            </c:strRef>
          </c:tx>
          <c:spPr>
            <a:ln w="28575" cap="rnd">
              <a:solidFill>
                <a:schemeClr val="tx1"/>
              </a:solidFill>
              <a:prstDash val="sysDash"/>
              <a:round/>
            </a:ln>
            <a:effectLst/>
          </c:spPr>
          <c:marker>
            <c:symbol val="circle"/>
            <c:size val="6"/>
            <c:spPr>
              <a:solidFill>
                <a:schemeClr val="tx1"/>
              </a:solidFill>
              <a:ln w="9525">
                <a:solidFill>
                  <a:schemeClr val="accent3"/>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Sheet1!$G$2:$G$26</c:f>
              <c:numCache>
                <c:formatCode>General</c:formatCode>
                <c:ptCount val="25"/>
                <c:pt idx="0" formatCode="0.0">
                  <c:v>61.2</c:v>
                </c:pt>
                <c:pt idx="2" formatCode="0.0">
                  <c:v>53.3</c:v>
                </c:pt>
                <c:pt idx="4" formatCode="0.0">
                  <c:v>46.7</c:v>
                </c:pt>
                <c:pt idx="6" formatCode="0.0">
                  <c:v>39.5</c:v>
                </c:pt>
                <c:pt idx="7" formatCode="0.0">
                  <c:v>37.4</c:v>
                </c:pt>
                <c:pt idx="8" formatCode="0.0">
                  <c:v>35.200000000000003</c:v>
                </c:pt>
                <c:pt idx="9" formatCode="0.0">
                  <c:v>32.200000000000003</c:v>
                </c:pt>
                <c:pt idx="10" formatCode="0.0">
                  <c:v>30</c:v>
                </c:pt>
                <c:pt idx="11" formatCode="0.0">
                  <c:v>25.5</c:v>
                </c:pt>
                <c:pt idx="12" formatCode="0.0">
                  <c:v>24.9</c:v>
                </c:pt>
                <c:pt idx="13" formatCode="0.0">
                  <c:v>21.8</c:v>
                </c:pt>
                <c:pt idx="14" formatCode="0.0">
                  <c:v>20.9</c:v>
                </c:pt>
                <c:pt idx="15" formatCode="0.0">
                  <c:v>16.899999999999999</c:v>
                </c:pt>
                <c:pt idx="16" formatCode="0.0">
                  <c:v>17.899999999999999</c:v>
                </c:pt>
                <c:pt idx="17" formatCode="0.0">
                  <c:v>17.2</c:v>
                </c:pt>
                <c:pt idx="18" formatCode="0.0">
                  <c:v>17.8</c:v>
                </c:pt>
                <c:pt idx="19" formatCode="0.0">
                  <c:v>15.2</c:v>
                </c:pt>
                <c:pt idx="20" formatCode="0.0">
                  <c:v>15.1</c:v>
                </c:pt>
                <c:pt idx="21" formatCode="0.0">
                  <c:v>14.1</c:v>
                </c:pt>
                <c:pt idx="22" formatCode="0.0">
                  <c:v>9.9</c:v>
                </c:pt>
                <c:pt idx="23" formatCode="0.0">
                  <c:v>9.9</c:v>
                </c:pt>
              </c:numCache>
            </c:numRef>
          </c:val>
          <c:smooth val="0"/>
          <c:extLst>
            <c:ext xmlns:c16="http://schemas.microsoft.com/office/drawing/2014/chart" uri="{C3380CC4-5D6E-409C-BE32-E72D297353CC}">
              <c16:uniqueId val="{00000002-C91A-4EB9-84D0-35F875BA1BEA}"/>
            </c:ext>
          </c:extLst>
        </c:ser>
        <c:dLbls>
          <c:showLegendKey val="0"/>
          <c:showVal val="0"/>
          <c:showCatName val="0"/>
          <c:showSerName val="0"/>
          <c:showPercent val="0"/>
          <c:showBubbleSize val="0"/>
        </c:dLbls>
        <c:marker val="1"/>
        <c:smooth val="0"/>
        <c:axId val="316501519"/>
        <c:axId val="603535135"/>
      </c:lineChart>
      <c:catAx>
        <c:axId val="8156436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91698639"/>
        <c:crosses val="autoZero"/>
        <c:auto val="1"/>
        <c:lblAlgn val="ctr"/>
        <c:lblOffset val="100"/>
        <c:noMultiLvlLbl val="0"/>
      </c:catAx>
      <c:valAx>
        <c:axId val="3916986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GDP per capita (US$)</a:t>
                </a:r>
              </a:p>
            </c:rich>
          </c:tx>
          <c:layout>
            <c:manualLayout>
              <c:xMode val="edge"/>
              <c:yMode val="edge"/>
              <c:x val="1.1310389400549362E-2"/>
              <c:y val="1.3615148935112372E-2"/>
            </c:manualLayout>
          </c:layout>
          <c:overlay val="0"/>
          <c:spPr>
            <a:noFill/>
            <a:ln>
              <a:noFill/>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815643631"/>
        <c:crosses val="autoZero"/>
        <c:crossBetween val="between"/>
      </c:valAx>
      <c:valAx>
        <c:axId val="603535135"/>
        <c:scaling>
          <c:orientation val="minMax"/>
        </c:scaling>
        <c:delete val="0"/>
        <c:axPos val="r"/>
        <c:title>
          <c:tx>
            <c:rich>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Unemployment rate and Poverty headcount ratio (%)</a:t>
                </a:r>
              </a:p>
            </c:rich>
          </c:tx>
          <c:layout>
            <c:manualLayout>
              <c:xMode val="edge"/>
              <c:yMode val="edge"/>
              <c:x val="0.78072386492163515"/>
              <c:y val="1.7761591955701671E-3"/>
            </c:manualLayout>
          </c:layout>
          <c:overlay val="0"/>
          <c:spPr>
            <a:noFill/>
            <a:ln>
              <a:noFill/>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16501519"/>
        <c:crosses val="max"/>
        <c:crossBetween val="between"/>
      </c:valAx>
      <c:catAx>
        <c:axId val="316501519"/>
        <c:scaling>
          <c:orientation val="minMax"/>
        </c:scaling>
        <c:delete val="1"/>
        <c:axPos val="b"/>
        <c:majorTickMark val="out"/>
        <c:minorTickMark val="none"/>
        <c:tickLblPos val="nextTo"/>
        <c:crossAx val="603535135"/>
        <c:crosses val="autoZero"/>
        <c:auto val="1"/>
        <c:lblAlgn val="ctr"/>
        <c:lblOffset val="100"/>
        <c:noMultiLvlLbl val="0"/>
      </c:catAx>
      <c:spPr>
        <a:noFill/>
        <a:ln>
          <a:noFill/>
        </a:ln>
        <a:effectLst/>
      </c:spPr>
    </c:plotArea>
    <c:legend>
      <c:legendPos val="b"/>
      <c:layout>
        <c:manualLayout>
          <c:xMode val="edge"/>
          <c:yMode val="edge"/>
          <c:x val="0.19752727445213927"/>
          <c:y val="9.4480791675570844E-2"/>
          <c:w val="0.48283812415014393"/>
          <c:h val="0.15028438511991846"/>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legend>
    <c:plotVisOnly val="1"/>
    <c:dispBlanksAs val="gap"/>
    <c:showDLblsOverMax val="0"/>
  </c:chart>
  <c:spPr>
    <a:solidFill>
      <a:schemeClr val="bg1"/>
    </a:solidFill>
    <a:ln w="9525" cap="flat" cmpd="sng" algn="ctr">
      <a:noFill/>
      <a:round/>
    </a:ln>
    <a:effectLst/>
  </c:spPr>
  <c:txPr>
    <a:bodyPr/>
    <a:lstStyle/>
    <a:p>
      <a:pPr>
        <a:defRPr sz="800">
          <a:latin typeface="Arial" panose="020B0604020202020204" pitchFamily="34" charset="0"/>
          <a:cs typeface="Arial" panose="020B0604020202020204" pitchFamily="34" charset="0"/>
        </a:defRPr>
      </a:pPr>
      <a:endParaRPr lang="th-TH"/>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Sheet9!$B$11:$B$12</c:f>
              <c:strCache>
                <c:ptCount val="2"/>
                <c:pt idx="0">
                  <c:v>Whole Kingdom</c:v>
                </c:pt>
              </c:strCache>
            </c:strRef>
          </c:tx>
          <c:spPr>
            <a:solidFill>
              <a:schemeClr val="accent2">
                <a:lumMod val="40000"/>
                <a:lumOff val="60000"/>
              </a:schemeClr>
            </a:solidFill>
            <a:ln>
              <a:noFill/>
            </a:ln>
            <a:effectLst/>
          </c:spPr>
          <c:invertIfNegative val="0"/>
          <c:dLbls>
            <c:delete val="1"/>
          </c:dLbls>
          <c:cat>
            <c:numRef>
              <c:f>Sheet9!$A$13:$A$36</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Sheet9!$B$13:$B$36</c:f>
              <c:numCache>
                <c:formatCode>0.00</c:formatCode>
                <c:ptCount val="24"/>
                <c:pt idx="0">
                  <c:v>126.24056274449703</c:v>
                </c:pt>
                <c:pt idx="1">
                  <c:v>120.16645682879948</c:v>
                </c:pt>
                <c:pt idx="2">
                  <c:v>134.17620929458141</c:v>
                </c:pt>
                <c:pt idx="3">
                  <c:v>152.11420659024802</c:v>
                </c:pt>
                <c:pt idx="4">
                  <c:v>172.69135832061085</c:v>
                </c:pt>
                <c:pt idx="5">
                  <c:v>189.08400792135583</c:v>
                </c:pt>
                <c:pt idx="6">
                  <c:v>210.38434760090155</c:v>
                </c:pt>
                <c:pt idx="7">
                  <c:v>262.62450808535885</c:v>
                </c:pt>
                <c:pt idx="8">
                  <c:v>290.9750898976319</c:v>
                </c:pt>
                <c:pt idx="9">
                  <c:v>281.2656959504659</c:v>
                </c:pt>
                <c:pt idx="10">
                  <c:v>340.62849035660258</c:v>
                </c:pt>
                <c:pt idx="11">
                  <c:v>370.83984910587077</c:v>
                </c:pt>
                <c:pt idx="12">
                  <c:v>397.59794076702065</c:v>
                </c:pt>
                <c:pt idx="13" formatCode="General">
                  <c:v>420.69</c:v>
                </c:pt>
                <c:pt idx="14" formatCode="General">
                  <c:v>407.34</c:v>
                </c:pt>
                <c:pt idx="15" formatCode="General">
                  <c:v>400.8</c:v>
                </c:pt>
                <c:pt idx="16" formatCode="General">
                  <c:v>426</c:v>
                </c:pt>
                <c:pt idx="17" formatCode="General">
                  <c:v>438.9</c:v>
                </c:pt>
                <c:pt idx="18" formatCode="General">
                  <c:v>506.91</c:v>
                </c:pt>
                <c:pt idx="19" formatCode="General">
                  <c:v>544.11</c:v>
                </c:pt>
                <c:pt idx="20" formatCode="General">
                  <c:v>500.36</c:v>
                </c:pt>
                <c:pt idx="21" formatCode="General">
                  <c:v>505.83</c:v>
                </c:pt>
                <c:pt idx="22" formatCode="General">
                  <c:v>495.1</c:v>
                </c:pt>
                <c:pt idx="23" formatCode="General">
                  <c:v>515.94000000000005</c:v>
                </c:pt>
              </c:numCache>
            </c:numRef>
          </c:val>
          <c:extLst>
            <c:ext xmlns:c16="http://schemas.microsoft.com/office/drawing/2014/chart" uri="{C3380CC4-5D6E-409C-BE32-E72D297353CC}">
              <c16:uniqueId val="{00000000-8CD5-4985-9855-780C85C82593}"/>
            </c:ext>
          </c:extLst>
        </c:ser>
        <c:ser>
          <c:idx val="1"/>
          <c:order val="1"/>
          <c:tx>
            <c:strRef>
              <c:f>Sheet9!$C$11:$C$12</c:f>
              <c:strCache>
                <c:ptCount val="2"/>
                <c:pt idx="0">
                  <c:v>Bangkok</c:v>
                </c:pt>
              </c:strCache>
            </c:strRef>
          </c:tx>
          <c:spPr>
            <a:solidFill>
              <a:schemeClr val="accent6">
                <a:lumMod val="60000"/>
                <a:lumOff val="40000"/>
              </a:schemeClr>
            </a:solidFill>
            <a:ln>
              <a:noFill/>
            </a:ln>
            <a:effectLst/>
          </c:spPr>
          <c:invertIfNegative val="0"/>
          <c:dLbls>
            <c:dLbl>
              <c:idx val="0"/>
              <c:tx>
                <c:rich>
                  <a:bodyPr/>
                  <a:lstStyle/>
                  <a:p>
                    <a:fld id="{654711E6-CCE2-4674-92AD-237BD9D52CEE}" type="CELLRANGE">
                      <a:rPr lang="en-US"/>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8CD5-4985-9855-780C85C82593}"/>
                </c:ext>
              </c:extLst>
            </c:dLbl>
            <c:dLbl>
              <c:idx val="1"/>
              <c:tx>
                <c:rich>
                  <a:bodyPr/>
                  <a:lstStyle/>
                  <a:p>
                    <a:fld id="{FE370490-D6D1-4066-B450-35216B9A553E}"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CD5-4985-9855-780C85C82593}"/>
                </c:ext>
              </c:extLst>
            </c:dLbl>
            <c:dLbl>
              <c:idx val="2"/>
              <c:tx>
                <c:rich>
                  <a:bodyPr/>
                  <a:lstStyle/>
                  <a:p>
                    <a:fld id="{CD44A44A-0E9D-4153-822D-699517FF8B4B}"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8CD5-4985-9855-780C85C82593}"/>
                </c:ext>
              </c:extLst>
            </c:dLbl>
            <c:dLbl>
              <c:idx val="3"/>
              <c:tx>
                <c:rich>
                  <a:bodyPr/>
                  <a:lstStyle/>
                  <a:p>
                    <a:fld id="{15739DA4-8D1B-4412-AD67-6B13E1CBDD8A}"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CD5-4985-9855-780C85C82593}"/>
                </c:ext>
              </c:extLst>
            </c:dLbl>
            <c:dLbl>
              <c:idx val="4"/>
              <c:tx>
                <c:rich>
                  <a:bodyPr/>
                  <a:lstStyle/>
                  <a:p>
                    <a:fld id="{AAEBBD29-D80F-4637-89D7-9B855C312E8F}"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8CD5-4985-9855-780C85C82593}"/>
                </c:ext>
              </c:extLst>
            </c:dLbl>
            <c:dLbl>
              <c:idx val="5"/>
              <c:tx>
                <c:rich>
                  <a:bodyPr/>
                  <a:lstStyle/>
                  <a:p>
                    <a:fld id="{CD042507-3E34-41B3-A247-DF28DEB0F32B}"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8CD5-4985-9855-780C85C82593}"/>
                </c:ext>
              </c:extLst>
            </c:dLbl>
            <c:dLbl>
              <c:idx val="6"/>
              <c:tx>
                <c:rich>
                  <a:bodyPr/>
                  <a:lstStyle/>
                  <a:p>
                    <a:fld id="{D9D81F2D-26CD-4F01-8C16-BB4573E1BEF4}"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8CD5-4985-9855-780C85C82593}"/>
                </c:ext>
              </c:extLst>
            </c:dLbl>
            <c:dLbl>
              <c:idx val="7"/>
              <c:tx>
                <c:rich>
                  <a:bodyPr/>
                  <a:lstStyle/>
                  <a:p>
                    <a:fld id="{C72289A6-2A31-440B-887B-F0E5E1AB7B61}"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CD5-4985-9855-780C85C82593}"/>
                </c:ext>
              </c:extLst>
            </c:dLbl>
            <c:dLbl>
              <c:idx val="8"/>
              <c:tx>
                <c:rich>
                  <a:bodyPr/>
                  <a:lstStyle/>
                  <a:p>
                    <a:fld id="{66EA86A8-3BBB-4A69-AE4F-5D50B43B78C0}"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8CD5-4985-9855-780C85C82593}"/>
                </c:ext>
              </c:extLst>
            </c:dLbl>
            <c:dLbl>
              <c:idx val="9"/>
              <c:tx>
                <c:rich>
                  <a:bodyPr/>
                  <a:lstStyle/>
                  <a:p>
                    <a:fld id="{6F38200F-1392-41AE-9619-0837297309DE}"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8CD5-4985-9855-780C85C82593}"/>
                </c:ext>
              </c:extLst>
            </c:dLbl>
            <c:dLbl>
              <c:idx val="10"/>
              <c:tx>
                <c:rich>
                  <a:bodyPr/>
                  <a:lstStyle/>
                  <a:p>
                    <a:fld id="{434C7A4E-B9BF-4884-A80A-BE42351E3ED2}"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CD5-4985-9855-780C85C82593}"/>
                </c:ext>
              </c:extLst>
            </c:dLbl>
            <c:dLbl>
              <c:idx val="11"/>
              <c:tx>
                <c:rich>
                  <a:bodyPr/>
                  <a:lstStyle/>
                  <a:p>
                    <a:fld id="{B08D96A5-3740-4FE1-AD5C-FBF472E9BF0A}"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8CD5-4985-9855-780C85C82593}"/>
                </c:ext>
              </c:extLst>
            </c:dLbl>
            <c:dLbl>
              <c:idx val="12"/>
              <c:tx>
                <c:rich>
                  <a:bodyPr/>
                  <a:lstStyle/>
                  <a:p>
                    <a:fld id="{A83AF88B-CE20-44C9-AF4A-BA7BAD7BB08C}"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8CD5-4985-9855-780C85C82593}"/>
                </c:ext>
              </c:extLst>
            </c:dLbl>
            <c:dLbl>
              <c:idx val="13"/>
              <c:tx>
                <c:rich>
                  <a:bodyPr/>
                  <a:lstStyle/>
                  <a:p>
                    <a:fld id="{AA1F3277-6FC5-4331-B6D2-11F67523607F}"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CD5-4985-9855-780C85C82593}"/>
                </c:ext>
              </c:extLst>
            </c:dLbl>
            <c:dLbl>
              <c:idx val="14"/>
              <c:tx>
                <c:rich>
                  <a:bodyPr/>
                  <a:lstStyle/>
                  <a:p>
                    <a:fld id="{0D3BABA5-FCF5-47EB-87C6-C3124F1141FD}"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8CD5-4985-9855-780C85C82593}"/>
                </c:ext>
              </c:extLst>
            </c:dLbl>
            <c:dLbl>
              <c:idx val="15"/>
              <c:tx>
                <c:rich>
                  <a:bodyPr/>
                  <a:lstStyle/>
                  <a:p>
                    <a:fld id="{EA208C98-E9E3-47F6-A12E-E28BD98B24E2}"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8CD5-4985-9855-780C85C82593}"/>
                </c:ext>
              </c:extLst>
            </c:dLbl>
            <c:dLbl>
              <c:idx val="16"/>
              <c:tx>
                <c:rich>
                  <a:bodyPr/>
                  <a:lstStyle/>
                  <a:p>
                    <a:fld id="{E8CB9412-8DEA-44A4-9C56-CDD2E3863B82}"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8CD5-4985-9855-780C85C82593}"/>
                </c:ext>
              </c:extLst>
            </c:dLbl>
            <c:dLbl>
              <c:idx val="17"/>
              <c:tx>
                <c:rich>
                  <a:bodyPr/>
                  <a:lstStyle/>
                  <a:p>
                    <a:fld id="{907D1DA3-5B1B-4CA5-9F83-BC0A50147EC8}"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2-8CD5-4985-9855-780C85C82593}"/>
                </c:ext>
              </c:extLst>
            </c:dLbl>
            <c:dLbl>
              <c:idx val="18"/>
              <c:tx>
                <c:rich>
                  <a:bodyPr/>
                  <a:lstStyle/>
                  <a:p>
                    <a:fld id="{B22920FB-0C73-4066-B95C-DE54B739A2E7}"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3-8CD5-4985-9855-780C85C82593}"/>
                </c:ext>
              </c:extLst>
            </c:dLbl>
            <c:dLbl>
              <c:idx val="19"/>
              <c:tx>
                <c:rich>
                  <a:bodyPr/>
                  <a:lstStyle/>
                  <a:p>
                    <a:fld id="{989A5D45-789E-4AD5-926A-982B6936215B}"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4-8CD5-4985-9855-780C85C82593}"/>
                </c:ext>
              </c:extLst>
            </c:dLbl>
            <c:dLbl>
              <c:idx val="20"/>
              <c:tx>
                <c:rich>
                  <a:bodyPr/>
                  <a:lstStyle/>
                  <a:p>
                    <a:fld id="{489DDF2A-F0D0-46D2-A1B0-36F75112D47D}"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5-8CD5-4985-9855-780C85C82593}"/>
                </c:ext>
              </c:extLst>
            </c:dLbl>
            <c:dLbl>
              <c:idx val="21"/>
              <c:tx>
                <c:rich>
                  <a:bodyPr/>
                  <a:lstStyle/>
                  <a:p>
                    <a:fld id="{767F46B4-AE1A-4CE9-ABD5-1645C48C8D30}"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6-8CD5-4985-9855-780C85C82593}"/>
                </c:ext>
              </c:extLst>
            </c:dLbl>
            <c:dLbl>
              <c:idx val="22"/>
              <c:tx>
                <c:rich>
                  <a:bodyPr/>
                  <a:lstStyle/>
                  <a:p>
                    <a:fld id="{BB947DAD-138D-455F-92D0-C0C1BBC9C1E0}"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8CD5-4985-9855-780C85C82593}"/>
                </c:ext>
              </c:extLst>
            </c:dLbl>
            <c:dLbl>
              <c:idx val="23"/>
              <c:tx>
                <c:rich>
                  <a:bodyPr/>
                  <a:lstStyle/>
                  <a:p>
                    <a:fld id="{8C2316D4-8A4F-4535-927D-1CC08D17662F}" type="CELLRANGE">
                      <a:rPr lang="th-TH"/>
                      <a:pPr/>
                      <a:t>[CELLRANGE]</a:t>
                    </a:fld>
                    <a:endParaRPr lang="th-T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8CD5-4985-9855-780C85C82593}"/>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Sheet9!$A$13:$A$36</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Sheet9!$C$13:$C$36</c:f>
              <c:numCache>
                <c:formatCode>0.00</c:formatCode>
                <c:ptCount val="24"/>
                <c:pt idx="0">
                  <c:v>44.522677219945223</c:v>
                </c:pt>
                <c:pt idx="1">
                  <c:v>43.255938457036869</c:v>
                </c:pt>
                <c:pt idx="2">
                  <c:v>46.625137484</c:v>
                </c:pt>
                <c:pt idx="3">
                  <c:v>51.463052130580294</c:v>
                </c:pt>
                <c:pt idx="4">
                  <c:v>58.085208828259248</c:v>
                </c:pt>
                <c:pt idx="5">
                  <c:v>63.066512164365527</c:v>
                </c:pt>
                <c:pt idx="6">
                  <c:v>67.549241753944401</c:v>
                </c:pt>
                <c:pt idx="7">
                  <c:v>81.433890688830999</c:v>
                </c:pt>
                <c:pt idx="8">
                  <c:v>87.797446234172668</c:v>
                </c:pt>
                <c:pt idx="9">
                  <c:v>85.063569482731495</c:v>
                </c:pt>
                <c:pt idx="10">
                  <c:v>97.817009015694936</c:v>
                </c:pt>
                <c:pt idx="11">
                  <c:v>109.94669488570024</c:v>
                </c:pt>
                <c:pt idx="12">
                  <c:v>117.76240458474905</c:v>
                </c:pt>
                <c:pt idx="13" formatCode="General">
                  <c:v>128.86000000000001</c:v>
                </c:pt>
                <c:pt idx="14" formatCode="General">
                  <c:v>129.44</c:v>
                </c:pt>
                <c:pt idx="15" formatCode="General">
                  <c:v>130.29</c:v>
                </c:pt>
                <c:pt idx="16" formatCode="General">
                  <c:v>139.59</c:v>
                </c:pt>
                <c:pt idx="17" formatCode="General">
                  <c:v>143.72</c:v>
                </c:pt>
                <c:pt idx="18" formatCode="General">
                  <c:v>167.46</c:v>
                </c:pt>
                <c:pt idx="19" formatCode="General">
                  <c:v>184.01</c:v>
                </c:pt>
                <c:pt idx="20" formatCode="General">
                  <c:v>169.63</c:v>
                </c:pt>
                <c:pt idx="21" formatCode="General">
                  <c:v>167.67</c:v>
                </c:pt>
                <c:pt idx="22" formatCode="General">
                  <c:v>163.72999999999999</c:v>
                </c:pt>
                <c:pt idx="23" formatCode="General">
                  <c:v>176.52</c:v>
                </c:pt>
              </c:numCache>
            </c:numRef>
          </c:val>
          <c:extLst>
            <c:ext xmlns:c15="http://schemas.microsoft.com/office/drawing/2012/chart" uri="{02D57815-91ED-43cb-92C2-25804820EDAC}">
              <c15:datalabelsRange>
                <c15:f>Sheet9!$J$13:$J$36</c15:f>
                <c15:dlblRangeCache>
                  <c:ptCount val="24"/>
                  <c:pt idx="0">
                    <c:v>35.3%</c:v>
                  </c:pt>
                  <c:pt idx="1">
                    <c:v>36.0%</c:v>
                  </c:pt>
                  <c:pt idx="2">
                    <c:v>34.8%</c:v>
                  </c:pt>
                  <c:pt idx="3">
                    <c:v>33.8%</c:v>
                  </c:pt>
                  <c:pt idx="4">
                    <c:v>33.5%</c:v>
                  </c:pt>
                  <c:pt idx="5">
                    <c:v>33.4%</c:v>
                  </c:pt>
                  <c:pt idx="6">
                    <c:v>32.1%</c:v>
                  </c:pt>
                  <c:pt idx="7">
                    <c:v>31.0%</c:v>
                  </c:pt>
                  <c:pt idx="8">
                    <c:v>30.2%</c:v>
                  </c:pt>
                  <c:pt idx="9">
                    <c:v>30.2%</c:v>
                  </c:pt>
                  <c:pt idx="10">
                    <c:v>28.7%</c:v>
                  </c:pt>
                  <c:pt idx="11">
                    <c:v>29.7%</c:v>
                  </c:pt>
                  <c:pt idx="12">
                    <c:v>29.6%</c:v>
                  </c:pt>
                  <c:pt idx="13">
                    <c:v>30.6%</c:v>
                  </c:pt>
                  <c:pt idx="14">
                    <c:v>31.8%</c:v>
                  </c:pt>
                  <c:pt idx="15">
                    <c:v>32.5%</c:v>
                  </c:pt>
                  <c:pt idx="16">
                    <c:v>32.8%</c:v>
                  </c:pt>
                  <c:pt idx="17">
                    <c:v>32.7%</c:v>
                  </c:pt>
                  <c:pt idx="18">
                    <c:v>33.0%</c:v>
                  </c:pt>
                  <c:pt idx="19">
                    <c:v>33.8%</c:v>
                  </c:pt>
                  <c:pt idx="20">
                    <c:v>33.9%</c:v>
                  </c:pt>
                  <c:pt idx="21">
                    <c:v>33.2%</c:v>
                  </c:pt>
                  <c:pt idx="22">
                    <c:v>33.1%</c:v>
                  </c:pt>
                  <c:pt idx="23">
                    <c:v>34.2%</c:v>
                  </c:pt>
                </c15:dlblRangeCache>
              </c15:datalabelsRange>
            </c:ext>
            <c:ext xmlns:c16="http://schemas.microsoft.com/office/drawing/2014/chart" uri="{C3380CC4-5D6E-409C-BE32-E72D297353CC}">
              <c16:uniqueId val="{00000019-8CD5-4985-9855-780C85C82593}"/>
            </c:ext>
          </c:extLst>
        </c:ser>
        <c:ser>
          <c:idx val="3"/>
          <c:order val="2"/>
          <c:tx>
            <c:strRef>
              <c:f>Sheet9!$E$11:$E$12</c:f>
              <c:strCache>
                <c:ptCount val="2"/>
                <c:pt idx="0">
                  <c:v>16 Others provinces</c:v>
                </c:pt>
              </c:strCache>
            </c:strRef>
          </c:tx>
          <c:spPr>
            <a:solidFill>
              <a:schemeClr val="accent4"/>
            </a:solidFill>
            <a:ln>
              <a:noFill/>
            </a:ln>
            <a:effectLst/>
          </c:spPr>
          <c:invertIfNegative val="0"/>
          <c:dLbls>
            <c:dLbl>
              <c:idx val="0"/>
              <c:tx>
                <c:rich>
                  <a:bodyPr/>
                  <a:lstStyle/>
                  <a:p>
                    <a:fld id="{9626EC3F-C94C-4F81-8FAD-53B080B5CD78}" type="CELLRANGE">
                      <a:rPr lang="en-US"/>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A-8CD5-4985-9855-780C85C82593}"/>
                </c:ext>
              </c:extLst>
            </c:dLbl>
            <c:dLbl>
              <c:idx val="1"/>
              <c:tx>
                <c:rich>
                  <a:bodyPr/>
                  <a:lstStyle/>
                  <a:p>
                    <a:fld id="{7C1DAA4A-AD61-4CA6-945F-0D6E37DFD4D3}"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8CD5-4985-9855-780C85C82593}"/>
                </c:ext>
              </c:extLst>
            </c:dLbl>
            <c:dLbl>
              <c:idx val="2"/>
              <c:tx>
                <c:rich>
                  <a:bodyPr/>
                  <a:lstStyle/>
                  <a:p>
                    <a:fld id="{EF5625D3-9335-44F4-B328-BBCAA26A915D}"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C-8CD5-4985-9855-780C85C82593}"/>
                </c:ext>
              </c:extLst>
            </c:dLbl>
            <c:dLbl>
              <c:idx val="3"/>
              <c:tx>
                <c:rich>
                  <a:bodyPr/>
                  <a:lstStyle/>
                  <a:p>
                    <a:fld id="{F3443078-87D1-44B1-BCC5-A1141FAD3603}"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D-8CD5-4985-9855-780C85C82593}"/>
                </c:ext>
              </c:extLst>
            </c:dLbl>
            <c:dLbl>
              <c:idx val="4"/>
              <c:tx>
                <c:rich>
                  <a:bodyPr/>
                  <a:lstStyle/>
                  <a:p>
                    <a:fld id="{B5995039-10EF-4786-B457-B473E96EA5BA}"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E-8CD5-4985-9855-780C85C82593}"/>
                </c:ext>
              </c:extLst>
            </c:dLbl>
            <c:dLbl>
              <c:idx val="5"/>
              <c:tx>
                <c:rich>
                  <a:bodyPr/>
                  <a:lstStyle/>
                  <a:p>
                    <a:fld id="{16D514AD-A44B-4BCF-97C4-15783B2D8895}"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8CD5-4985-9855-780C85C82593}"/>
                </c:ext>
              </c:extLst>
            </c:dLbl>
            <c:dLbl>
              <c:idx val="6"/>
              <c:tx>
                <c:rich>
                  <a:bodyPr/>
                  <a:lstStyle/>
                  <a:p>
                    <a:fld id="{4137B260-4487-48F9-92DB-39F31275A09B}"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0-8CD5-4985-9855-780C85C82593}"/>
                </c:ext>
              </c:extLst>
            </c:dLbl>
            <c:dLbl>
              <c:idx val="7"/>
              <c:tx>
                <c:rich>
                  <a:bodyPr/>
                  <a:lstStyle/>
                  <a:p>
                    <a:fld id="{DC494CE8-DA2E-4A73-8056-92C5D421EFF3}"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1-8CD5-4985-9855-780C85C82593}"/>
                </c:ext>
              </c:extLst>
            </c:dLbl>
            <c:dLbl>
              <c:idx val="8"/>
              <c:tx>
                <c:rich>
                  <a:bodyPr/>
                  <a:lstStyle/>
                  <a:p>
                    <a:fld id="{B5E8BAAB-F5CD-4650-9A06-D616010E2558}"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2-8CD5-4985-9855-780C85C82593}"/>
                </c:ext>
              </c:extLst>
            </c:dLbl>
            <c:dLbl>
              <c:idx val="9"/>
              <c:tx>
                <c:rich>
                  <a:bodyPr/>
                  <a:lstStyle/>
                  <a:p>
                    <a:fld id="{FC07506A-164D-4607-AA61-2B46953791BB}"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3-8CD5-4985-9855-780C85C82593}"/>
                </c:ext>
              </c:extLst>
            </c:dLbl>
            <c:dLbl>
              <c:idx val="10"/>
              <c:tx>
                <c:rich>
                  <a:bodyPr/>
                  <a:lstStyle/>
                  <a:p>
                    <a:fld id="{97F4C48A-2977-4522-A9D3-6548ED1491EA}"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4-8CD5-4985-9855-780C85C82593}"/>
                </c:ext>
              </c:extLst>
            </c:dLbl>
            <c:dLbl>
              <c:idx val="11"/>
              <c:tx>
                <c:rich>
                  <a:bodyPr/>
                  <a:lstStyle/>
                  <a:p>
                    <a:fld id="{9CB05281-BBB7-49B8-A5F7-0595698D88AC}"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8CD5-4985-9855-780C85C82593}"/>
                </c:ext>
              </c:extLst>
            </c:dLbl>
            <c:dLbl>
              <c:idx val="12"/>
              <c:tx>
                <c:rich>
                  <a:bodyPr/>
                  <a:lstStyle/>
                  <a:p>
                    <a:fld id="{ACCD323C-7AB0-4645-8BE2-272562A5CB7D}"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6-8CD5-4985-9855-780C85C82593}"/>
                </c:ext>
              </c:extLst>
            </c:dLbl>
            <c:dLbl>
              <c:idx val="13"/>
              <c:tx>
                <c:rich>
                  <a:bodyPr/>
                  <a:lstStyle/>
                  <a:p>
                    <a:fld id="{70B67CB7-0E5C-4CEE-A232-573C16CF8D5F}"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7-8CD5-4985-9855-780C85C82593}"/>
                </c:ext>
              </c:extLst>
            </c:dLbl>
            <c:dLbl>
              <c:idx val="14"/>
              <c:tx>
                <c:rich>
                  <a:bodyPr/>
                  <a:lstStyle/>
                  <a:p>
                    <a:fld id="{142AF1A7-BE92-4556-9830-AB3FA62469E9}"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8-8CD5-4985-9855-780C85C82593}"/>
                </c:ext>
              </c:extLst>
            </c:dLbl>
            <c:dLbl>
              <c:idx val="15"/>
              <c:tx>
                <c:rich>
                  <a:bodyPr/>
                  <a:lstStyle/>
                  <a:p>
                    <a:fld id="{56F0D3E3-4B9B-43CE-ACAA-BEAC919BF730}"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8CD5-4985-9855-780C85C82593}"/>
                </c:ext>
              </c:extLst>
            </c:dLbl>
            <c:dLbl>
              <c:idx val="16"/>
              <c:tx>
                <c:rich>
                  <a:bodyPr/>
                  <a:lstStyle/>
                  <a:p>
                    <a:fld id="{0ECC0D13-595A-408D-A163-2FE365904BAF}"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8CD5-4985-9855-780C85C82593}"/>
                </c:ext>
              </c:extLst>
            </c:dLbl>
            <c:dLbl>
              <c:idx val="17"/>
              <c:tx>
                <c:rich>
                  <a:bodyPr/>
                  <a:lstStyle/>
                  <a:p>
                    <a:fld id="{18352B27-3819-4DA9-8A7C-EA2A40D6AFA5}"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8CD5-4985-9855-780C85C82593}"/>
                </c:ext>
              </c:extLst>
            </c:dLbl>
            <c:dLbl>
              <c:idx val="18"/>
              <c:tx>
                <c:rich>
                  <a:bodyPr/>
                  <a:lstStyle/>
                  <a:p>
                    <a:fld id="{121755CD-DB13-413D-BA12-6E452C7DDEA4}"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C-8CD5-4985-9855-780C85C82593}"/>
                </c:ext>
              </c:extLst>
            </c:dLbl>
            <c:dLbl>
              <c:idx val="19"/>
              <c:tx>
                <c:rich>
                  <a:bodyPr/>
                  <a:lstStyle/>
                  <a:p>
                    <a:fld id="{BC99B492-EABA-48A1-B8A1-BBBF8522B169}"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D-8CD5-4985-9855-780C85C82593}"/>
                </c:ext>
              </c:extLst>
            </c:dLbl>
            <c:dLbl>
              <c:idx val="20"/>
              <c:tx>
                <c:rich>
                  <a:bodyPr/>
                  <a:lstStyle/>
                  <a:p>
                    <a:fld id="{38373BA4-E5D0-4947-B46F-936DA84448EA}"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E-8CD5-4985-9855-780C85C82593}"/>
                </c:ext>
              </c:extLst>
            </c:dLbl>
            <c:dLbl>
              <c:idx val="21"/>
              <c:tx>
                <c:rich>
                  <a:bodyPr/>
                  <a:lstStyle/>
                  <a:p>
                    <a:fld id="{46F1AE64-6C24-4FA0-AF70-EBFEE173B8DB}"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F-8CD5-4985-9855-780C85C82593}"/>
                </c:ext>
              </c:extLst>
            </c:dLbl>
            <c:dLbl>
              <c:idx val="22"/>
              <c:tx>
                <c:rich>
                  <a:bodyPr/>
                  <a:lstStyle/>
                  <a:p>
                    <a:fld id="{DD6AAA9C-5E24-4EBF-A78C-A67B10A6D786}"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30-8CD5-4985-9855-780C85C82593}"/>
                </c:ext>
              </c:extLst>
            </c:dLbl>
            <c:dLbl>
              <c:idx val="23"/>
              <c:tx>
                <c:rich>
                  <a:bodyPr/>
                  <a:lstStyle/>
                  <a:p>
                    <a:fld id="{D15BFDF9-14D5-4E09-93EC-817B2133A7A8}" type="CELLRANGE">
                      <a:rPr lang="th-TH"/>
                      <a:pPr/>
                      <a:t>[CELLRANGE]</a:t>
                    </a:fld>
                    <a:endParaRPr lang="th-TH"/>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31-8CD5-4985-9855-780C85C82593}"/>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in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Sheet9!$A$13:$A$36</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Sheet9!$E$13:$E$36</c:f>
              <c:numCache>
                <c:formatCode>0.00</c:formatCode>
                <c:ptCount val="24"/>
                <c:pt idx="0">
                  <c:v>35.729419443675312</c:v>
                </c:pt>
                <c:pt idx="1">
                  <c:v>33.704027255508116</c:v>
                </c:pt>
                <c:pt idx="2">
                  <c:v>38.724959472395348</c:v>
                </c:pt>
                <c:pt idx="3">
                  <c:v>44.188673718564885</c:v>
                </c:pt>
                <c:pt idx="4">
                  <c:v>50.972329932679393</c:v>
                </c:pt>
                <c:pt idx="5">
                  <c:v>57.326860459970156</c:v>
                </c:pt>
                <c:pt idx="6">
                  <c:v>65.857503343050368</c:v>
                </c:pt>
                <c:pt idx="7">
                  <c:v>85.665632487760391</c:v>
                </c:pt>
                <c:pt idx="8">
                  <c:v>93.541168376798538</c:v>
                </c:pt>
                <c:pt idx="9">
                  <c:v>85.912826242050116</c:v>
                </c:pt>
                <c:pt idx="10">
                  <c:v>109.43018874175863</c:v>
                </c:pt>
                <c:pt idx="11">
                  <c:v>117.27182039081661</c:v>
                </c:pt>
                <c:pt idx="12">
                  <c:v>122.30312912229732</c:v>
                </c:pt>
                <c:pt idx="13" formatCode="General">
                  <c:v>125</c:v>
                </c:pt>
                <c:pt idx="14" formatCode="General">
                  <c:v>120.52</c:v>
                </c:pt>
                <c:pt idx="15" formatCode="General">
                  <c:v>116.49</c:v>
                </c:pt>
                <c:pt idx="16" formatCode="General">
                  <c:v>124.15</c:v>
                </c:pt>
                <c:pt idx="17" formatCode="General">
                  <c:v>128.26</c:v>
                </c:pt>
                <c:pt idx="18" formatCode="General">
                  <c:v>147.84</c:v>
                </c:pt>
                <c:pt idx="19" formatCode="General">
                  <c:v>155.66</c:v>
                </c:pt>
                <c:pt idx="20" formatCode="General">
                  <c:v>137.88</c:v>
                </c:pt>
                <c:pt idx="21" formatCode="General">
                  <c:v>145.54</c:v>
                </c:pt>
                <c:pt idx="22" formatCode="General">
                  <c:v>146.82</c:v>
                </c:pt>
                <c:pt idx="23" formatCode="General">
                  <c:v>147.97</c:v>
                </c:pt>
              </c:numCache>
            </c:numRef>
          </c:val>
          <c:extLst>
            <c:ext xmlns:c15="http://schemas.microsoft.com/office/drawing/2012/chart" uri="{02D57815-91ED-43cb-92C2-25804820EDAC}">
              <c15:datalabelsRange>
                <c15:f>Sheet9!$K$13:$K$36</c15:f>
                <c15:dlblRangeCache>
                  <c:ptCount val="24"/>
                  <c:pt idx="0">
                    <c:v>28.3%</c:v>
                  </c:pt>
                  <c:pt idx="1">
                    <c:v>28.1%</c:v>
                  </c:pt>
                  <c:pt idx="2">
                    <c:v>28.9%</c:v>
                  </c:pt>
                  <c:pt idx="3">
                    <c:v>29.1%</c:v>
                  </c:pt>
                  <c:pt idx="4">
                    <c:v>29.5%</c:v>
                  </c:pt>
                  <c:pt idx="5">
                    <c:v>30.3%</c:v>
                  </c:pt>
                  <c:pt idx="6">
                    <c:v>31.3%</c:v>
                  </c:pt>
                  <c:pt idx="7">
                    <c:v>32.6%</c:v>
                  </c:pt>
                  <c:pt idx="8">
                    <c:v>32.2%</c:v>
                  </c:pt>
                  <c:pt idx="9">
                    <c:v>30.6%</c:v>
                  </c:pt>
                  <c:pt idx="10">
                    <c:v>32.1%</c:v>
                  </c:pt>
                  <c:pt idx="11">
                    <c:v>31.6%</c:v>
                  </c:pt>
                  <c:pt idx="12">
                    <c:v>30.8%</c:v>
                  </c:pt>
                  <c:pt idx="13">
                    <c:v>29.7%</c:v>
                  </c:pt>
                  <c:pt idx="14">
                    <c:v>29.6%</c:v>
                  </c:pt>
                  <c:pt idx="15">
                    <c:v>29.0%</c:v>
                  </c:pt>
                  <c:pt idx="16">
                    <c:v>29.1%</c:v>
                  </c:pt>
                  <c:pt idx="17">
                    <c:v>29.2%</c:v>
                  </c:pt>
                  <c:pt idx="18">
                    <c:v>29.2%</c:v>
                  </c:pt>
                  <c:pt idx="19">
                    <c:v>28.6%</c:v>
                  </c:pt>
                  <c:pt idx="20">
                    <c:v>27.6%</c:v>
                  </c:pt>
                  <c:pt idx="21">
                    <c:v>28.8%</c:v>
                  </c:pt>
                  <c:pt idx="22">
                    <c:v>29.7%</c:v>
                  </c:pt>
                  <c:pt idx="23">
                    <c:v>28.7%</c:v>
                  </c:pt>
                </c15:dlblRangeCache>
              </c15:datalabelsRange>
            </c:ext>
            <c:ext xmlns:c16="http://schemas.microsoft.com/office/drawing/2014/chart" uri="{C3380CC4-5D6E-409C-BE32-E72D297353CC}">
              <c16:uniqueId val="{00000032-8CD5-4985-9855-780C85C82593}"/>
            </c:ext>
          </c:extLst>
        </c:ser>
        <c:dLbls>
          <c:dLblPos val="outEnd"/>
          <c:showLegendKey val="0"/>
          <c:showVal val="1"/>
          <c:showCatName val="0"/>
          <c:showSerName val="0"/>
          <c:showPercent val="0"/>
          <c:showBubbleSize val="0"/>
        </c:dLbls>
        <c:gapWidth val="0"/>
        <c:overlap val="5"/>
        <c:axId val="316420719"/>
        <c:axId val="382201791"/>
      </c:barChart>
      <c:catAx>
        <c:axId val="316420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82201791"/>
        <c:crosses val="autoZero"/>
        <c:auto val="1"/>
        <c:lblAlgn val="ctr"/>
        <c:lblOffset val="100"/>
        <c:noMultiLvlLbl val="0"/>
      </c:catAx>
      <c:valAx>
        <c:axId val="3822017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Billion USD</a:t>
                </a:r>
              </a:p>
            </c:rich>
          </c:tx>
          <c:layout>
            <c:manualLayout>
              <c:xMode val="edge"/>
              <c:yMode val="edge"/>
              <c:x val="7.2872590503055945E-2"/>
              <c:y val="0.33286414419436511"/>
            </c:manualLayout>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1642071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dTable>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sz="700">
          <a:latin typeface="Arial" panose="020B0604020202020204" pitchFamily="34" charset="0"/>
          <a:cs typeface="Arial" panose="020B0604020202020204" pitchFamily="34" charset="0"/>
        </a:defRPr>
      </a:pPr>
      <a:endParaRPr lang="th-TH"/>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934376402431552E-2"/>
          <c:y val="9.3243428760561839E-2"/>
          <c:w val="0.91693155624005551"/>
          <c:h val="0.85490704139775264"/>
        </c:manualLayout>
      </c:layout>
      <c:lineChart>
        <c:grouping val="standard"/>
        <c:varyColors val="0"/>
        <c:ser>
          <c:idx val="1"/>
          <c:order val="0"/>
          <c:tx>
            <c:strRef>
              <c:f>Sheet1!$L$1</c:f>
              <c:strCache>
                <c:ptCount val="1"/>
                <c:pt idx="0">
                  <c:v>General government balance (% of GDP) </c:v>
                </c:pt>
              </c:strCache>
            </c:strRef>
          </c:tx>
          <c:spPr>
            <a:ln w="28575" cap="rnd">
              <a:solidFill>
                <a:schemeClr val="accent2"/>
              </a:solidFill>
              <a:round/>
            </a:ln>
            <a:effectLst/>
          </c:spPr>
          <c:marker>
            <c:symbol val="circle"/>
            <c:size val="6"/>
            <c:spPr>
              <a:solidFill>
                <a:schemeClr val="accent2"/>
              </a:solidFill>
              <a:ln w="9525">
                <a:solidFill>
                  <a:schemeClr val="accent2"/>
                </a:solidFill>
              </a:ln>
              <a:effectLst/>
            </c:spPr>
          </c:marker>
          <c:dLbls>
            <c:dLbl>
              <c:idx val="5"/>
              <c:layout>
                <c:manualLayout>
                  <c:x val="-2.1540166286297159E-2"/>
                  <c:y val="2.036073410575281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0B1-4198-8D2C-C9CB444AE4BB}"/>
                </c:ext>
              </c:extLst>
            </c:dLbl>
            <c:dLbl>
              <c:idx val="6"/>
              <c:layout>
                <c:manualLayout>
                  <c:x val="-2.1539982828334716E-2"/>
                  <c:y val="1.9166467637926916E-2"/>
                </c:manualLayout>
              </c:layout>
              <c:spPr>
                <a:noFill/>
                <a:ln>
                  <a:noFill/>
                </a:ln>
                <a:effectLst/>
              </c:spPr>
              <c:txPr>
                <a:bodyPr rot="0" spcFirstLastPara="1" vertOverflow="ellipsis" vert="horz" wrap="square" lIns="38100" tIns="19050" rIns="38100" bIns="19050" anchor="ctr" anchorCtr="1">
                  <a:noAutofit/>
                </a:bodyPr>
                <a:lstStyle/>
                <a:p>
                  <a:pPr>
                    <a:defRPr sz="700" b="0" i="0" u="none" strike="noStrike" kern="1200" baseline="0">
                      <a:solidFill>
                        <a:srgbClr val="FF0000"/>
                      </a:solidFill>
                      <a:latin typeface="Arial" panose="020B0604020202020204" pitchFamily="34" charset="0"/>
                      <a:ea typeface="+mn-ea"/>
                      <a:cs typeface="Arial" panose="020B0604020202020204" pitchFamily="34" charset="0"/>
                    </a:defRPr>
                  </a:pPr>
                  <a:endParaRPr lang="th-TH"/>
                </a:p>
              </c:txPr>
              <c:dLblPos val="r"/>
              <c:showLegendKey val="0"/>
              <c:showVal val="1"/>
              <c:showCatName val="0"/>
              <c:showSerName val="0"/>
              <c:showPercent val="0"/>
              <c:showBubbleSize val="0"/>
              <c:extLst>
                <c:ext xmlns:c15="http://schemas.microsoft.com/office/drawing/2012/chart" uri="{CE6537A1-D6FC-4f65-9D91-7224C49458BB}">
                  <c15:layout>
                    <c:manualLayout>
                      <c:w val="2.4440881283129448E-2"/>
                      <c:h val="3.8332935275853824E-2"/>
                    </c:manualLayout>
                  </c15:layout>
                </c:ext>
                <c:ext xmlns:c16="http://schemas.microsoft.com/office/drawing/2014/chart" uri="{C3380CC4-5D6E-409C-BE32-E72D297353CC}">
                  <c16:uniqueId val="{00000002-C0B1-4198-8D2C-C9CB444AE4BB}"/>
                </c:ext>
              </c:extLst>
            </c:dLbl>
            <c:dLbl>
              <c:idx val="8"/>
              <c:layout>
                <c:manualLayout>
                  <c:x val="-2.1320529558157563E-2"/>
                  <c:y val="4.04766158469502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0B1-4198-8D2C-C9CB444AE4B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rgbClr val="FF0000"/>
                    </a:solidFill>
                    <a:latin typeface="Arial" panose="020B0604020202020204" pitchFamily="34" charset="0"/>
                    <a:ea typeface="+mn-ea"/>
                    <a:cs typeface="Arial" panose="020B0604020202020204" pitchFamily="34" charset="0"/>
                  </a:defRPr>
                </a:pPr>
                <a:endParaRPr lang="th-TH"/>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Sheet1!$K$2:$K$26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Sheet1!$L$2:$L$26</c:f>
              <c:numCache>
                <c:formatCode>0.0</c:formatCode>
                <c:ptCount val="25"/>
                <c:pt idx="0">
                  <c:v>-1.8080030454730149</c:v>
                </c:pt>
                <c:pt idx="1">
                  <c:v>-2.1074301239606874</c:v>
                </c:pt>
                <c:pt idx="2">
                  <c:v>-6.7846280820871128</c:v>
                </c:pt>
                <c:pt idx="3">
                  <c:v>1.3851694749064594</c:v>
                </c:pt>
                <c:pt idx="4">
                  <c:v>1.0531271130110915</c:v>
                </c:pt>
                <c:pt idx="5">
                  <c:v>2.3242844245607444</c:v>
                </c:pt>
                <c:pt idx="6">
                  <c:v>1.7800023368496514</c:v>
                </c:pt>
                <c:pt idx="7">
                  <c:v>0.12362203018123792</c:v>
                </c:pt>
                <c:pt idx="8">
                  <c:v>0.46564675604405881</c:v>
                </c:pt>
                <c:pt idx="9">
                  <c:v>-2.8507594267407708</c:v>
                </c:pt>
                <c:pt idx="10">
                  <c:v>-0.58222064933436779</c:v>
                </c:pt>
                <c:pt idx="11">
                  <c:v>-1.060949261530608</c:v>
                </c:pt>
                <c:pt idx="12">
                  <c:v>-1.1743510553942749</c:v>
                </c:pt>
                <c:pt idx="13">
                  <c:v>0.30479491244942575</c:v>
                </c:pt>
                <c:pt idx="14">
                  <c:v>-0.85324992019194712</c:v>
                </c:pt>
                <c:pt idx="15">
                  <c:v>-4.6707516117533543E-2</c:v>
                </c:pt>
                <c:pt idx="16">
                  <c:v>0.28079973308049017</c:v>
                </c:pt>
                <c:pt idx="17">
                  <c:v>-0.75017055443854286</c:v>
                </c:pt>
                <c:pt idx="18">
                  <c:v>-0.38220728842555857</c:v>
                </c:pt>
                <c:pt idx="19">
                  <c:v>1.8888292072187781E-2</c:v>
                </c:pt>
                <c:pt idx="20">
                  <c:v>-4.4952018169547445</c:v>
                </c:pt>
                <c:pt idx="21">
                  <c:v>-7.0527505386361984</c:v>
                </c:pt>
                <c:pt idx="22">
                  <c:v>-4.8611386912151033</c:v>
                </c:pt>
                <c:pt idx="23">
                  <c:v>-2.2643194258743073</c:v>
                </c:pt>
              </c:numCache>
            </c:numRef>
          </c:val>
          <c:smooth val="0"/>
          <c:extLst>
            <c:ext xmlns:c16="http://schemas.microsoft.com/office/drawing/2014/chart" uri="{C3380CC4-5D6E-409C-BE32-E72D297353CC}">
              <c16:uniqueId val="{00000000-E8E2-4B20-B309-0DA912E6E827}"/>
            </c:ext>
          </c:extLst>
        </c:ser>
        <c:ser>
          <c:idx val="2"/>
          <c:order val="1"/>
          <c:tx>
            <c:strRef>
              <c:f>Sheet1!$M$1</c:f>
              <c:strCache>
                <c:ptCount val="1"/>
                <c:pt idx="0">
                  <c:v>General government gross debt (% of GDP)</c:v>
                </c:pt>
              </c:strCache>
            </c:strRef>
          </c:tx>
          <c:spPr>
            <a:ln w="28575" cap="rnd">
              <a:solidFill>
                <a:schemeClr val="accent3"/>
              </a:solidFill>
              <a:round/>
            </a:ln>
            <a:effectLst/>
          </c:spPr>
          <c:marker>
            <c:symbol val="circle"/>
            <c:size val="6"/>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Sheet1!$K$2:$K$26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Sheet1!$M$2:$M$26</c:f>
              <c:numCache>
                <c:formatCode>0.0</c:formatCode>
                <c:ptCount val="25"/>
                <c:pt idx="0">
                  <c:v>21.964586513919627</c:v>
                </c:pt>
                <c:pt idx="1">
                  <c:v>24.578334035858926</c:v>
                </c:pt>
                <c:pt idx="2">
                  <c:v>30.070356272157166</c:v>
                </c:pt>
                <c:pt idx="3">
                  <c:v>27.046018372080617</c:v>
                </c:pt>
                <c:pt idx="4">
                  <c:v>24.396399800870888</c:v>
                </c:pt>
                <c:pt idx="5">
                  <c:v>25.458128278076924</c:v>
                </c:pt>
                <c:pt idx="6">
                  <c:v>24.38065914946521</c:v>
                </c:pt>
                <c:pt idx="7">
                  <c:v>22.993466831917537</c:v>
                </c:pt>
                <c:pt idx="8">
                  <c:v>22.450217262328795</c:v>
                </c:pt>
                <c:pt idx="9">
                  <c:v>26.779195203644562</c:v>
                </c:pt>
                <c:pt idx="10">
                  <c:v>26.900845543726515</c:v>
                </c:pt>
                <c:pt idx="11">
                  <c:v>28.131976300687384</c:v>
                </c:pt>
                <c:pt idx="12">
                  <c:v>28.444716023882805</c:v>
                </c:pt>
                <c:pt idx="13">
                  <c:v>38.166695057079444</c:v>
                </c:pt>
                <c:pt idx="14">
                  <c:v>35.390473945269889</c:v>
                </c:pt>
                <c:pt idx="15">
                  <c:v>36.670569535517934</c:v>
                </c:pt>
                <c:pt idx="16">
                  <c:v>37.306520404566392</c:v>
                </c:pt>
                <c:pt idx="18">
                  <c:v>37.910418843604511</c:v>
                </c:pt>
                <c:pt idx="19">
                  <c:v>38.627705594127931</c:v>
                </c:pt>
                <c:pt idx="20">
                  <c:v>50.322781499941485</c:v>
                </c:pt>
                <c:pt idx="21">
                  <c:v>58.51145420351137</c:v>
                </c:pt>
                <c:pt idx="22">
                  <c:v>60.349920189306047</c:v>
                </c:pt>
                <c:pt idx="23">
                  <c:v>61.124361363852564</c:v>
                </c:pt>
              </c:numCache>
            </c:numRef>
          </c:val>
          <c:smooth val="0"/>
          <c:extLst>
            <c:ext xmlns:c16="http://schemas.microsoft.com/office/drawing/2014/chart" uri="{C3380CC4-5D6E-409C-BE32-E72D297353CC}">
              <c16:uniqueId val="{00000001-E8E2-4B20-B309-0DA912E6E827}"/>
            </c:ext>
          </c:extLst>
        </c:ser>
        <c:ser>
          <c:idx val="3"/>
          <c:order val="2"/>
          <c:tx>
            <c:strRef>
              <c:f>Sheet1!$N$1</c:f>
              <c:strCache>
                <c:ptCount val="1"/>
                <c:pt idx="0">
                  <c:v>Current account balance (% of GDP)</c:v>
                </c:pt>
              </c:strCache>
            </c:strRef>
          </c:tx>
          <c:spPr>
            <a:ln w="28575" cap="rnd">
              <a:solidFill>
                <a:schemeClr val="accent4"/>
              </a:solidFill>
              <a:round/>
            </a:ln>
            <a:effectLst/>
          </c:spPr>
          <c:marker>
            <c:symbol val="circle"/>
            <c:size val="6"/>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Sheet1!$K$2:$K$26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Sheet1!$N$2:$N$26</c:f>
              <c:numCache>
                <c:formatCode>0.0</c:formatCode>
                <c:ptCount val="25"/>
                <c:pt idx="0">
                  <c:v>7.3684524026066525</c:v>
                </c:pt>
                <c:pt idx="1">
                  <c:v>4.240272330439991</c:v>
                </c:pt>
                <c:pt idx="2">
                  <c:v>3.4655051681766857</c:v>
                </c:pt>
                <c:pt idx="3">
                  <c:v>3.1335640015455808</c:v>
                </c:pt>
                <c:pt idx="4">
                  <c:v>1.5959733899378634</c:v>
                </c:pt>
                <c:pt idx="5">
                  <c:v>-4.0364643152320019</c:v>
                </c:pt>
                <c:pt idx="6">
                  <c:v>1.0438076236725364</c:v>
                </c:pt>
                <c:pt idx="7">
                  <c:v>5.9266542311642123</c:v>
                </c:pt>
                <c:pt idx="8">
                  <c:v>0.3194661514663481</c:v>
                </c:pt>
                <c:pt idx="9">
                  <c:v>7.8765595025475932</c:v>
                </c:pt>
                <c:pt idx="10">
                  <c:v>3.3673246721925225</c:v>
                </c:pt>
                <c:pt idx="11">
                  <c:v>2.5421709632834077</c:v>
                </c:pt>
                <c:pt idx="12">
                  <c:v>-1.2323363795765321</c:v>
                </c:pt>
                <c:pt idx="13">
                  <c:v>-2.1015345894223163</c:v>
                </c:pt>
                <c:pt idx="14">
                  <c:v>2.8582840987004059</c:v>
                </c:pt>
                <c:pt idx="15">
                  <c:v>6.9158151716862264</c:v>
                </c:pt>
                <c:pt idx="16">
                  <c:v>10.508354393208574</c:v>
                </c:pt>
                <c:pt idx="17">
                  <c:v>9.631030191821413</c:v>
                </c:pt>
                <c:pt idx="18">
                  <c:v>5.6198631459897248</c:v>
                </c:pt>
                <c:pt idx="19">
                  <c:v>7.0327264032829833</c:v>
                </c:pt>
                <c:pt idx="20">
                  <c:v>4.1828286145466773</c:v>
                </c:pt>
                <c:pt idx="21">
                  <c:v>-2.118253127265012</c:v>
                </c:pt>
                <c:pt idx="22">
                  <c:v>-3.4625237527297896</c:v>
                </c:pt>
                <c:pt idx="23">
                  <c:v>1.4366190825120795</c:v>
                </c:pt>
                <c:pt idx="24">
                  <c:v>2.1533902440040897</c:v>
                </c:pt>
              </c:numCache>
            </c:numRef>
          </c:val>
          <c:smooth val="0"/>
          <c:extLst>
            <c:ext xmlns:c16="http://schemas.microsoft.com/office/drawing/2014/chart" uri="{C3380CC4-5D6E-409C-BE32-E72D297353CC}">
              <c16:uniqueId val="{00000002-E8E2-4B20-B309-0DA912E6E827}"/>
            </c:ext>
          </c:extLst>
        </c:ser>
        <c:dLbls>
          <c:dLblPos val="t"/>
          <c:showLegendKey val="0"/>
          <c:showVal val="1"/>
          <c:showCatName val="0"/>
          <c:showSerName val="0"/>
          <c:showPercent val="0"/>
          <c:showBubbleSize val="0"/>
        </c:dLbls>
        <c:marker val="1"/>
        <c:smooth val="0"/>
        <c:axId val="109340735"/>
        <c:axId val="181600575"/>
      </c:lineChart>
      <c:catAx>
        <c:axId val="10934073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0"/>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181600575"/>
        <c:crosses val="autoZero"/>
        <c:auto val="1"/>
        <c:lblAlgn val="ctr"/>
        <c:lblOffset val="100"/>
        <c:noMultiLvlLbl val="0"/>
      </c:catAx>
      <c:valAx>
        <c:axId val="181600575"/>
        <c:scaling>
          <c:orientation val="minMax"/>
          <c:min val="-20"/>
        </c:scaling>
        <c:delete val="0"/>
        <c:axPos val="l"/>
        <c:title>
          <c:tx>
            <c:rich>
              <a:bodyPr rot="0" spcFirstLastPara="1" vertOverflow="ellipsis"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100"/>
                  <a:t>% of GDP</a:t>
                </a:r>
              </a:p>
            </c:rich>
          </c:tx>
          <c:layout>
            <c:manualLayout>
              <c:xMode val="edge"/>
              <c:yMode val="edge"/>
              <c:x val="2.3582141691485453E-2"/>
              <c:y val="3.1819899990409017E-2"/>
            </c:manualLayout>
          </c:layout>
          <c:overlay val="0"/>
          <c:spPr>
            <a:noFill/>
            <a:ln>
              <a:noFill/>
            </a:ln>
            <a:effectLst/>
          </c:spPr>
          <c:txPr>
            <a:bodyPr rot="0" spcFirstLastPara="1" vertOverflow="ellipsis"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109340735"/>
        <c:crosses val="autoZero"/>
        <c:crossBetween val="midCat"/>
      </c:valAx>
      <c:spPr>
        <a:noFill/>
        <a:ln>
          <a:noFill/>
        </a:ln>
        <a:effectLst/>
      </c:spPr>
    </c:plotArea>
    <c:legend>
      <c:legendPos val="r"/>
      <c:layout>
        <c:manualLayout>
          <c:xMode val="edge"/>
          <c:yMode val="edge"/>
          <c:x val="0.42329872302231653"/>
          <c:y val="0.1873870942869662"/>
          <c:w val="0.37368732405858596"/>
          <c:h val="9.703000360249086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600">
          <a:latin typeface="Arial" panose="020B0604020202020204" pitchFamily="34" charset="0"/>
          <a:cs typeface="Arial" panose="020B0604020202020204" pitchFamily="34" charset="0"/>
        </a:defRPr>
      </a:pPr>
      <a:endParaRPr lang="th-TH"/>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Sheet1!$C$17</c:f>
              <c:strCache>
                <c:ptCount val="1"/>
                <c:pt idx="0">
                  <c:v>DMCR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Sheet1!$B$18:$B$29</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Sheet1!$C$18:$C$29</c:f>
              <c:numCache>
                <c:formatCode>_(* #,##0.00_);_(* \(#,##0.00\);_(* "-"??_);_(@_)</c:formatCode>
                <c:ptCount val="12"/>
                <c:pt idx="0">
                  <c:v>36.300807817589579</c:v>
                </c:pt>
                <c:pt idx="1">
                  <c:v>37.229045566502464</c:v>
                </c:pt>
                <c:pt idx="2">
                  <c:v>36.20233887430738</c:v>
                </c:pt>
                <c:pt idx="3">
                  <c:v>39.992867153284671</c:v>
                </c:pt>
                <c:pt idx="4">
                  <c:v>37.210235194105984</c:v>
                </c:pt>
                <c:pt idx="5">
                  <c:v>46.35870588235295</c:v>
                </c:pt>
                <c:pt idx="6">
                  <c:v>45.51718427835052</c:v>
                </c:pt>
                <c:pt idx="7">
                  <c:v>46.379447284345048</c:v>
                </c:pt>
                <c:pt idx="8">
                  <c:v>45.25175625</c:v>
                </c:pt>
                <c:pt idx="9">
                  <c:v>38.066532763532763</c:v>
                </c:pt>
                <c:pt idx="10">
                  <c:v>38.743074712643683</c:v>
                </c:pt>
                <c:pt idx="11">
                  <c:v>51.160922190201724</c:v>
                </c:pt>
              </c:numCache>
            </c:numRef>
          </c:val>
          <c:smooth val="0"/>
          <c:extLst>
            <c:ext xmlns:c16="http://schemas.microsoft.com/office/drawing/2014/chart" uri="{C3380CC4-5D6E-409C-BE32-E72D297353CC}">
              <c16:uniqueId val="{00000000-446B-4862-B019-52E1E7AD9B53}"/>
            </c:ext>
          </c:extLst>
        </c:ser>
        <c:ser>
          <c:idx val="1"/>
          <c:order val="1"/>
          <c:tx>
            <c:strRef>
              <c:f>Sheet1!$D$17</c:f>
              <c:strCache>
                <c:ptCount val="1"/>
                <c:pt idx="0">
                  <c:v>DNP</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Sheet1!$B$18:$B$29</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Sheet1!$D$18:$D$29</c:f>
              <c:numCache>
                <c:formatCode>_(* #,##0.00_);_(* \(#,##0.00\);_(* "-"??_);_(@_)</c:formatCode>
                <c:ptCount val="12"/>
                <c:pt idx="0">
                  <c:v>360.35848534201955</c:v>
                </c:pt>
                <c:pt idx="1">
                  <c:v>316.29206280788185</c:v>
                </c:pt>
                <c:pt idx="2">
                  <c:v>304.8109886264217</c:v>
                </c:pt>
                <c:pt idx="3">
                  <c:v>319.07527299270077</c:v>
                </c:pt>
                <c:pt idx="4">
                  <c:v>306.71258146783794</c:v>
                </c:pt>
                <c:pt idx="5">
                  <c:v>360.54980804953561</c:v>
                </c:pt>
                <c:pt idx="6">
                  <c:v>382.04065721649488</c:v>
                </c:pt>
                <c:pt idx="7">
                  <c:v>367.20434185303515</c:v>
                </c:pt>
                <c:pt idx="8">
                  <c:v>341.10776874999999</c:v>
                </c:pt>
                <c:pt idx="9">
                  <c:v>283.90219943019946</c:v>
                </c:pt>
                <c:pt idx="10">
                  <c:v>317.38521551724142</c:v>
                </c:pt>
                <c:pt idx="11">
                  <c:v>315.37359654178675</c:v>
                </c:pt>
              </c:numCache>
            </c:numRef>
          </c:val>
          <c:smooth val="0"/>
          <c:extLst>
            <c:ext xmlns:c16="http://schemas.microsoft.com/office/drawing/2014/chart" uri="{C3380CC4-5D6E-409C-BE32-E72D297353CC}">
              <c16:uniqueId val="{00000001-446B-4862-B019-52E1E7AD9B53}"/>
            </c:ext>
          </c:extLst>
        </c:ser>
        <c:ser>
          <c:idx val="2"/>
          <c:order val="2"/>
          <c:tx>
            <c:strRef>
              <c:f>Sheet1!$E$17</c:f>
              <c:strCache>
                <c:ptCount val="1"/>
                <c:pt idx="0">
                  <c:v>DOF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Sheet1!$B$18:$B$29</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Sheet1!$E$18:$E$29</c:f>
              <c:numCache>
                <c:formatCode>_(* #,##0.00_);_(* \(#,##0.00\);_(* "-"??_);_(@_)</c:formatCode>
                <c:ptCount val="12"/>
                <c:pt idx="0">
                  <c:v>116.78588925081434</c:v>
                </c:pt>
                <c:pt idx="1">
                  <c:v>112.4786853448276</c:v>
                </c:pt>
                <c:pt idx="2">
                  <c:v>110.86670749489647</c:v>
                </c:pt>
                <c:pt idx="3">
                  <c:v>118.40870072992701</c:v>
                </c:pt>
                <c:pt idx="4">
                  <c:v>113.4839302918674</c:v>
                </c:pt>
                <c:pt idx="5">
                  <c:v>137.99639009287927</c:v>
                </c:pt>
                <c:pt idx="6">
                  <c:v>131.88316043814433</c:v>
                </c:pt>
                <c:pt idx="7">
                  <c:v>140.76358785942492</c:v>
                </c:pt>
                <c:pt idx="8">
                  <c:v>124.56849687499999</c:v>
                </c:pt>
                <c:pt idx="9">
                  <c:v>98.331247863247853</c:v>
                </c:pt>
                <c:pt idx="10">
                  <c:v>100.22687931034483</c:v>
                </c:pt>
                <c:pt idx="11">
                  <c:v>104.48799423631122</c:v>
                </c:pt>
              </c:numCache>
            </c:numRef>
          </c:val>
          <c:smooth val="0"/>
          <c:extLst>
            <c:ext xmlns:c16="http://schemas.microsoft.com/office/drawing/2014/chart" uri="{C3380CC4-5D6E-409C-BE32-E72D297353CC}">
              <c16:uniqueId val="{00000002-446B-4862-B019-52E1E7AD9B53}"/>
            </c:ext>
          </c:extLst>
        </c:ser>
        <c:dLbls>
          <c:showLegendKey val="0"/>
          <c:showVal val="0"/>
          <c:showCatName val="0"/>
          <c:showSerName val="0"/>
          <c:showPercent val="0"/>
          <c:showBubbleSize val="0"/>
        </c:dLbls>
        <c:marker val="1"/>
        <c:smooth val="0"/>
        <c:axId val="753329887"/>
        <c:axId val="632959967"/>
      </c:lineChart>
      <c:catAx>
        <c:axId val="7533298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crossAx val="632959967"/>
        <c:crosses val="autoZero"/>
        <c:auto val="1"/>
        <c:lblAlgn val="ctr"/>
        <c:lblOffset val="100"/>
        <c:noMultiLvlLbl val="0"/>
      </c:catAx>
      <c:valAx>
        <c:axId val="6329599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r>
                  <a:rPr lang="en-US"/>
                  <a:t>Million USD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crossAx val="753329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ustom 1">
      <a:majorFont>
        <a:latin typeface="TH SarabunPSK"/>
        <a:ea typeface=""/>
        <a:cs typeface="TH SarabunPSK"/>
      </a:majorFont>
      <a:minorFont>
        <a:latin typeface="TH SarabunPSK"/>
        <a:ea typeface=""/>
        <a:cs typeface="TH SarabunPSK"/>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9E9F43-8AB9-4291-94E9-99132EC8A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25</Pages>
  <Words>7725</Words>
  <Characters>44033</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JumboA</dc:creator>
  <cp:keywords/>
  <dc:description/>
  <cp:lastModifiedBy>suvaluck satumanatpan</cp:lastModifiedBy>
  <cp:revision>8</cp:revision>
  <cp:lastPrinted>2025-12-12T04:23:00Z</cp:lastPrinted>
  <dcterms:created xsi:type="dcterms:W3CDTF">2025-12-11T08:15:00Z</dcterms:created>
  <dcterms:modified xsi:type="dcterms:W3CDTF">2025-12-12T04:25:00Z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3e1aabdd-0296-443a-91c6-7d64ee57fa52</vt:lpwstr>
  </property>
</Properties>
</file>