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41D653" w14:textId="1A7CC6AB" w:rsidR="005B4108" w:rsidRPr="00261FCE" w:rsidRDefault="005B4108" w:rsidP="00022293">
      <w:pPr>
        <w:pStyle w:val="Heading2"/>
        <w:spacing w:before="0" w:after="0"/>
        <w:jc w:val="center"/>
        <w:rPr>
          <w:rFonts w:ascii="Arial" w:eastAsia="Google Sans" w:hAnsi="Arial" w:cs="Arial"/>
          <w:b/>
          <w:bCs/>
          <w:color w:val="1F1F1F"/>
          <w:sz w:val="28"/>
          <w:szCs w:val="28"/>
        </w:rPr>
      </w:pPr>
      <w:r w:rsidRPr="00261FCE">
        <w:rPr>
          <w:rFonts w:ascii="Arial" w:eastAsia="Google Sans" w:hAnsi="Arial" w:cs="Arial"/>
          <w:b/>
          <w:bCs/>
          <w:color w:val="1F1F1F"/>
          <w:sz w:val="28"/>
          <w:szCs w:val="28"/>
        </w:rPr>
        <w:t>CHAPTER 7: Conclusion</w:t>
      </w:r>
    </w:p>
    <w:p w14:paraId="20AB3B2C" w14:textId="77777777" w:rsidR="005B4108" w:rsidRPr="00261FCE" w:rsidRDefault="005B4108" w:rsidP="00022293">
      <w:pPr>
        <w:pBdr>
          <w:top w:val="nil"/>
          <w:left w:val="nil"/>
          <w:bottom w:val="nil"/>
          <w:right w:val="nil"/>
          <w:between w:val="nil"/>
        </w:pBdr>
        <w:jc w:val="thaiDistribute"/>
        <w:rPr>
          <w:rFonts w:eastAsia="Google Sans"/>
          <w:color w:val="1F1F1F"/>
          <w:sz w:val="24"/>
          <w:szCs w:val="24"/>
        </w:rPr>
      </w:pPr>
    </w:p>
    <w:p w14:paraId="1529C664" w14:textId="77777777" w:rsidR="005B4108" w:rsidRPr="00261FCE" w:rsidRDefault="005B4108" w:rsidP="00022293">
      <w:pPr>
        <w:pBdr>
          <w:top w:val="nil"/>
          <w:left w:val="nil"/>
          <w:bottom w:val="nil"/>
          <w:right w:val="nil"/>
          <w:between w:val="nil"/>
        </w:pBdr>
        <w:jc w:val="thaiDistribute"/>
        <w:rPr>
          <w:rFonts w:eastAsia="Google Sans"/>
          <w:color w:val="1F1F1F"/>
          <w:sz w:val="24"/>
          <w:szCs w:val="24"/>
        </w:rPr>
      </w:pPr>
    </w:p>
    <w:p w14:paraId="68E35D41" w14:textId="6D8D4A81" w:rsidR="005B4108" w:rsidRPr="00261FCE" w:rsidRDefault="005B4108" w:rsidP="00022293">
      <w:pPr>
        <w:pStyle w:val="Heading3"/>
        <w:spacing w:before="0" w:after="0"/>
        <w:jc w:val="thaiDistribute"/>
        <w:rPr>
          <w:rFonts w:eastAsia="Google Sans" w:cs="Arial"/>
          <w:b/>
          <w:bCs/>
          <w:color w:val="1F1F1F"/>
          <w:sz w:val="24"/>
          <w:szCs w:val="24"/>
        </w:rPr>
      </w:pPr>
      <w:r w:rsidRPr="00261FCE">
        <w:rPr>
          <w:rFonts w:eastAsia="Google Sans" w:cs="Arial"/>
          <w:b/>
          <w:bCs/>
          <w:color w:val="1F1F1F"/>
          <w:sz w:val="24"/>
          <w:szCs w:val="24"/>
        </w:rPr>
        <w:t>7.1 Meeting the TDA objectives</w:t>
      </w:r>
    </w:p>
    <w:p w14:paraId="48D87D22" w14:textId="77777777" w:rsidR="005B4108" w:rsidRPr="00261FCE" w:rsidRDefault="005B4108" w:rsidP="00022293">
      <w:pPr>
        <w:jc w:val="thaiDistribute"/>
        <w:rPr>
          <w:sz w:val="24"/>
          <w:szCs w:val="24"/>
        </w:rPr>
      </w:pPr>
    </w:p>
    <w:p w14:paraId="757D7C79" w14:textId="77777777" w:rsidR="005B4108" w:rsidRPr="00261FCE" w:rsidRDefault="005B4108" w:rsidP="00022293">
      <w:pPr>
        <w:pBdr>
          <w:top w:val="nil"/>
          <w:left w:val="nil"/>
          <w:bottom w:val="nil"/>
          <w:right w:val="nil"/>
          <w:between w:val="nil"/>
        </w:pBdr>
        <w:jc w:val="thaiDistribute"/>
        <w:rPr>
          <w:rFonts w:eastAsia="Google Sans Text"/>
          <w:color w:val="1F1F1F"/>
          <w:sz w:val="24"/>
          <w:szCs w:val="24"/>
        </w:rPr>
      </w:pPr>
      <w:r w:rsidRPr="00261FCE">
        <w:rPr>
          <w:rFonts w:eastAsia="Google Sans Text"/>
          <w:color w:val="1F1F1F"/>
          <w:sz w:val="24"/>
          <w:szCs w:val="24"/>
        </w:rPr>
        <w:t>The 2025 National Transboundary Diagnostic Analysis has successfully met its primary objectives as set out in the inception phase. It has established a scientifically grounded 2024–2025 baseline for fisheries stock health, pollution loads, and ecosystem coverage, effectively updating the data from the previous 2000 assessment. The analysis has verified the causal chains linking land-based activities—specifically industrialization in the Eastern Economic Corridor (EEC) and intensive agriculture—to the degradation of marine resources in the Gulf of Thailand. Furthermore, it has identified the "implementation gap" between legislation and enforcement as the critical governance weakness.</w:t>
      </w:r>
    </w:p>
    <w:p w14:paraId="401D5D24" w14:textId="77777777" w:rsidR="005B4108" w:rsidRPr="00261FCE" w:rsidRDefault="005B4108" w:rsidP="00022293">
      <w:pPr>
        <w:pBdr>
          <w:top w:val="nil"/>
          <w:left w:val="nil"/>
          <w:bottom w:val="nil"/>
          <w:right w:val="nil"/>
          <w:between w:val="nil"/>
        </w:pBdr>
        <w:jc w:val="thaiDistribute"/>
        <w:rPr>
          <w:rFonts w:eastAsia="Google Sans Text"/>
          <w:color w:val="1F1F1F"/>
          <w:sz w:val="24"/>
          <w:szCs w:val="24"/>
        </w:rPr>
      </w:pPr>
    </w:p>
    <w:p w14:paraId="7AE59F0F" w14:textId="5257F2AB" w:rsidR="005B4108" w:rsidRPr="00261FCE" w:rsidRDefault="005B4108" w:rsidP="00022293">
      <w:pPr>
        <w:pBdr>
          <w:top w:val="nil"/>
          <w:left w:val="nil"/>
          <w:bottom w:val="nil"/>
          <w:right w:val="nil"/>
          <w:between w:val="nil"/>
        </w:pBdr>
        <w:jc w:val="thaiDistribute"/>
        <w:rPr>
          <w:rFonts w:eastAsia="Google Sans Text"/>
          <w:color w:val="1F1F1F"/>
          <w:sz w:val="24"/>
          <w:szCs w:val="24"/>
        </w:rPr>
      </w:pPr>
      <w:r w:rsidRPr="00261FCE">
        <w:rPr>
          <w:rFonts w:eastAsia="Google Sans Text"/>
          <w:color w:val="1F1F1F"/>
          <w:sz w:val="24"/>
          <w:szCs w:val="24"/>
        </w:rPr>
        <w:t xml:space="preserve">Crucially, the validation of these findings was solidified during the TDA Review Meeting convened by the Department of Marine and Coastal Resources (DMCR) on </w:t>
      </w:r>
      <w:r w:rsidRPr="00261FCE">
        <w:rPr>
          <w:rFonts w:eastAsia="Google Sans Text"/>
          <w:b/>
          <w:bCs/>
          <w:color w:val="1F1F1F"/>
          <w:sz w:val="24"/>
          <w:szCs w:val="24"/>
        </w:rPr>
        <w:t>November 17, 2025</w:t>
      </w:r>
      <w:r w:rsidRPr="00261FCE">
        <w:rPr>
          <w:rFonts w:eastAsia="Google Sans Text"/>
          <w:color w:val="1F1F1F"/>
          <w:sz w:val="24"/>
          <w:szCs w:val="24"/>
        </w:rPr>
        <w:t>. The objective of this meeting was to collaboratively review and discuss the results of the 2025 Transboundary Diagnostic Analysis and the draft preliminary report. This updated report underscores that it will play a critical role in supporting the formulation of the next phase of the SAP, ensuring that future projects are actionable and continuous. Additionally, the analysis results are intended to be applied to improve national environmental databases and development processes, ensuring that Thailand's marine management is data-driven and aligned with regional goals .</w:t>
      </w:r>
    </w:p>
    <w:p w14:paraId="5613E9B3" w14:textId="77777777" w:rsidR="005B4108" w:rsidRPr="00261FCE" w:rsidRDefault="005B4108" w:rsidP="00022293">
      <w:pPr>
        <w:pBdr>
          <w:top w:val="nil"/>
          <w:left w:val="nil"/>
          <w:bottom w:val="nil"/>
          <w:right w:val="nil"/>
          <w:between w:val="nil"/>
        </w:pBdr>
        <w:jc w:val="thaiDistribute"/>
        <w:rPr>
          <w:rFonts w:eastAsia="Google Sans Text"/>
          <w:color w:val="1F1F1F"/>
          <w:sz w:val="24"/>
          <w:szCs w:val="24"/>
        </w:rPr>
      </w:pPr>
    </w:p>
    <w:p w14:paraId="43060781" w14:textId="77777777" w:rsidR="005B4108" w:rsidRPr="00261FCE" w:rsidRDefault="005B4108" w:rsidP="00022293">
      <w:pPr>
        <w:pBdr>
          <w:top w:val="nil"/>
          <w:left w:val="nil"/>
          <w:bottom w:val="nil"/>
          <w:right w:val="nil"/>
          <w:between w:val="nil"/>
        </w:pBdr>
        <w:jc w:val="thaiDistribute"/>
        <w:rPr>
          <w:rFonts w:eastAsia="Google Sans Text"/>
          <w:color w:val="1F1F1F"/>
          <w:sz w:val="24"/>
          <w:szCs w:val="24"/>
        </w:rPr>
      </w:pPr>
    </w:p>
    <w:p w14:paraId="54F95D68" w14:textId="696D65BC" w:rsidR="005B4108" w:rsidRPr="00261FCE" w:rsidRDefault="005B4108" w:rsidP="00022293">
      <w:pPr>
        <w:pStyle w:val="Heading3"/>
        <w:spacing w:before="0" w:after="0"/>
        <w:jc w:val="thaiDistribute"/>
        <w:rPr>
          <w:rFonts w:eastAsia="Google Sans" w:cs="Arial"/>
          <w:b/>
          <w:bCs/>
          <w:color w:val="1F1F1F"/>
          <w:sz w:val="24"/>
          <w:szCs w:val="24"/>
        </w:rPr>
      </w:pPr>
      <w:r w:rsidRPr="00261FCE">
        <w:rPr>
          <w:rFonts w:eastAsia="Google Sans" w:cs="Arial"/>
          <w:b/>
          <w:bCs/>
          <w:color w:val="1F1F1F"/>
          <w:sz w:val="24"/>
          <w:szCs w:val="24"/>
        </w:rPr>
        <w:t>7.2 Key conclusions and crosscutting interactions</w:t>
      </w:r>
    </w:p>
    <w:p w14:paraId="7D812F67" w14:textId="77777777" w:rsidR="005B4108" w:rsidRPr="00261FCE" w:rsidRDefault="005B4108" w:rsidP="00022293">
      <w:pPr>
        <w:pBdr>
          <w:top w:val="nil"/>
          <w:left w:val="nil"/>
          <w:bottom w:val="nil"/>
          <w:right w:val="nil"/>
          <w:between w:val="nil"/>
        </w:pBdr>
        <w:jc w:val="thaiDistribute"/>
        <w:rPr>
          <w:rFonts w:eastAsia="Google Sans"/>
          <w:color w:val="1F1F1F"/>
          <w:sz w:val="24"/>
          <w:szCs w:val="24"/>
        </w:rPr>
      </w:pPr>
    </w:p>
    <w:p w14:paraId="60046D57" w14:textId="77777777" w:rsidR="005B4108" w:rsidRPr="00261FCE" w:rsidRDefault="005B4108" w:rsidP="00022293">
      <w:pPr>
        <w:pBdr>
          <w:top w:val="nil"/>
          <w:left w:val="nil"/>
          <w:bottom w:val="nil"/>
          <w:right w:val="nil"/>
          <w:between w:val="nil"/>
        </w:pBdr>
        <w:jc w:val="thaiDistribute"/>
        <w:rPr>
          <w:rFonts w:eastAsia="Google Sans Text"/>
          <w:color w:val="1F1F1F"/>
          <w:sz w:val="24"/>
          <w:szCs w:val="24"/>
        </w:rPr>
      </w:pPr>
      <w:r w:rsidRPr="00261FCE">
        <w:rPr>
          <w:rFonts w:eastAsia="Google Sans Text"/>
          <w:color w:val="1F1F1F"/>
          <w:sz w:val="24"/>
          <w:szCs w:val="24"/>
        </w:rPr>
        <w:t xml:space="preserve">The assessment reveals a complex web of interactions where </w:t>
      </w:r>
      <w:r w:rsidRPr="00261FCE">
        <w:rPr>
          <w:rFonts w:eastAsia="Google Sans Text"/>
          <w:b/>
          <w:bCs/>
          <w:color w:val="1F1F1F"/>
          <w:sz w:val="24"/>
          <w:szCs w:val="24"/>
        </w:rPr>
        <w:t>climate change acts as a threat multiplier</w:t>
      </w:r>
      <w:r w:rsidRPr="00261FCE">
        <w:rPr>
          <w:rFonts w:eastAsia="Google Sans Text"/>
          <w:color w:val="1F1F1F"/>
          <w:sz w:val="24"/>
          <w:szCs w:val="24"/>
        </w:rPr>
        <w:t xml:space="preserve"> for existing local stressors:</w:t>
      </w:r>
    </w:p>
    <w:p w14:paraId="637F1C2A" w14:textId="77777777" w:rsidR="00E67A0E" w:rsidRPr="00261FCE" w:rsidRDefault="00E67A0E" w:rsidP="00022293">
      <w:pPr>
        <w:pBdr>
          <w:top w:val="nil"/>
          <w:left w:val="nil"/>
          <w:bottom w:val="nil"/>
          <w:right w:val="nil"/>
          <w:between w:val="nil"/>
        </w:pBdr>
        <w:jc w:val="thaiDistribute"/>
        <w:rPr>
          <w:rFonts w:eastAsia="Google Sans Text"/>
          <w:color w:val="1F1F1F"/>
          <w:sz w:val="24"/>
          <w:szCs w:val="24"/>
        </w:rPr>
      </w:pPr>
    </w:p>
    <w:p w14:paraId="4754E5A3" w14:textId="77777777" w:rsidR="005B4108" w:rsidRPr="00261FCE" w:rsidRDefault="005B4108" w:rsidP="00022293">
      <w:pPr>
        <w:numPr>
          <w:ilvl w:val="0"/>
          <w:numId w:val="1"/>
        </w:numPr>
        <w:pBdr>
          <w:top w:val="nil"/>
          <w:left w:val="nil"/>
          <w:bottom w:val="nil"/>
          <w:right w:val="nil"/>
          <w:between w:val="nil"/>
        </w:pBdr>
        <w:jc w:val="thaiDistribute"/>
        <w:rPr>
          <w:sz w:val="24"/>
          <w:szCs w:val="24"/>
        </w:rPr>
      </w:pPr>
      <w:r w:rsidRPr="00261FCE">
        <w:rPr>
          <w:rFonts w:eastAsia="Google Sans Text"/>
          <w:b/>
          <w:bCs/>
          <w:color w:val="1F1F1F"/>
          <w:sz w:val="24"/>
          <w:szCs w:val="24"/>
        </w:rPr>
        <w:t>Climate-Pollution Nexus:</w:t>
      </w:r>
      <w:r w:rsidRPr="00261FCE">
        <w:rPr>
          <w:rFonts w:eastAsia="Google Sans Text"/>
          <w:color w:val="1F1F1F"/>
          <w:sz w:val="24"/>
          <w:szCs w:val="24"/>
        </w:rPr>
        <w:t xml:space="preserve"> Eutrophic waters in the Upper Gulf reduce the thermal tolerance of coral reefs, making them more susceptible to mass bleaching during marine heatwaves. Pollution control is therefore a key climate adaptation strategy.</w:t>
      </w:r>
    </w:p>
    <w:p w14:paraId="191B8553" w14:textId="77777777" w:rsidR="00022293" w:rsidRPr="00261FCE" w:rsidRDefault="005B4108" w:rsidP="00022293">
      <w:pPr>
        <w:numPr>
          <w:ilvl w:val="0"/>
          <w:numId w:val="1"/>
        </w:numPr>
        <w:pBdr>
          <w:top w:val="nil"/>
          <w:left w:val="nil"/>
          <w:bottom w:val="nil"/>
          <w:right w:val="nil"/>
          <w:between w:val="nil"/>
        </w:pBdr>
        <w:jc w:val="thaiDistribute"/>
        <w:rPr>
          <w:sz w:val="24"/>
          <w:szCs w:val="24"/>
        </w:rPr>
      </w:pPr>
      <w:r w:rsidRPr="00261FCE">
        <w:rPr>
          <w:rFonts w:eastAsia="Google Sans Text"/>
          <w:b/>
          <w:bCs/>
          <w:color w:val="1F1F1F"/>
          <w:sz w:val="24"/>
          <w:szCs w:val="24"/>
        </w:rPr>
        <w:t>Socio-Economic Vulnerability:</w:t>
      </w:r>
      <w:r w:rsidRPr="00261FCE">
        <w:rPr>
          <w:rFonts w:eastAsia="Google Sans Text"/>
          <w:color w:val="1F1F1F"/>
          <w:sz w:val="24"/>
          <w:szCs w:val="24"/>
        </w:rPr>
        <w:t xml:space="preserve"> There is a stark divergence in resilience. The wealthy industrial East faces financial risks to infrastructure, while the agrarian South faces livelihood risks due to resource depletion and poverty.</w:t>
      </w:r>
    </w:p>
    <w:p w14:paraId="7F7AEBDD" w14:textId="77777777" w:rsidR="00022293" w:rsidRPr="00261FCE" w:rsidRDefault="00022293" w:rsidP="00022293">
      <w:pPr>
        <w:numPr>
          <w:ilvl w:val="0"/>
          <w:numId w:val="1"/>
        </w:numPr>
        <w:pBdr>
          <w:top w:val="nil"/>
          <w:left w:val="nil"/>
          <w:bottom w:val="nil"/>
          <w:right w:val="nil"/>
          <w:between w:val="nil"/>
        </w:pBdr>
        <w:jc w:val="thaiDistribute"/>
        <w:rPr>
          <w:sz w:val="24"/>
          <w:szCs w:val="24"/>
        </w:rPr>
      </w:pPr>
      <w:r w:rsidRPr="00261FCE">
        <w:rPr>
          <w:b/>
          <w:bCs/>
          <w:sz w:val="24"/>
          <w:szCs w:val="24"/>
        </w:rPr>
        <w:t>Land-Sea Integration</w:t>
      </w:r>
      <w:r w:rsidRPr="00261FCE">
        <w:rPr>
          <w:sz w:val="24"/>
          <w:szCs w:val="24"/>
        </w:rPr>
        <w:t>: The analysis underscores the critical need for Land-Sea Integration. The "Land-Sea Disconnect" remains a primary driver of degradation, where terrestrial activities (nutrient runoff, sediment loading) undermine marine ecosystem health. Future management must bridge this gap by treating watersheds and coastal zones as a single continuum.</w:t>
      </w:r>
    </w:p>
    <w:p w14:paraId="1C4B09EC" w14:textId="77777777" w:rsidR="00022293" w:rsidRPr="00261FCE" w:rsidRDefault="00022293" w:rsidP="00022293">
      <w:pPr>
        <w:numPr>
          <w:ilvl w:val="0"/>
          <w:numId w:val="1"/>
        </w:numPr>
        <w:pBdr>
          <w:top w:val="nil"/>
          <w:left w:val="nil"/>
          <w:bottom w:val="nil"/>
          <w:right w:val="nil"/>
          <w:between w:val="nil"/>
        </w:pBdr>
        <w:jc w:val="thaiDistribute"/>
        <w:rPr>
          <w:b/>
          <w:bCs/>
          <w:sz w:val="24"/>
          <w:szCs w:val="24"/>
        </w:rPr>
      </w:pPr>
      <w:r w:rsidRPr="00261FCE">
        <w:rPr>
          <w:b/>
          <w:bCs/>
          <w:sz w:val="24"/>
          <w:szCs w:val="24"/>
        </w:rPr>
        <w:t>Fisheries Threats and Management:</w:t>
      </w:r>
    </w:p>
    <w:p w14:paraId="134F2603" w14:textId="77777777" w:rsidR="00022293" w:rsidRPr="00261FCE" w:rsidRDefault="00022293" w:rsidP="00261FCE">
      <w:pPr>
        <w:numPr>
          <w:ilvl w:val="1"/>
          <w:numId w:val="1"/>
        </w:numPr>
        <w:pBdr>
          <w:top w:val="nil"/>
          <w:left w:val="nil"/>
          <w:bottom w:val="nil"/>
          <w:right w:val="nil"/>
          <w:between w:val="nil"/>
        </w:pBdr>
        <w:ind w:hanging="357"/>
        <w:jc w:val="thaiDistribute"/>
        <w:rPr>
          <w:b/>
          <w:bCs/>
          <w:sz w:val="24"/>
          <w:szCs w:val="24"/>
        </w:rPr>
      </w:pPr>
      <w:r w:rsidRPr="00261FCE">
        <w:rPr>
          <w:b/>
          <w:bCs/>
          <w:sz w:val="24"/>
          <w:szCs w:val="24"/>
        </w:rPr>
        <w:t>Ecosystem Approach</w:t>
      </w:r>
      <w:r w:rsidRPr="00261FCE">
        <w:rPr>
          <w:sz w:val="24"/>
          <w:szCs w:val="24"/>
        </w:rPr>
        <w:t>: There is an urgent need to shift towards an Ecosystem Approach to Fisheries Management (EAFM), particularly in vulnerable areas where single-species management has failed to prevent degradation.</w:t>
      </w:r>
    </w:p>
    <w:p w14:paraId="4614CA36" w14:textId="77777777" w:rsidR="00261FCE" w:rsidRPr="00261FCE" w:rsidRDefault="00261FCE" w:rsidP="00261FCE">
      <w:pPr>
        <w:pStyle w:val="NormalWeb"/>
        <w:numPr>
          <w:ilvl w:val="1"/>
          <w:numId w:val="1"/>
        </w:numPr>
        <w:spacing w:before="0" w:beforeAutospacing="0" w:after="0" w:afterAutospacing="0"/>
        <w:ind w:hanging="357"/>
        <w:rPr>
          <w:rFonts w:ascii="Arial" w:hAnsi="Arial" w:cs="Arial"/>
          <w:color w:val="000000" w:themeColor="text1"/>
        </w:rPr>
      </w:pPr>
      <w:r w:rsidRPr="00261FCE">
        <w:rPr>
          <w:rFonts w:ascii="Arial" w:hAnsi="Arial" w:cs="Arial"/>
          <w:b/>
          <w:bCs/>
          <w:color w:val="000000" w:themeColor="text1"/>
        </w:rPr>
        <w:t>Gear Selectivity and Catch Efficiency:</w:t>
      </w:r>
      <w:r w:rsidRPr="00261FCE">
        <w:rPr>
          <w:rFonts w:ascii="Arial" w:hAnsi="Arial" w:cs="Arial"/>
          <w:color w:val="000000" w:themeColor="text1"/>
        </w:rPr>
        <w:t xml:space="preserve"> The prevalence of non-selective fishing gears (e.g., trawlers with high catch efficiency but poor </w:t>
      </w:r>
      <w:r w:rsidRPr="00261FCE">
        <w:rPr>
          <w:rFonts w:ascii="Arial" w:hAnsi="Arial" w:cs="Arial"/>
          <w:color w:val="000000" w:themeColor="text1"/>
        </w:rPr>
        <w:lastRenderedPageBreak/>
        <w:t>selectivity) continues to capture high volumes of juvenile fish and "trash fish" compared to selective gears. This unsustainable Fishing Effort directly impacts stock recruitment and ecosystem balance.</w:t>
      </w:r>
    </w:p>
    <w:p w14:paraId="6727EA66" w14:textId="08C9F04F" w:rsidR="00261FCE" w:rsidRPr="00261FCE" w:rsidRDefault="00261FCE" w:rsidP="00261FCE">
      <w:pPr>
        <w:pStyle w:val="NormalWeb"/>
        <w:numPr>
          <w:ilvl w:val="1"/>
          <w:numId w:val="1"/>
        </w:numPr>
        <w:spacing w:before="0" w:beforeAutospacing="0" w:after="0" w:afterAutospacing="0"/>
        <w:ind w:hanging="357"/>
        <w:rPr>
          <w:rFonts w:ascii="Arial" w:hAnsi="Arial" w:cs="Arial"/>
          <w:color w:val="000000" w:themeColor="text1"/>
        </w:rPr>
      </w:pPr>
      <w:r w:rsidRPr="00261FCE">
        <w:rPr>
          <w:rFonts w:ascii="Arial" w:hAnsi="Arial" w:cs="Arial"/>
          <w:b/>
          <w:bCs/>
          <w:color w:val="000000" w:themeColor="text1"/>
        </w:rPr>
        <w:t>Governance and Legal Contradictions:</w:t>
      </w:r>
      <w:r w:rsidRPr="00261FCE">
        <w:rPr>
          <w:rFonts w:ascii="Arial" w:hAnsi="Arial" w:cs="Arial"/>
          <w:color w:val="000000" w:themeColor="text1"/>
        </w:rPr>
        <w:t> A critical governance finding is the practical contradiction between legal sections regarding by-catch reduction. Specifically, tensions exist between Section 57 (which prohibits the catch of juvenile aquatic animals below a prescribed size) and Section 69 (which regulates fishing gear specifications, such as mesh sizes). In practice, fishers operating "legal" gear under Section 69 often still catch undersized fish prohibited by Section 57, creating an enforcement loophole. The TDA recommends resolving this legal ambiguity to effectively reduce by-catch.</w:t>
      </w:r>
    </w:p>
    <w:p w14:paraId="2BA5E879" w14:textId="12774BB3" w:rsidR="00022293" w:rsidRPr="00261FCE" w:rsidRDefault="00022293" w:rsidP="00261FCE">
      <w:pPr>
        <w:pStyle w:val="ListParagraph"/>
        <w:numPr>
          <w:ilvl w:val="0"/>
          <w:numId w:val="1"/>
        </w:numPr>
        <w:pBdr>
          <w:top w:val="nil"/>
          <w:left w:val="nil"/>
          <w:bottom w:val="nil"/>
          <w:right w:val="nil"/>
          <w:between w:val="nil"/>
        </w:pBdr>
        <w:ind w:hanging="357"/>
        <w:jc w:val="thaiDistribute"/>
        <w:rPr>
          <w:b/>
          <w:bCs/>
          <w:sz w:val="24"/>
          <w:szCs w:val="24"/>
        </w:rPr>
      </w:pPr>
      <w:r w:rsidRPr="00261FCE">
        <w:rPr>
          <w:b/>
          <w:bCs/>
          <w:sz w:val="24"/>
          <w:szCs w:val="24"/>
        </w:rPr>
        <w:t>Transboundary Species Management</w:t>
      </w:r>
      <w:r w:rsidRPr="00261FCE">
        <w:rPr>
          <w:sz w:val="24"/>
          <w:szCs w:val="24"/>
        </w:rPr>
        <w:t>: The report highlights the necessity of regional cooperation for Transboundary Species. Joint management initiatives must be strengthened, building on frameworks like the GOT Fish Project led by SEAFDEC, to ensure harmonized regulations across the Gulf of Thailand.</w:t>
      </w:r>
    </w:p>
    <w:p w14:paraId="26ECF05D" w14:textId="77777777" w:rsidR="00E67A0E" w:rsidRPr="00261FCE" w:rsidRDefault="00E67A0E" w:rsidP="00022293">
      <w:pPr>
        <w:pBdr>
          <w:top w:val="nil"/>
          <w:left w:val="nil"/>
          <w:bottom w:val="nil"/>
          <w:right w:val="nil"/>
          <w:between w:val="nil"/>
        </w:pBdr>
        <w:jc w:val="thaiDistribute"/>
        <w:rPr>
          <w:rFonts w:eastAsia="Google Sans Text"/>
          <w:color w:val="1F1F1F"/>
          <w:sz w:val="24"/>
          <w:szCs w:val="24"/>
        </w:rPr>
      </w:pPr>
    </w:p>
    <w:p w14:paraId="76CF5042" w14:textId="34412CC9" w:rsidR="00E67A0E" w:rsidRPr="00261FCE" w:rsidRDefault="00E67A0E" w:rsidP="00022293">
      <w:pPr>
        <w:pBdr>
          <w:top w:val="nil"/>
          <w:left w:val="nil"/>
          <w:bottom w:val="nil"/>
          <w:right w:val="nil"/>
          <w:between w:val="nil"/>
        </w:pBdr>
        <w:jc w:val="thaiDistribute"/>
        <w:rPr>
          <w:rFonts w:eastAsia="Google Sans Text"/>
          <w:color w:val="000000" w:themeColor="text1"/>
          <w:sz w:val="24"/>
          <w:szCs w:val="24"/>
        </w:rPr>
      </w:pPr>
      <w:r w:rsidRPr="00261FCE">
        <w:rPr>
          <w:rFonts w:eastAsiaTheme="minorHAnsi"/>
          <w:b/>
          <w:bCs/>
          <w:color w:val="000000" w:themeColor="text1"/>
          <w:sz w:val="24"/>
          <w:szCs w:val="24"/>
          <w:lang w:val="en-US"/>
          <w14:ligatures w14:val="standardContextual"/>
        </w:rPr>
        <w:t>Note on Methodological Constraints:</w:t>
      </w:r>
      <w:r w:rsidRPr="00261FCE">
        <w:rPr>
          <w:rFonts w:eastAsiaTheme="minorHAnsi"/>
          <w:color w:val="000000" w:themeColor="text1"/>
          <w:sz w:val="24"/>
          <w:szCs w:val="24"/>
          <w:lang w:val="en-US"/>
          <w14:ligatures w14:val="standardContextual"/>
        </w:rPr>
        <w:t> It is important to note that </w:t>
      </w:r>
      <w:r w:rsidRPr="00261FCE">
        <w:rPr>
          <w:rFonts w:eastAsiaTheme="minorHAnsi"/>
          <w:b/>
          <w:bCs/>
          <w:color w:val="000000" w:themeColor="text1"/>
          <w:sz w:val="24"/>
          <w:szCs w:val="24"/>
          <w:lang w:val="en-US"/>
          <w14:ligatures w14:val="standardContextual"/>
        </w:rPr>
        <w:t>Ocean Accounts</w:t>
      </w:r>
      <w:r w:rsidRPr="00261FCE">
        <w:rPr>
          <w:rFonts w:eastAsiaTheme="minorHAnsi"/>
          <w:color w:val="000000" w:themeColor="text1"/>
          <w:sz w:val="24"/>
          <w:szCs w:val="24"/>
          <w:lang w:val="en-US"/>
          <w14:ligatures w14:val="standardContextual"/>
        </w:rPr>
        <w:t> were not utilized in this assessment. This decision was due to current limitations in isolating marine-specific data within national statistics and the necessity to maintain consistency with the project's original indicator framework to ensure comparability with historical data.</w:t>
      </w:r>
    </w:p>
    <w:p w14:paraId="5BB40141" w14:textId="77777777" w:rsidR="00E67A0E" w:rsidRPr="00261FCE" w:rsidRDefault="00E67A0E" w:rsidP="00022293">
      <w:pPr>
        <w:pBdr>
          <w:top w:val="nil"/>
          <w:left w:val="nil"/>
          <w:bottom w:val="nil"/>
          <w:right w:val="nil"/>
          <w:between w:val="nil"/>
        </w:pBdr>
        <w:jc w:val="thaiDistribute"/>
        <w:rPr>
          <w:rFonts w:eastAsia="Google Sans Text"/>
          <w:color w:val="1F1F1F"/>
          <w:sz w:val="24"/>
          <w:szCs w:val="24"/>
        </w:rPr>
      </w:pPr>
    </w:p>
    <w:p w14:paraId="506C3B07" w14:textId="77777777" w:rsidR="00E67A0E" w:rsidRPr="00261FCE" w:rsidRDefault="00E67A0E" w:rsidP="00022293">
      <w:pPr>
        <w:pBdr>
          <w:top w:val="nil"/>
          <w:left w:val="nil"/>
          <w:bottom w:val="nil"/>
          <w:right w:val="nil"/>
          <w:between w:val="nil"/>
        </w:pBdr>
        <w:jc w:val="thaiDistribute"/>
        <w:rPr>
          <w:rFonts w:eastAsia="Google Sans Text"/>
          <w:color w:val="1F1F1F"/>
          <w:sz w:val="24"/>
          <w:szCs w:val="24"/>
        </w:rPr>
      </w:pPr>
    </w:p>
    <w:p w14:paraId="6DB64424" w14:textId="77777777" w:rsidR="005B4108" w:rsidRPr="00261FCE" w:rsidRDefault="005B4108" w:rsidP="00022293">
      <w:pPr>
        <w:pStyle w:val="Heading3"/>
        <w:spacing w:before="0" w:after="0"/>
        <w:jc w:val="thaiDistribute"/>
        <w:rPr>
          <w:rFonts w:eastAsia="Google Sans" w:cs="Arial"/>
          <w:b/>
          <w:bCs/>
          <w:color w:val="1F1F1F"/>
          <w:sz w:val="24"/>
          <w:szCs w:val="24"/>
        </w:rPr>
      </w:pPr>
      <w:r w:rsidRPr="00261FCE">
        <w:rPr>
          <w:rFonts w:eastAsia="Google Sans" w:cs="Arial"/>
          <w:b/>
          <w:bCs/>
          <w:color w:val="1F1F1F"/>
          <w:sz w:val="24"/>
          <w:szCs w:val="24"/>
        </w:rPr>
        <w:t>7.3 Patterns of risk among spatial units of analyses and at country scale</w:t>
      </w:r>
    </w:p>
    <w:p w14:paraId="046110D1" w14:textId="77777777" w:rsidR="005B4108" w:rsidRPr="00261FCE" w:rsidRDefault="005B4108" w:rsidP="00022293">
      <w:pPr>
        <w:pBdr>
          <w:top w:val="nil"/>
          <w:left w:val="nil"/>
          <w:bottom w:val="nil"/>
          <w:right w:val="nil"/>
          <w:between w:val="nil"/>
        </w:pBdr>
        <w:jc w:val="thaiDistribute"/>
        <w:rPr>
          <w:rFonts w:eastAsia="Google Sans"/>
          <w:color w:val="1F1F1F"/>
          <w:sz w:val="24"/>
          <w:szCs w:val="24"/>
        </w:rPr>
      </w:pPr>
    </w:p>
    <w:p w14:paraId="1ACEDF72" w14:textId="77777777" w:rsidR="005B4108" w:rsidRPr="00261FCE" w:rsidRDefault="005B4108" w:rsidP="00022293">
      <w:pPr>
        <w:pBdr>
          <w:top w:val="nil"/>
          <w:left w:val="nil"/>
          <w:bottom w:val="nil"/>
          <w:right w:val="nil"/>
          <w:between w:val="nil"/>
        </w:pBdr>
        <w:jc w:val="thaiDistribute"/>
        <w:rPr>
          <w:rFonts w:eastAsia="Google Sans Text"/>
          <w:color w:val="1F1F1F"/>
          <w:sz w:val="24"/>
          <w:szCs w:val="24"/>
        </w:rPr>
      </w:pPr>
      <w:r w:rsidRPr="00261FCE">
        <w:rPr>
          <w:rFonts w:eastAsia="Google Sans Text"/>
          <w:color w:val="1F1F1F"/>
          <w:sz w:val="24"/>
          <w:szCs w:val="24"/>
        </w:rPr>
        <w:t>Risk is not evenly distributed across Thailand’s maritime domain. The TDA identifies three distinct risk typologies:</w:t>
      </w:r>
    </w:p>
    <w:p w14:paraId="0F75A459" w14:textId="77777777" w:rsidR="00022293" w:rsidRPr="00261FCE" w:rsidRDefault="00022293" w:rsidP="00022293">
      <w:pPr>
        <w:pBdr>
          <w:top w:val="nil"/>
          <w:left w:val="nil"/>
          <w:bottom w:val="nil"/>
          <w:right w:val="nil"/>
          <w:between w:val="nil"/>
        </w:pBdr>
        <w:jc w:val="thaiDistribute"/>
        <w:rPr>
          <w:rFonts w:eastAsia="Google Sans Text"/>
          <w:color w:val="1F1F1F"/>
          <w:sz w:val="24"/>
          <w:szCs w:val="24"/>
        </w:rPr>
      </w:pPr>
    </w:p>
    <w:p w14:paraId="0D5ED0C3" w14:textId="77777777" w:rsidR="005B4108" w:rsidRPr="00261FCE" w:rsidRDefault="005B4108" w:rsidP="00022293">
      <w:pPr>
        <w:numPr>
          <w:ilvl w:val="0"/>
          <w:numId w:val="2"/>
        </w:numPr>
        <w:pBdr>
          <w:top w:val="nil"/>
          <w:left w:val="nil"/>
          <w:bottom w:val="nil"/>
          <w:right w:val="nil"/>
          <w:between w:val="nil"/>
        </w:pBdr>
        <w:jc w:val="thaiDistribute"/>
        <w:rPr>
          <w:sz w:val="24"/>
          <w:szCs w:val="24"/>
        </w:rPr>
      </w:pPr>
      <w:r w:rsidRPr="00261FCE">
        <w:rPr>
          <w:rFonts w:eastAsia="Google Sans Text"/>
          <w:b/>
          <w:bCs/>
          <w:color w:val="1F1F1F"/>
          <w:sz w:val="24"/>
          <w:szCs w:val="24"/>
        </w:rPr>
        <w:t>The Industrial Hotspot (Upper Gulf &amp; EEC):</w:t>
      </w:r>
      <w:r w:rsidRPr="00261FCE">
        <w:rPr>
          <w:rFonts w:eastAsia="Google Sans Text"/>
          <w:color w:val="1F1F1F"/>
          <w:sz w:val="24"/>
          <w:szCs w:val="24"/>
        </w:rPr>
        <w:t xml:space="preserve"> Characterized by </w:t>
      </w:r>
      <w:r w:rsidRPr="00261FCE">
        <w:rPr>
          <w:rFonts w:eastAsia="Google Sans Text"/>
          <w:b/>
          <w:bCs/>
          <w:color w:val="1F1F1F"/>
          <w:sz w:val="24"/>
          <w:szCs w:val="24"/>
        </w:rPr>
        <w:t>High Environmental Risk</w:t>
      </w:r>
      <w:r w:rsidRPr="00261FCE">
        <w:rPr>
          <w:rFonts w:eastAsia="Google Sans Text"/>
          <w:color w:val="1F1F1F"/>
          <w:sz w:val="24"/>
          <w:szCs w:val="24"/>
        </w:rPr>
        <w:t xml:space="preserve"> (hypoxia, hazardous waste, microplastics) but </w:t>
      </w:r>
      <w:r w:rsidRPr="00261FCE">
        <w:rPr>
          <w:rFonts w:eastAsia="Google Sans Text"/>
          <w:b/>
          <w:bCs/>
          <w:color w:val="1F1F1F"/>
          <w:sz w:val="24"/>
          <w:szCs w:val="24"/>
        </w:rPr>
        <w:t>High Adaptive Capacity</w:t>
      </w:r>
      <w:r w:rsidRPr="00261FCE">
        <w:rPr>
          <w:rFonts w:eastAsia="Google Sans Text"/>
          <w:color w:val="1F1F1F"/>
          <w:sz w:val="24"/>
          <w:szCs w:val="24"/>
        </w:rPr>
        <w:t xml:space="preserve"> (wealthy provinces). The priority here is regulation and technological mitigation.</w:t>
      </w:r>
    </w:p>
    <w:p w14:paraId="097B9319" w14:textId="77777777" w:rsidR="005B4108" w:rsidRPr="00261FCE" w:rsidRDefault="005B4108" w:rsidP="00022293">
      <w:pPr>
        <w:numPr>
          <w:ilvl w:val="0"/>
          <w:numId w:val="2"/>
        </w:numPr>
        <w:pBdr>
          <w:top w:val="nil"/>
          <w:left w:val="nil"/>
          <w:bottom w:val="nil"/>
          <w:right w:val="nil"/>
          <w:between w:val="nil"/>
        </w:pBdr>
        <w:jc w:val="thaiDistribute"/>
        <w:rPr>
          <w:sz w:val="24"/>
          <w:szCs w:val="24"/>
        </w:rPr>
      </w:pPr>
      <w:r w:rsidRPr="00261FCE">
        <w:rPr>
          <w:rFonts w:eastAsia="Google Sans Text"/>
          <w:b/>
          <w:bCs/>
          <w:color w:val="1F1F1F"/>
          <w:sz w:val="24"/>
          <w:szCs w:val="24"/>
        </w:rPr>
        <w:t>The Livelihood Trap (Lower Gulf/Deep South):</w:t>
      </w:r>
      <w:r w:rsidRPr="00261FCE">
        <w:rPr>
          <w:rFonts w:eastAsia="Google Sans Text"/>
          <w:color w:val="1F1F1F"/>
          <w:sz w:val="24"/>
          <w:szCs w:val="24"/>
        </w:rPr>
        <w:t xml:space="preserve"> Characterized by </w:t>
      </w:r>
      <w:r w:rsidRPr="00261FCE">
        <w:rPr>
          <w:rFonts w:eastAsia="Google Sans Text"/>
          <w:b/>
          <w:bCs/>
          <w:color w:val="1F1F1F"/>
          <w:sz w:val="24"/>
          <w:szCs w:val="24"/>
        </w:rPr>
        <w:t>Moderate Environmental Risk</w:t>
      </w:r>
      <w:r w:rsidRPr="00261FCE">
        <w:rPr>
          <w:rFonts w:eastAsia="Google Sans Text"/>
          <w:color w:val="1F1F1F"/>
          <w:sz w:val="24"/>
          <w:szCs w:val="24"/>
        </w:rPr>
        <w:t xml:space="preserve"> but </w:t>
      </w:r>
      <w:r w:rsidRPr="00261FCE">
        <w:rPr>
          <w:rFonts w:eastAsia="Google Sans Text"/>
          <w:b/>
          <w:bCs/>
          <w:color w:val="1F1F1F"/>
          <w:sz w:val="24"/>
          <w:szCs w:val="24"/>
        </w:rPr>
        <w:t>High Social Vulnerability</w:t>
      </w:r>
      <w:r w:rsidRPr="00261FCE">
        <w:rPr>
          <w:rFonts w:eastAsia="Google Sans Text"/>
          <w:color w:val="1F1F1F"/>
          <w:sz w:val="24"/>
          <w:szCs w:val="24"/>
        </w:rPr>
        <w:t xml:space="preserve"> (poverty &gt;20%). Climate shocks here directly translate to human suffering due to high dependence on nature.</w:t>
      </w:r>
    </w:p>
    <w:p w14:paraId="64C6D9C8" w14:textId="77777777" w:rsidR="005B4108" w:rsidRPr="00261FCE" w:rsidRDefault="005B4108" w:rsidP="00022293">
      <w:pPr>
        <w:numPr>
          <w:ilvl w:val="0"/>
          <w:numId w:val="2"/>
        </w:numPr>
        <w:pBdr>
          <w:top w:val="nil"/>
          <w:left w:val="nil"/>
          <w:bottom w:val="nil"/>
          <w:right w:val="nil"/>
          <w:between w:val="nil"/>
        </w:pBdr>
        <w:jc w:val="thaiDistribute"/>
        <w:rPr>
          <w:sz w:val="24"/>
          <w:szCs w:val="24"/>
        </w:rPr>
      </w:pPr>
      <w:r w:rsidRPr="00261FCE">
        <w:rPr>
          <w:rFonts w:eastAsia="Google Sans Text"/>
          <w:b/>
          <w:bCs/>
          <w:color w:val="1F1F1F"/>
          <w:sz w:val="24"/>
          <w:szCs w:val="24"/>
        </w:rPr>
        <w:t>The Ecological Refugia (Offshore Islands):</w:t>
      </w:r>
      <w:r w:rsidRPr="00261FCE">
        <w:rPr>
          <w:rFonts w:eastAsia="Google Sans Text"/>
          <w:color w:val="1F1F1F"/>
          <w:sz w:val="24"/>
          <w:szCs w:val="24"/>
        </w:rPr>
        <w:t xml:space="preserve"> Sites like Koh Losin and the Chumphon Pinnacles represent </w:t>
      </w:r>
      <w:r w:rsidRPr="00261FCE">
        <w:rPr>
          <w:rFonts w:eastAsia="Google Sans Text"/>
          <w:b/>
          <w:bCs/>
          <w:color w:val="1F1F1F"/>
          <w:sz w:val="24"/>
          <w:szCs w:val="24"/>
        </w:rPr>
        <w:t>Low Risk/High Value</w:t>
      </w:r>
      <w:r w:rsidRPr="00261FCE">
        <w:rPr>
          <w:rFonts w:eastAsia="Google Sans Text"/>
          <w:color w:val="1F1F1F"/>
          <w:sz w:val="24"/>
          <w:szCs w:val="24"/>
        </w:rPr>
        <w:t xml:space="preserve"> assets. They act as the "biological insurance" for the Gulf and require strict protection from physical damage to maintain larval connectivity.</w:t>
      </w:r>
    </w:p>
    <w:p w14:paraId="3B9DB43C" w14:textId="77777777" w:rsidR="005B4108" w:rsidRPr="00261FCE" w:rsidRDefault="005B4108" w:rsidP="00022293">
      <w:pPr>
        <w:pBdr>
          <w:top w:val="nil"/>
          <w:left w:val="nil"/>
          <w:bottom w:val="nil"/>
          <w:right w:val="nil"/>
          <w:between w:val="nil"/>
        </w:pBdr>
        <w:jc w:val="thaiDistribute"/>
        <w:rPr>
          <w:rFonts w:eastAsia="Google Sans Text"/>
          <w:color w:val="1F1F1F"/>
          <w:sz w:val="24"/>
          <w:szCs w:val="24"/>
        </w:rPr>
      </w:pPr>
    </w:p>
    <w:p w14:paraId="44B4ED65" w14:textId="77777777" w:rsidR="00022293" w:rsidRPr="00261FCE" w:rsidRDefault="00022293" w:rsidP="00022293">
      <w:pPr>
        <w:pStyle w:val="Heading3"/>
        <w:spacing w:before="0" w:after="0"/>
        <w:jc w:val="thaiDistribute"/>
        <w:rPr>
          <w:rFonts w:eastAsia="Google Sans" w:cs="Arial"/>
          <w:b/>
          <w:bCs/>
          <w:color w:val="1F1F1F"/>
          <w:sz w:val="24"/>
          <w:szCs w:val="24"/>
        </w:rPr>
      </w:pPr>
    </w:p>
    <w:p w14:paraId="2C182ED3" w14:textId="63295BD5" w:rsidR="005B4108" w:rsidRPr="00261FCE" w:rsidRDefault="005B4108" w:rsidP="00022293">
      <w:pPr>
        <w:pStyle w:val="Heading3"/>
        <w:spacing w:before="0" w:after="0"/>
        <w:jc w:val="thaiDistribute"/>
        <w:rPr>
          <w:rFonts w:eastAsia="Google Sans" w:cs="Arial"/>
          <w:b/>
          <w:bCs/>
          <w:color w:val="1F1F1F"/>
          <w:sz w:val="24"/>
          <w:szCs w:val="24"/>
        </w:rPr>
      </w:pPr>
      <w:r w:rsidRPr="00261FCE">
        <w:rPr>
          <w:rFonts w:eastAsia="Google Sans" w:cs="Arial"/>
          <w:b/>
          <w:bCs/>
          <w:color w:val="1F1F1F"/>
          <w:sz w:val="24"/>
          <w:szCs w:val="24"/>
        </w:rPr>
        <w:t>7.4 Target audience</w:t>
      </w:r>
    </w:p>
    <w:p w14:paraId="36C92401" w14:textId="77777777" w:rsidR="005B4108" w:rsidRPr="00261FCE" w:rsidRDefault="005B4108" w:rsidP="00022293">
      <w:pPr>
        <w:pBdr>
          <w:top w:val="nil"/>
          <w:left w:val="nil"/>
          <w:bottom w:val="nil"/>
          <w:right w:val="nil"/>
          <w:between w:val="nil"/>
        </w:pBdr>
        <w:jc w:val="thaiDistribute"/>
        <w:rPr>
          <w:rFonts w:eastAsia="Google Sans"/>
          <w:color w:val="1F1F1F"/>
          <w:sz w:val="24"/>
          <w:szCs w:val="24"/>
        </w:rPr>
      </w:pPr>
    </w:p>
    <w:p w14:paraId="5D76FB8D" w14:textId="736981DE" w:rsidR="005B4108" w:rsidRPr="00261FCE" w:rsidRDefault="005B4108" w:rsidP="00022293">
      <w:pPr>
        <w:pBdr>
          <w:top w:val="nil"/>
          <w:left w:val="nil"/>
          <w:bottom w:val="nil"/>
          <w:right w:val="nil"/>
          <w:between w:val="nil"/>
        </w:pBdr>
        <w:jc w:val="thaiDistribute"/>
        <w:rPr>
          <w:rFonts w:eastAsia="Google Sans Text"/>
          <w:color w:val="1F1F1F"/>
          <w:sz w:val="24"/>
          <w:szCs w:val="24"/>
        </w:rPr>
      </w:pPr>
      <w:r w:rsidRPr="00261FCE">
        <w:rPr>
          <w:rFonts w:eastAsia="Google Sans Text"/>
          <w:color w:val="1F1F1F"/>
          <w:sz w:val="24"/>
          <w:szCs w:val="24"/>
        </w:rPr>
        <w:t>This report targets f</w:t>
      </w:r>
      <w:r w:rsidR="00B54794" w:rsidRPr="00261FCE">
        <w:rPr>
          <w:rFonts w:eastAsia="Google Sans Text"/>
          <w:color w:val="1F1F1F"/>
          <w:sz w:val="24"/>
          <w:szCs w:val="24"/>
        </w:rPr>
        <w:t xml:space="preserve">ive </w:t>
      </w:r>
      <w:r w:rsidRPr="00261FCE">
        <w:rPr>
          <w:rFonts w:eastAsia="Google Sans Text"/>
          <w:color w:val="1F1F1F"/>
          <w:sz w:val="24"/>
          <w:szCs w:val="24"/>
        </w:rPr>
        <w:t>distinct groups to drive change:</w:t>
      </w:r>
    </w:p>
    <w:p w14:paraId="72AF801A" w14:textId="77777777" w:rsidR="00022293" w:rsidRPr="00261FCE" w:rsidRDefault="00022293" w:rsidP="00022293">
      <w:pPr>
        <w:pBdr>
          <w:top w:val="nil"/>
          <w:left w:val="nil"/>
          <w:bottom w:val="nil"/>
          <w:right w:val="nil"/>
          <w:between w:val="nil"/>
        </w:pBdr>
        <w:jc w:val="thaiDistribute"/>
        <w:rPr>
          <w:rFonts w:eastAsia="Google Sans Text"/>
          <w:color w:val="1F1F1F"/>
          <w:sz w:val="24"/>
          <w:szCs w:val="24"/>
        </w:rPr>
      </w:pPr>
    </w:p>
    <w:p w14:paraId="389D2B1D" w14:textId="77777777" w:rsidR="005B4108" w:rsidRPr="00261FCE" w:rsidRDefault="005B4108" w:rsidP="00022293">
      <w:pPr>
        <w:numPr>
          <w:ilvl w:val="0"/>
          <w:numId w:val="3"/>
        </w:numPr>
        <w:pBdr>
          <w:top w:val="nil"/>
          <w:left w:val="nil"/>
          <w:bottom w:val="nil"/>
          <w:right w:val="nil"/>
          <w:between w:val="nil"/>
        </w:pBdr>
        <w:jc w:val="thaiDistribute"/>
        <w:rPr>
          <w:sz w:val="24"/>
          <w:szCs w:val="24"/>
        </w:rPr>
      </w:pPr>
      <w:r w:rsidRPr="00261FCE">
        <w:rPr>
          <w:rFonts w:eastAsia="Google Sans Text"/>
          <w:b/>
          <w:bCs/>
          <w:color w:val="1F1F1F"/>
          <w:sz w:val="24"/>
          <w:szCs w:val="24"/>
        </w:rPr>
        <w:t>National Policymakers (NESDC, MONRE):</w:t>
      </w:r>
      <w:r w:rsidRPr="00261FCE">
        <w:rPr>
          <w:rFonts w:eastAsia="Google Sans Text"/>
          <w:color w:val="1F1F1F"/>
          <w:sz w:val="24"/>
          <w:szCs w:val="24"/>
        </w:rPr>
        <w:t xml:space="preserve"> To integrate "Blue Carbon" and marine spatial planning into the National Economic and Social Development Plan.</w:t>
      </w:r>
    </w:p>
    <w:p w14:paraId="008BB7AE" w14:textId="77777777" w:rsidR="005B4108" w:rsidRPr="00261FCE" w:rsidRDefault="005B4108" w:rsidP="00022293">
      <w:pPr>
        <w:numPr>
          <w:ilvl w:val="0"/>
          <w:numId w:val="3"/>
        </w:numPr>
        <w:pBdr>
          <w:top w:val="nil"/>
          <w:left w:val="nil"/>
          <w:bottom w:val="nil"/>
          <w:right w:val="nil"/>
          <w:between w:val="nil"/>
        </w:pBdr>
        <w:jc w:val="thaiDistribute"/>
        <w:rPr>
          <w:sz w:val="24"/>
          <w:szCs w:val="24"/>
        </w:rPr>
      </w:pPr>
      <w:r w:rsidRPr="00261FCE">
        <w:rPr>
          <w:rFonts w:eastAsia="Google Sans Text"/>
          <w:b/>
          <w:bCs/>
          <w:color w:val="1F1F1F"/>
          <w:sz w:val="24"/>
          <w:szCs w:val="24"/>
        </w:rPr>
        <w:t>Provincial Administrations (PAOs):</w:t>
      </w:r>
      <w:r w:rsidRPr="00261FCE">
        <w:rPr>
          <w:rFonts w:eastAsia="Google Sans Text"/>
          <w:color w:val="1F1F1F"/>
          <w:sz w:val="24"/>
          <w:szCs w:val="24"/>
        </w:rPr>
        <w:t xml:space="preserve"> Specifically in the EEC and Southern </w:t>
      </w:r>
      <w:r w:rsidRPr="00261FCE">
        <w:rPr>
          <w:rFonts w:eastAsia="Google Sans Text"/>
          <w:color w:val="1F1F1F"/>
          <w:sz w:val="24"/>
          <w:szCs w:val="24"/>
        </w:rPr>
        <w:lastRenderedPageBreak/>
        <w:t>provinces, to guide zoning and waste management investments.</w:t>
      </w:r>
    </w:p>
    <w:p w14:paraId="0B122DE9" w14:textId="77777777" w:rsidR="005B4108" w:rsidRPr="00261FCE" w:rsidRDefault="005B4108" w:rsidP="00022293">
      <w:pPr>
        <w:numPr>
          <w:ilvl w:val="0"/>
          <w:numId w:val="3"/>
        </w:numPr>
        <w:pBdr>
          <w:top w:val="nil"/>
          <w:left w:val="nil"/>
          <w:bottom w:val="nil"/>
          <w:right w:val="nil"/>
          <w:between w:val="nil"/>
        </w:pBdr>
        <w:jc w:val="thaiDistribute"/>
        <w:rPr>
          <w:sz w:val="24"/>
          <w:szCs w:val="24"/>
        </w:rPr>
      </w:pPr>
      <w:r w:rsidRPr="00261FCE">
        <w:rPr>
          <w:rFonts w:eastAsia="Google Sans Text"/>
          <w:b/>
          <w:bCs/>
          <w:color w:val="1F1F1F"/>
          <w:sz w:val="24"/>
          <w:szCs w:val="24"/>
        </w:rPr>
        <w:t>Private Sector Investors:</w:t>
      </w:r>
      <w:r w:rsidRPr="00261FCE">
        <w:rPr>
          <w:rFonts w:eastAsia="Google Sans Text"/>
          <w:color w:val="1F1F1F"/>
          <w:sz w:val="24"/>
          <w:szCs w:val="24"/>
        </w:rPr>
        <w:t xml:space="preserve"> To highlight the financial risks of operating in degraded ecosystems and the opportunities in "Nature-based Solutions" (e.g., mangrove carbon credits).</w:t>
      </w:r>
    </w:p>
    <w:p w14:paraId="496E17D0" w14:textId="77777777" w:rsidR="00B54794" w:rsidRPr="00261FCE" w:rsidRDefault="00B54794" w:rsidP="00022293">
      <w:pPr>
        <w:numPr>
          <w:ilvl w:val="0"/>
          <w:numId w:val="3"/>
        </w:numPr>
        <w:pBdr>
          <w:top w:val="nil"/>
          <w:left w:val="nil"/>
          <w:bottom w:val="nil"/>
          <w:right w:val="nil"/>
          <w:between w:val="nil"/>
        </w:pBdr>
        <w:jc w:val="thaiDistribute"/>
        <w:rPr>
          <w:sz w:val="24"/>
          <w:szCs w:val="24"/>
        </w:rPr>
      </w:pPr>
      <w:r w:rsidRPr="00261FCE">
        <w:rPr>
          <w:b/>
          <w:bCs/>
          <w:sz w:val="24"/>
          <w:szCs w:val="24"/>
        </w:rPr>
        <w:t>Local Actors and Communities:</w:t>
      </w:r>
      <w:r w:rsidRPr="00261FCE">
        <w:rPr>
          <w:sz w:val="24"/>
          <w:szCs w:val="24"/>
        </w:rPr>
        <w:t xml:space="preserve"> To align policy with local realities, frameworks such as the Fisheries Action Plan must be adapted to the specific context of small-scale (artisanal) fisheries. Recognizing that regulations designed for large commercial fleets are often inapplicable at the community level, this approach prioritizes differentiated management measures that secure local livelihoods while ensuring long-term resource sustainability.</w:t>
      </w:r>
    </w:p>
    <w:p w14:paraId="5377F0C0" w14:textId="21B8CBC5" w:rsidR="005B4108" w:rsidRPr="00261FCE" w:rsidRDefault="005B4108" w:rsidP="00022293">
      <w:pPr>
        <w:numPr>
          <w:ilvl w:val="0"/>
          <w:numId w:val="3"/>
        </w:numPr>
        <w:pBdr>
          <w:top w:val="nil"/>
          <w:left w:val="nil"/>
          <w:bottom w:val="nil"/>
          <w:right w:val="nil"/>
          <w:between w:val="nil"/>
        </w:pBdr>
        <w:jc w:val="thaiDistribute"/>
        <w:rPr>
          <w:sz w:val="24"/>
          <w:szCs w:val="24"/>
        </w:rPr>
      </w:pPr>
      <w:r w:rsidRPr="00261FCE">
        <w:rPr>
          <w:rFonts w:eastAsia="Google Sans Text"/>
          <w:b/>
          <w:bCs/>
          <w:color w:val="1F1F1F"/>
          <w:sz w:val="24"/>
          <w:szCs w:val="24"/>
        </w:rPr>
        <w:t>International Partners (GEF, UNEP):</w:t>
      </w:r>
      <w:r w:rsidRPr="00261FCE">
        <w:rPr>
          <w:rFonts w:eastAsia="Google Sans Text"/>
          <w:color w:val="1F1F1F"/>
          <w:sz w:val="24"/>
          <w:szCs w:val="24"/>
        </w:rPr>
        <w:t xml:space="preserve"> To demonstrate Thailand’s readiness for regional cooperation on transboundary issues like marine plastics and migratory fish stocks.</w:t>
      </w:r>
    </w:p>
    <w:p w14:paraId="3B5BE86E" w14:textId="77777777" w:rsidR="005B4108" w:rsidRPr="00261FCE" w:rsidRDefault="005B4108" w:rsidP="00022293">
      <w:pPr>
        <w:pBdr>
          <w:top w:val="nil"/>
          <w:left w:val="nil"/>
          <w:bottom w:val="nil"/>
          <w:right w:val="nil"/>
          <w:between w:val="nil"/>
        </w:pBdr>
        <w:jc w:val="thaiDistribute"/>
        <w:rPr>
          <w:rFonts w:eastAsia="Google Sans Text"/>
          <w:color w:val="1F1F1F"/>
          <w:sz w:val="24"/>
          <w:szCs w:val="24"/>
        </w:rPr>
      </w:pPr>
    </w:p>
    <w:p w14:paraId="71CF59B9" w14:textId="77777777" w:rsidR="00022293" w:rsidRPr="00261FCE" w:rsidRDefault="00022293" w:rsidP="00022293">
      <w:pPr>
        <w:pStyle w:val="Heading3"/>
        <w:spacing w:before="0" w:after="0"/>
        <w:jc w:val="thaiDistribute"/>
        <w:rPr>
          <w:rFonts w:eastAsia="Google Sans" w:cs="Arial"/>
          <w:b/>
          <w:bCs/>
          <w:color w:val="1F1F1F"/>
          <w:sz w:val="24"/>
          <w:szCs w:val="24"/>
        </w:rPr>
      </w:pPr>
    </w:p>
    <w:p w14:paraId="4FF08AB1" w14:textId="3679982A" w:rsidR="005B4108" w:rsidRPr="00261FCE" w:rsidRDefault="005B4108" w:rsidP="00022293">
      <w:pPr>
        <w:pStyle w:val="Heading3"/>
        <w:spacing w:before="0" w:after="0"/>
        <w:jc w:val="thaiDistribute"/>
        <w:rPr>
          <w:rFonts w:eastAsia="Google Sans" w:cs="Arial"/>
          <w:b/>
          <w:bCs/>
          <w:color w:val="1F1F1F"/>
          <w:sz w:val="24"/>
          <w:szCs w:val="24"/>
        </w:rPr>
      </w:pPr>
      <w:r w:rsidRPr="00261FCE">
        <w:rPr>
          <w:rFonts w:eastAsia="Google Sans" w:cs="Arial"/>
          <w:b/>
          <w:bCs/>
          <w:color w:val="1F1F1F"/>
          <w:sz w:val="24"/>
          <w:szCs w:val="24"/>
        </w:rPr>
        <w:t>7.5 Future indicator-based environmental assessments</w:t>
      </w:r>
    </w:p>
    <w:p w14:paraId="5A05941F" w14:textId="77777777" w:rsidR="005B4108" w:rsidRPr="00261FCE" w:rsidRDefault="005B4108" w:rsidP="00022293">
      <w:pPr>
        <w:pBdr>
          <w:top w:val="nil"/>
          <w:left w:val="nil"/>
          <w:bottom w:val="nil"/>
          <w:right w:val="nil"/>
          <w:between w:val="nil"/>
        </w:pBdr>
        <w:jc w:val="thaiDistribute"/>
        <w:rPr>
          <w:rFonts w:eastAsia="Google Sans"/>
          <w:color w:val="1F1F1F"/>
          <w:sz w:val="24"/>
          <w:szCs w:val="24"/>
        </w:rPr>
      </w:pPr>
    </w:p>
    <w:p w14:paraId="231051B7" w14:textId="77777777" w:rsidR="005B4108" w:rsidRPr="00261FCE" w:rsidRDefault="005B4108" w:rsidP="00022293">
      <w:pPr>
        <w:pBdr>
          <w:top w:val="nil"/>
          <w:left w:val="nil"/>
          <w:bottom w:val="nil"/>
          <w:right w:val="nil"/>
          <w:between w:val="nil"/>
        </w:pBdr>
        <w:jc w:val="thaiDistribute"/>
        <w:rPr>
          <w:rFonts w:eastAsia="Google Sans Text"/>
          <w:color w:val="1F1F1F"/>
          <w:sz w:val="24"/>
          <w:szCs w:val="24"/>
        </w:rPr>
      </w:pPr>
      <w:r w:rsidRPr="00261FCE">
        <w:rPr>
          <w:rFonts w:eastAsia="Google Sans Text"/>
          <w:color w:val="1F1F1F"/>
          <w:sz w:val="24"/>
          <w:szCs w:val="24"/>
        </w:rPr>
        <w:t>Moving forward, Thailand must evolve its assessment framework from "Status Monitoring" to "Resilience Monitoring":</w:t>
      </w:r>
    </w:p>
    <w:p w14:paraId="59A67D7F" w14:textId="77777777" w:rsidR="00022293" w:rsidRPr="00261FCE" w:rsidRDefault="00022293" w:rsidP="00022293">
      <w:pPr>
        <w:pBdr>
          <w:top w:val="nil"/>
          <w:left w:val="nil"/>
          <w:bottom w:val="nil"/>
          <w:right w:val="nil"/>
          <w:between w:val="nil"/>
        </w:pBdr>
        <w:jc w:val="thaiDistribute"/>
        <w:rPr>
          <w:rFonts w:eastAsia="Google Sans Text"/>
          <w:color w:val="1F1F1F"/>
          <w:sz w:val="24"/>
          <w:szCs w:val="24"/>
        </w:rPr>
      </w:pPr>
    </w:p>
    <w:p w14:paraId="441B94E6" w14:textId="77777777" w:rsidR="005B4108" w:rsidRPr="00261FCE" w:rsidRDefault="005B4108" w:rsidP="00022293">
      <w:pPr>
        <w:numPr>
          <w:ilvl w:val="0"/>
          <w:numId w:val="4"/>
        </w:numPr>
        <w:pBdr>
          <w:top w:val="nil"/>
          <w:left w:val="nil"/>
          <w:bottom w:val="nil"/>
          <w:right w:val="nil"/>
          <w:between w:val="nil"/>
        </w:pBdr>
        <w:jc w:val="thaiDistribute"/>
        <w:rPr>
          <w:sz w:val="24"/>
          <w:szCs w:val="24"/>
        </w:rPr>
      </w:pPr>
      <w:r w:rsidRPr="00261FCE">
        <w:rPr>
          <w:rFonts w:eastAsia="Google Sans Text"/>
          <w:b/>
          <w:bCs/>
          <w:color w:val="1F1F1F"/>
          <w:sz w:val="24"/>
          <w:szCs w:val="24"/>
        </w:rPr>
        <w:t>Process Indicators:</w:t>
      </w:r>
      <w:r w:rsidRPr="00261FCE">
        <w:rPr>
          <w:rFonts w:eastAsia="Google Sans Text"/>
          <w:color w:val="1F1F1F"/>
          <w:sz w:val="24"/>
          <w:szCs w:val="24"/>
        </w:rPr>
        <w:t xml:space="preserve"> Shift from measuring just "forest area" to measuring "carbon sequestration rates" and "seedling survival".</w:t>
      </w:r>
    </w:p>
    <w:p w14:paraId="712C16F7" w14:textId="77777777" w:rsidR="005B4108" w:rsidRPr="00261FCE" w:rsidRDefault="005B4108" w:rsidP="00022293">
      <w:pPr>
        <w:numPr>
          <w:ilvl w:val="0"/>
          <w:numId w:val="4"/>
        </w:numPr>
        <w:pBdr>
          <w:top w:val="nil"/>
          <w:left w:val="nil"/>
          <w:bottom w:val="nil"/>
          <w:right w:val="nil"/>
          <w:between w:val="nil"/>
        </w:pBdr>
        <w:jc w:val="thaiDistribute"/>
        <w:rPr>
          <w:sz w:val="24"/>
          <w:szCs w:val="24"/>
        </w:rPr>
      </w:pPr>
      <w:r w:rsidRPr="00261FCE">
        <w:rPr>
          <w:rFonts w:eastAsia="Google Sans Text"/>
          <w:b/>
          <w:bCs/>
          <w:color w:val="1F1F1F"/>
          <w:sz w:val="24"/>
          <w:szCs w:val="24"/>
        </w:rPr>
        <w:t>Integrated Monitoring:</w:t>
      </w:r>
      <w:r w:rsidRPr="00261FCE">
        <w:rPr>
          <w:rFonts w:eastAsia="Google Sans Text"/>
          <w:color w:val="1F1F1F"/>
          <w:sz w:val="24"/>
          <w:szCs w:val="24"/>
        </w:rPr>
        <w:t xml:space="preserve"> Collate water quality data (PCD) with coral health data (DMCR) in real-time to predict and mitigate bleaching events.</w:t>
      </w:r>
    </w:p>
    <w:p w14:paraId="09FEC45B" w14:textId="402F31F7" w:rsidR="00B54794" w:rsidRPr="00261FCE" w:rsidRDefault="005B4108" w:rsidP="00022293">
      <w:pPr>
        <w:numPr>
          <w:ilvl w:val="0"/>
          <w:numId w:val="4"/>
        </w:numPr>
        <w:pBdr>
          <w:top w:val="nil"/>
          <w:left w:val="nil"/>
          <w:bottom w:val="nil"/>
          <w:right w:val="nil"/>
          <w:between w:val="nil"/>
        </w:pBdr>
        <w:jc w:val="thaiDistribute"/>
        <w:rPr>
          <w:sz w:val="24"/>
          <w:szCs w:val="24"/>
        </w:rPr>
      </w:pPr>
      <w:r w:rsidRPr="00261FCE">
        <w:rPr>
          <w:rFonts w:eastAsia="Google Sans Text"/>
          <w:b/>
          <w:bCs/>
          <w:color w:val="1F1F1F"/>
          <w:sz w:val="24"/>
          <w:szCs w:val="24"/>
        </w:rPr>
        <w:t>Socio-Economic Metrics:</w:t>
      </w:r>
      <w:r w:rsidRPr="00261FCE">
        <w:rPr>
          <w:rFonts w:eastAsia="Google Sans Text"/>
          <w:color w:val="1F1F1F"/>
          <w:sz w:val="24"/>
          <w:szCs w:val="24"/>
        </w:rPr>
        <w:t xml:space="preserve"> Regularly track the "Ocean Health Index" and "Coastal Livelihood Vulnerability" to ensure that governance interventions are socially equitable.</w:t>
      </w:r>
    </w:p>
    <w:p w14:paraId="3C2FD47B" w14:textId="59B663F4" w:rsidR="00B54794" w:rsidRPr="00261FCE" w:rsidRDefault="00B54794" w:rsidP="00022293">
      <w:pPr>
        <w:pStyle w:val="NormalWeb"/>
        <w:numPr>
          <w:ilvl w:val="0"/>
          <w:numId w:val="4"/>
        </w:numPr>
        <w:spacing w:before="0" w:beforeAutospacing="0" w:after="0" w:afterAutospacing="0"/>
        <w:jc w:val="thaiDistribute"/>
        <w:rPr>
          <w:rFonts w:ascii="Arial" w:hAnsi="Arial" w:cs="Arial"/>
          <w:color w:val="000000" w:themeColor="text1"/>
        </w:rPr>
      </w:pPr>
      <w:r w:rsidRPr="00261FCE">
        <w:rPr>
          <w:rFonts w:ascii="Arial" w:hAnsi="Arial" w:cs="Arial"/>
          <w:b/>
          <w:bCs/>
          <w:color w:val="000000" w:themeColor="text1"/>
        </w:rPr>
        <w:t>Ocean Literacy and Blue Curriculum:</w:t>
      </w:r>
      <w:r w:rsidRPr="00261FCE">
        <w:rPr>
          <w:rFonts w:ascii="Arial" w:hAnsi="Arial" w:cs="Arial"/>
          <w:color w:val="000000" w:themeColor="text1"/>
        </w:rPr>
        <w:t> Future assessments and development strategies should consider </w:t>
      </w:r>
      <w:r w:rsidRPr="00261FCE">
        <w:rPr>
          <w:rFonts w:ascii="Arial" w:hAnsi="Arial" w:cs="Arial"/>
          <w:b/>
          <w:bCs/>
          <w:color w:val="000000" w:themeColor="text1"/>
        </w:rPr>
        <w:t>Ocean Literacy</w:t>
      </w:r>
      <w:r w:rsidRPr="00261FCE">
        <w:rPr>
          <w:rFonts w:ascii="Arial" w:hAnsi="Arial" w:cs="Arial"/>
          <w:color w:val="000000" w:themeColor="text1"/>
        </w:rPr>
        <w:t> and the </w:t>
      </w:r>
      <w:r w:rsidRPr="00261FCE">
        <w:rPr>
          <w:rFonts w:ascii="Arial" w:hAnsi="Arial" w:cs="Arial"/>
          <w:b/>
          <w:bCs/>
          <w:color w:val="000000" w:themeColor="text1"/>
        </w:rPr>
        <w:t>Blue Curriculum</w:t>
      </w:r>
      <w:r w:rsidRPr="00261FCE">
        <w:rPr>
          <w:rFonts w:ascii="Arial" w:hAnsi="Arial" w:cs="Arial"/>
          <w:color w:val="000000" w:themeColor="text1"/>
        </w:rPr>
        <w:t> as fundamental drivers for socio-economic development. Aligning national education with</w:t>
      </w:r>
      <w:r w:rsidRPr="00261FCE">
        <w:rPr>
          <w:rFonts w:ascii="Arial" w:hAnsi="Arial" w:cs="Arial"/>
          <w:color w:val="000000" w:themeColor="text1"/>
        </w:rPr>
        <w:t xml:space="preserve"> </w:t>
      </w:r>
      <w:r w:rsidRPr="00261FCE">
        <w:rPr>
          <w:rFonts w:ascii="Arial" w:hAnsi="Arial" w:cs="Arial"/>
          <w:color w:val="000000" w:themeColor="text1"/>
        </w:rPr>
        <w:t>the </w:t>
      </w:r>
      <w:r w:rsidRPr="00261FCE">
        <w:rPr>
          <w:rFonts w:ascii="Arial" w:hAnsi="Arial" w:cs="Arial"/>
          <w:b/>
          <w:bCs/>
          <w:color w:val="000000" w:themeColor="text1"/>
        </w:rPr>
        <w:t>UNESCO/WESTPAC</w:t>
      </w:r>
      <w:r w:rsidRPr="00261FCE">
        <w:rPr>
          <w:rFonts w:ascii="Arial" w:hAnsi="Arial" w:cs="Arial"/>
          <w:color w:val="000000" w:themeColor="text1"/>
        </w:rPr>
        <w:t> framework will build a citizenry capable of understanding and protecting marine resources, ensuring the long-term success of technical interventions.</w:t>
      </w:r>
    </w:p>
    <w:p w14:paraId="39D725BA" w14:textId="77777777" w:rsidR="00B54794" w:rsidRPr="00261FCE" w:rsidRDefault="00B54794" w:rsidP="00022293">
      <w:pPr>
        <w:pBdr>
          <w:top w:val="nil"/>
          <w:left w:val="nil"/>
          <w:bottom w:val="nil"/>
          <w:right w:val="nil"/>
          <w:between w:val="nil"/>
        </w:pBdr>
        <w:jc w:val="thaiDistribute"/>
        <w:rPr>
          <w:sz w:val="24"/>
          <w:szCs w:val="24"/>
        </w:rPr>
      </w:pPr>
    </w:p>
    <w:sectPr w:rsidR="00B54794" w:rsidRPr="00261FCE" w:rsidSect="005B4108">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Cordia New">
    <w:panose1 w:val="020B0304020202020204"/>
    <w:charset w:val="DE"/>
    <w:family w:val="swiss"/>
    <w:pitch w:val="variable"/>
    <w:sig w:usb0="81000003" w:usb1="00000000" w:usb2="00000000" w:usb3="00000000" w:csb0="00010001" w:csb1="00000000"/>
  </w:font>
  <w:font w:name="Aptos Display">
    <w:panose1 w:val="020B0004020202020204"/>
    <w:charset w:val="00"/>
    <w:family w:val="swiss"/>
    <w:pitch w:val="variable"/>
    <w:sig w:usb0="20000287" w:usb1="00000003" w:usb2="00000000" w:usb3="00000000" w:csb0="0000019F" w:csb1="00000000"/>
  </w:font>
  <w:font w:name="Angsana New">
    <w:panose1 w:val="02020603050405020304"/>
    <w:charset w:val="DE"/>
    <w:family w:val="roman"/>
    <w:pitch w:val="variable"/>
    <w:sig w:usb0="81000003" w:usb1="00000000" w:usb2="00000000" w:usb3="00000000" w:csb0="00010001" w:csb1="00000000"/>
  </w:font>
  <w:font w:name="Google Sans">
    <w:altName w:val="Calibri"/>
    <w:panose1 w:val="020B0604020202020204"/>
    <w:charset w:val="00"/>
    <w:family w:val="auto"/>
    <w:pitch w:val="default"/>
  </w:font>
  <w:font w:name="Google Sans Text">
    <w:altName w:val="Calibri"/>
    <w:panose1 w:val="020B0604020202020204"/>
    <w:charset w:val="00"/>
    <w:family w:val="auto"/>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C9371C"/>
    <w:multiLevelType w:val="multilevel"/>
    <w:tmpl w:val="C46E6B90"/>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1" w15:restartNumberingAfterBreak="0">
    <w:nsid w:val="08BE143C"/>
    <w:multiLevelType w:val="multilevel"/>
    <w:tmpl w:val="F6663A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C844446"/>
    <w:multiLevelType w:val="hybridMultilevel"/>
    <w:tmpl w:val="071AE1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A0C7009"/>
    <w:multiLevelType w:val="hybridMultilevel"/>
    <w:tmpl w:val="0F208C42"/>
    <w:lvl w:ilvl="0" w:tplc="3D2AD796">
      <w:start w:val="7"/>
      <w:numFmt w:val="bullet"/>
      <w:lvlText w:val="-"/>
      <w:lvlJc w:val="left"/>
      <w:pPr>
        <w:ind w:left="720" w:hanging="360"/>
      </w:pPr>
      <w:rPr>
        <w:rFonts w:ascii="Arial" w:eastAsia="Arial" w:hAnsi="Arial" w:cs="Arial" w:hint="default"/>
        <w:b w:val="0"/>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EF115C2"/>
    <w:multiLevelType w:val="hybridMultilevel"/>
    <w:tmpl w:val="EF981D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A3E6718"/>
    <w:multiLevelType w:val="multilevel"/>
    <w:tmpl w:val="B2B20360"/>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6" w15:restartNumberingAfterBreak="0">
    <w:nsid w:val="4C6D2B8A"/>
    <w:multiLevelType w:val="multilevel"/>
    <w:tmpl w:val="149C2054"/>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7" w15:restartNumberingAfterBreak="0">
    <w:nsid w:val="5FFA4208"/>
    <w:multiLevelType w:val="multilevel"/>
    <w:tmpl w:val="C00E5F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6F804086"/>
    <w:multiLevelType w:val="multilevel"/>
    <w:tmpl w:val="B0C89800"/>
    <w:lvl w:ilvl="0">
      <w:start w:val="1"/>
      <w:numFmt w:val="decimal"/>
      <w:lvlText w:val="%1)"/>
      <w:lvlJc w:val="left"/>
      <w:pPr>
        <w:ind w:left="480" w:hanging="360"/>
      </w:pPr>
      <w:rPr>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num w:numId="1" w16cid:durableId="1253323114">
    <w:abstractNumId w:val="5"/>
  </w:num>
  <w:num w:numId="2" w16cid:durableId="534736887">
    <w:abstractNumId w:val="8"/>
  </w:num>
  <w:num w:numId="3" w16cid:durableId="1097797756">
    <w:abstractNumId w:val="6"/>
  </w:num>
  <w:num w:numId="4" w16cid:durableId="1198736285">
    <w:abstractNumId w:val="0"/>
  </w:num>
  <w:num w:numId="5" w16cid:durableId="185096817">
    <w:abstractNumId w:val="1"/>
  </w:num>
  <w:num w:numId="6" w16cid:durableId="856387414">
    <w:abstractNumId w:val="2"/>
  </w:num>
  <w:num w:numId="7" w16cid:durableId="421075990">
    <w:abstractNumId w:val="3"/>
  </w:num>
  <w:num w:numId="8" w16cid:durableId="262497831">
    <w:abstractNumId w:val="4"/>
  </w:num>
  <w:num w:numId="9" w16cid:durableId="81641463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7"/>
  <w:proofState w:spelling="clean" w:grammar="clean"/>
  <w:defaultTabStop w:val="720"/>
  <w:characterSpacingControl w:val="doNotCompress"/>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4108"/>
    <w:rsid w:val="00022293"/>
    <w:rsid w:val="00261FCE"/>
    <w:rsid w:val="002F7409"/>
    <w:rsid w:val="005B4108"/>
    <w:rsid w:val="00891326"/>
    <w:rsid w:val="00B54794"/>
    <w:rsid w:val="00B7796A"/>
    <w:rsid w:val="00B82E60"/>
    <w:rsid w:val="00E3595F"/>
    <w:rsid w:val="00E67A0E"/>
  </w:rsids>
  <m:mathPr>
    <m:mathFont m:val="Cambria Math"/>
    <m:brkBin m:val="before"/>
    <m:brkBinSub m:val="--"/>
    <m:smallFrac m:val="0"/>
    <m:dispDef/>
    <m:lMargin m:val="0"/>
    <m:rMargin m:val="0"/>
    <m:defJc m:val="centerGroup"/>
    <m:wrapIndent m:val="1440"/>
    <m:intLim m:val="subSup"/>
    <m:naryLim m:val="undOvr"/>
  </m:mathPr>
  <w:themeFontLang w:val="en-TH" w:bidi="th-TH"/>
  <w:clrSchemeMapping w:bg1="light1" w:t1="dark1" w:bg2="light2" w:t2="dark2" w:accent1="accent1" w:accent2="accent2" w:accent3="accent3" w:accent4="accent4" w:accent5="accent5" w:accent6="accent6" w:hyperlink="hyperlink" w:followedHyperlink="followedHyperlink"/>
  <w:decimalSymbol w:val="."/>
  <w:listSeparator w:val=","/>
  <w14:docId w14:val="40C013A0"/>
  <w15:chartTrackingRefBased/>
  <w15:docId w15:val="{23EC2AB5-FB4E-0542-A967-4DACAAA6BA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30"/>
        <w:lang w:val="en-TH" w:eastAsia="en-US" w:bidi="th-TH"/>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B4108"/>
    <w:pPr>
      <w:widowControl w:val="0"/>
      <w:spacing w:after="0" w:line="240" w:lineRule="auto"/>
    </w:pPr>
    <w:rPr>
      <w:rFonts w:ascii="Arial" w:eastAsia="Arial" w:hAnsi="Arial" w:cs="Arial"/>
      <w:kern w:val="0"/>
      <w:sz w:val="22"/>
      <w:szCs w:val="22"/>
      <w14:ligatures w14:val="none"/>
    </w:rPr>
  </w:style>
  <w:style w:type="paragraph" w:styleId="Heading1">
    <w:name w:val="heading 1"/>
    <w:basedOn w:val="Normal"/>
    <w:next w:val="Normal"/>
    <w:link w:val="Heading1Char"/>
    <w:uiPriority w:val="9"/>
    <w:qFormat/>
    <w:rsid w:val="005B4108"/>
    <w:pPr>
      <w:keepNext/>
      <w:keepLines/>
      <w:spacing w:before="360" w:after="80"/>
      <w:outlineLvl w:val="0"/>
    </w:pPr>
    <w:rPr>
      <w:rFonts w:asciiTheme="majorHAnsi" w:eastAsiaTheme="majorEastAsia" w:hAnsiTheme="majorHAnsi" w:cstheme="majorBidi"/>
      <w:color w:val="0F4761" w:themeColor="accent1" w:themeShade="BF"/>
      <w:sz w:val="40"/>
      <w:szCs w:val="50"/>
    </w:rPr>
  </w:style>
  <w:style w:type="paragraph" w:styleId="Heading2">
    <w:name w:val="heading 2"/>
    <w:basedOn w:val="Normal"/>
    <w:next w:val="Normal"/>
    <w:link w:val="Heading2Char"/>
    <w:uiPriority w:val="9"/>
    <w:unhideWhenUsed/>
    <w:qFormat/>
    <w:rsid w:val="005B4108"/>
    <w:pPr>
      <w:keepNext/>
      <w:keepLines/>
      <w:spacing w:before="160" w:after="80"/>
      <w:outlineLvl w:val="1"/>
    </w:pPr>
    <w:rPr>
      <w:rFonts w:asciiTheme="majorHAnsi" w:eastAsiaTheme="majorEastAsia" w:hAnsiTheme="majorHAnsi" w:cstheme="majorBidi"/>
      <w:color w:val="0F4761" w:themeColor="accent1" w:themeShade="BF"/>
      <w:sz w:val="32"/>
      <w:szCs w:val="40"/>
    </w:rPr>
  </w:style>
  <w:style w:type="paragraph" w:styleId="Heading3">
    <w:name w:val="heading 3"/>
    <w:basedOn w:val="Normal"/>
    <w:next w:val="Normal"/>
    <w:link w:val="Heading3Char"/>
    <w:uiPriority w:val="9"/>
    <w:unhideWhenUsed/>
    <w:qFormat/>
    <w:rsid w:val="005B4108"/>
    <w:pPr>
      <w:keepNext/>
      <w:keepLines/>
      <w:spacing w:before="160" w:after="80"/>
      <w:outlineLvl w:val="2"/>
    </w:pPr>
    <w:rPr>
      <w:rFonts w:eastAsiaTheme="majorEastAsia" w:cstheme="majorBidi"/>
      <w:color w:val="0F4761" w:themeColor="accent1" w:themeShade="BF"/>
      <w:sz w:val="28"/>
      <w:szCs w:val="35"/>
    </w:rPr>
  </w:style>
  <w:style w:type="paragraph" w:styleId="Heading4">
    <w:name w:val="heading 4"/>
    <w:basedOn w:val="Normal"/>
    <w:next w:val="Normal"/>
    <w:link w:val="Heading4Char"/>
    <w:uiPriority w:val="9"/>
    <w:semiHidden/>
    <w:unhideWhenUsed/>
    <w:qFormat/>
    <w:rsid w:val="005B410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B410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B4108"/>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B4108"/>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B4108"/>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B4108"/>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B4108"/>
    <w:rPr>
      <w:rFonts w:asciiTheme="majorHAnsi" w:eastAsiaTheme="majorEastAsia" w:hAnsiTheme="majorHAnsi" w:cstheme="majorBidi"/>
      <w:color w:val="0F4761" w:themeColor="accent1" w:themeShade="BF"/>
      <w:sz w:val="40"/>
      <w:szCs w:val="50"/>
    </w:rPr>
  </w:style>
  <w:style w:type="character" w:customStyle="1" w:styleId="Heading2Char">
    <w:name w:val="Heading 2 Char"/>
    <w:basedOn w:val="DefaultParagraphFont"/>
    <w:link w:val="Heading2"/>
    <w:uiPriority w:val="9"/>
    <w:semiHidden/>
    <w:rsid w:val="005B4108"/>
    <w:rPr>
      <w:rFonts w:asciiTheme="majorHAnsi" w:eastAsiaTheme="majorEastAsia" w:hAnsiTheme="majorHAnsi" w:cstheme="majorBidi"/>
      <w:color w:val="0F4761" w:themeColor="accent1" w:themeShade="BF"/>
      <w:sz w:val="32"/>
      <w:szCs w:val="40"/>
    </w:rPr>
  </w:style>
  <w:style w:type="character" w:customStyle="1" w:styleId="Heading3Char">
    <w:name w:val="Heading 3 Char"/>
    <w:basedOn w:val="DefaultParagraphFont"/>
    <w:link w:val="Heading3"/>
    <w:uiPriority w:val="9"/>
    <w:semiHidden/>
    <w:rsid w:val="005B4108"/>
    <w:rPr>
      <w:rFonts w:eastAsiaTheme="majorEastAsia" w:cstheme="majorBidi"/>
      <w:color w:val="0F4761" w:themeColor="accent1" w:themeShade="BF"/>
      <w:sz w:val="28"/>
      <w:szCs w:val="35"/>
    </w:rPr>
  </w:style>
  <w:style w:type="character" w:customStyle="1" w:styleId="Heading4Char">
    <w:name w:val="Heading 4 Char"/>
    <w:basedOn w:val="DefaultParagraphFont"/>
    <w:link w:val="Heading4"/>
    <w:uiPriority w:val="9"/>
    <w:semiHidden/>
    <w:rsid w:val="005B410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B410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B410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B410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B410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B4108"/>
    <w:rPr>
      <w:rFonts w:eastAsiaTheme="majorEastAsia" w:cstheme="majorBidi"/>
      <w:color w:val="272727" w:themeColor="text1" w:themeTint="D8"/>
    </w:rPr>
  </w:style>
  <w:style w:type="paragraph" w:styleId="Title">
    <w:name w:val="Title"/>
    <w:basedOn w:val="Normal"/>
    <w:next w:val="Normal"/>
    <w:link w:val="TitleChar"/>
    <w:uiPriority w:val="10"/>
    <w:qFormat/>
    <w:rsid w:val="005B4108"/>
    <w:pPr>
      <w:spacing w:after="80"/>
      <w:contextualSpacing/>
    </w:pPr>
    <w:rPr>
      <w:rFonts w:asciiTheme="majorHAnsi" w:eastAsiaTheme="majorEastAsia" w:hAnsiTheme="majorHAnsi" w:cstheme="majorBidi"/>
      <w:spacing w:val="-10"/>
      <w:kern w:val="28"/>
      <w:sz w:val="56"/>
      <w:szCs w:val="71"/>
    </w:rPr>
  </w:style>
  <w:style w:type="character" w:customStyle="1" w:styleId="TitleChar">
    <w:name w:val="Title Char"/>
    <w:basedOn w:val="DefaultParagraphFont"/>
    <w:link w:val="Title"/>
    <w:uiPriority w:val="10"/>
    <w:rsid w:val="005B4108"/>
    <w:rPr>
      <w:rFonts w:asciiTheme="majorHAnsi" w:eastAsiaTheme="majorEastAsia" w:hAnsiTheme="majorHAnsi" w:cstheme="majorBidi"/>
      <w:spacing w:val="-10"/>
      <w:kern w:val="28"/>
      <w:sz w:val="56"/>
      <w:szCs w:val="71"/>
    </w:rPr>
  </w:style>
  <w:style w:type="paragraph" w:styleId="Subtitle">
    <w:name w:val="Subtitle"/>
    <w:basedOn w:val="Normal"/>
    <w:next w:val="Normal"/>
    <w:link w:val="SubtitleChar"/>
    <w:uiPriority w:val="11"/>
    <w:qFormat/>
    <w:rsid w:val="005B4108"/>
    <w:pPr>
      <w:numPr>
        <w:ilvl w:val="1"/>
      </w:numPr>
    </w:pPr>
    <w:rPr>
      <w:rFonts w:eastAsiaTheme="majorEastAsia" w:cstheme="majorBidi"/>
      <w:color w:val="595959" w:themeColor="text1" w:themeTint="A6"/>
      <w:spacing w:val="15"/>
      <w:sz w:val="28"/>
      <w:szCs w:val="35"/>
    </w:rPr>
  </w:style>
  <w:style w:type="character" w:customStyle="1" w:styleId="SubtitleChar">
    <w:name w:val="Subtitle Char"/>
    <w:basedOn w:val="DefaultParagraphFont"/>
    <w:link w:val="Subtitle"/>
    <w:uiPriority w:val="11"/>
    <w:rsid w:val="005B4108"/>
    <w:rPr>
      <w:rFonts w:eastAsiaTheme="majorEastAsia" w:cstheme="majorBidi"/>
      <w:color w:val="595959" w:themeColor="text1" w:themeTint="A6"/>
      <w:spacing w:val="15"/>
      <w:sz w:val="28"/>
      <w:szCs w:val="35"/>
    </w:rPr>
  </w:style>
  <w:style w:type="paragraph" w:styleId="Quote">
    <w:name w:val="Quote"/>
    <w:basedOn w:val="Normal"/>
    <w:next w:val="Normal"/>
    <w:link w:val="QuoteChar"/>
    <w:uiPriority w:val="29"/>
    <w:qFormat/>
    <w:rsid w:val="005B4108"/>
    <w:pPr>
      <w:spacing w:before="160"/>
      <w:jc w:val="center"/>
    </w:pPr>
    <w:rPr>
      <w:i/>
      <w:iCs/>
      <w:color w:val="404040" w:themeColor="text1" w:themeTint="BF"/>
    </w:rPr>
  </w:style>
  <w:style w:type="character" w:customStyle="1" w:styleId="QuoteChar">
    <w:name w:val="Quote Char"/>
    <w:basedOn w:val="DefaultParagraphFont"/>
    <w:link w:val="Quote"/>
    <w:uiPriority w:val="29"/>
    <w:rsid w:val="005B4108"/>
    <w:rPr>
      <w:rFonts w:cs="Angsana New"/>
      <w:i/>
      <w:iCs/>
      <w:color w:val="404040" w:themeColor="text1" w:themeTint="BF"/>
    </w:rPr>
  </w:style>
  <w:style w:type="paragraph" w:styleId="ListParagraph">
    <w:name w:val="List Paragraph"/>
    <w:basedOn w:val="Normal"/>
    <w:uiPriority w:val="34"/>
    <w:qFormat/>
    <w:rsid w:val="005B4108"/>
    <w:pPr>
      <w:ind w:left="720"/>
      <w:contextualSpacing/>
    </w:pPr>
  </w:style>
  <w:style w:type="character" w:styleId="IntenseEmphasis">
    <w:name w:val="Intense Emphasis"/>
    <w:basedOn w:val="DefaultParagraphFont"/>
    <w:uiPriority w:val="21"/>
    <w:qFormat/>
    <w:rsid w:val="005B4108"/>
    <w:rPr>
      <w:i/>
      <w:iCs/>
      <w:color w:val="0F4761" w:themeColor="accent1" w:themeShade="BF"/>
    </w:rPr>
  </w:style>
  <w:style w:type="paragraph" w:styleId="IntenseQuote">
    <w:name w:val="Intense Quote"/>
    <w:basedOn w:val="Normal"/>
    <w:next w:val="Normal"/>
    <w:link w:val="IntenseQuoteChar"/>
    <w:uiPriority w:val="30"/>
    <w:qFormat/>
    <w:rsid w:val="005B410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B4108"/>
    <w:rPr>
      <w:rFonts w:cs="Angsana New"/>
      <w:i/>
      <w:iCs/>
      <w:color w:val="0F4761" w:themeColor="accent1" w:themeShade="BF"/>
    </w:rPr>
  </w:style>
  <w:style w:type="character" w:styleId="IntenseReference">
    <w:name w:val="Intense Reference"/>
    <w:basedOn w:val="DefaultParagraphFont"/>
    <w:uiPriority w:val="32"/>
    <w:qFormat/>
    <w:rsid w:val="005B4108"/>
    <w:rPr>
      <w:b/>
      <w:bCs/>
      <w:smallCaps/>
      <w:color w:val="0F4761" w:themeColor="accent1" w:themeShade="BF"/>
      <w:spacing w:val="5"/>
    </w:rPr>
  </w:style>
  <w:style w:type="paragraph" w:styleId="NormalWeb">
    <w:name w:val="Normal (Web)"/>
    <w:basedOn w:val="Normal"/>
    <w:uiPriority w:val="99"/>
    <w:semiHidden/>
    <w:unhideWhenUsed/>
    <w:rsid w:val="00B54794"/>
    <w:pPr>
      <w:widowControl/>
      <w:spacing w:before="100" w:beforeAutospacing="1" w:after="100" w:afterAutospacing="1"/>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40</TotalTime>
  <Pages>3</Pages>
  <Words>1033</Words>
  <Characters>6417</Characters>
  <Application>Microsoft Office Word</Application>
  <DocSecurity>0</DocSecurity>
  <Lines>101</Lines>
  <Paragraphs>42</Paragraphs>
  <ScaleCrop>false</ScaleCrop>
  <Company/>
  <LinksUpToDate>false</LinksUpToDate>
  <CharactersWithSpaces>7408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Suwimol Sereepaowong</dc:creator>
  <cp:keywords/>
  <dc:description/>
  <cp:lastModifiedBy>Suwimol Sereepaowong</cp:lastModifiedBy>
  <cp:revision>5</cp:revision>
  <dcterms:created xsi:type="dcterms:W3CDTF">2025-11-28T07:55:00Z</dcterms:created>
  <dcterms:modified xsi:type="dcterms:W3CDTF">2025-11-28T10:06:00Z</dcterms:modified>
</cp:coreProperties>
</file>