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5B152E" w14:textId="6A28E8A9" w:rsidR="009A666A" w:rsidRDefault="00BD3E57" w:rsidP="00BD3E57">
      <w:pPr>
        <w:pStyle w:val="Heading1"/>
        <w:spacing w:before="0" w:after="0" w:line="275" w:lineRule="auto"/>
        <w:jc w:val="center"/>
        <w:rPr>
          <w:rFonts w:eastAsia="Google Sans"/>
          <w:color w:val="1F1F1F"/>
          <w:sz w:val="28"/>
          <w:szCs w:val="28"/>
        </w:rPr>
      </w:pPr>
      <w:r w:rsidRPr="00BD3E57">
        <w:rPr>
          <w:rFonts w:eastAsia="Google Sans"/>
          <w:color w:val="1F1F1F"/>
          <w:sz w:val="28"/>
          <w:szCs w:val="28"/>
        </w:rPr>
        <w:t>CHAPTER 1: Introduction</w:t>
      </w:r>
    </w:p>
    <w:p w14:paraId="48F405DD" w14:textId="77777777" w:rsidR="00BD3E57" w:rsidRDefault="00BD3E57" w:rsidP="00BD3E57">
      <w:pPr>
        <w:jc w:val="thaiDistribute"/>
      </w:pPr>
    </w:p>
    <w:p w14:paraId="11769C29" w14:textId="77777777" w:rsidR="00BD3E57" w:rsidRPr="00BD3E57" w:rsidRDefault="00BD3E57" w:rsidP="00BD3E57">
      <w:pPr>
        <w:jc w:val="thaiDistribute"/>
      </w:pPr>
    </w:p>
    <w:p w14:paraId="0A486F37" w14:textId="77777777" w:rsidR="009A666A" w:rsidRPr="00BD3E57" w:rsidRDefault="00000000" w:rsidP="00BD3E57">
      <w:pPr>
        <w:pStyle w:val="Heading3"/>
        <w:spacing w:before="0" w:after="0" w:line="275" w:lineRule="auto"/>
        <w:jc w:val="thaiDistribute"/>
        <w:rPr>
          <w:rFonts w:eastAsia="Google Sans"/>
          <w:color w:val="1F1F1F"/>
          <w:sz w:val="24"/>
          <w:szCs w:val="24"/>
        </w:rPr>
      </w:pPr>
      <w:r w:rsidRPr="00BD3E57">
        <w:rPr>
          <w:rFonts w:eastAsia="Google Sans"/>
          <w:color w:val="1F1F1F"/>
          <w:sz w:val="24"/>
          <w:szCs w:val="24"/>
        </w:rPr>
        <w:t>1.1 Aims of national report</w:t>
      </w:r>
    </w:p>
    <w:p w14:paraId="17DF3ADE" w14:textId="77777777" w:rsidR="009A666A" w:rsidRPr="00BD3E57" w:rsidRDefault="009A666A" w:rsidP="00BD3E57">
      <w:pPr>
        <w:pBdr>
          <w:top w:val="nil"/>
          <w:left w:val="nil"/>
          <w:bottom w:val="nil"/>
          <w:right w:val="nil"/>
          <w:between w:val="nil"/>
        </w:pBdr>
        <w:spacing w:line="275" w:lineRule="auto"/>
        <w:jc w:val="thaiDistribute"/>
        <w:rPr>
          <w:rFonts w:eastAsia="Google Sans"/>
          <w:color w:val="1F1F1F"/>
          <w:sz w:val="24"/>
          <w:szCs w:val="24"/>
        </w:rPr>
      </w:pPr>
    </w:p>
    <w:p w14:paraId="69E21EBA" w14:textId="77777777" w:rsidR="009A666A" w:rsidRDefault="00000000" w:rsidP="00BD3E57">
      <w:pPr>
        <w:pBdr>
          <w:top w:val="nil"/>
          <w:left w:val="nil"/>
          <w:bottom w:val="nil"/>
          <w:right w:val="nil"/>
          <w:between w:val="nil"/>
        </w:pBdr>
        <w:spacing w:line="275" w:lineRule="auto"/>
        <w:jc w:val="thaiDistribute"/>
        <w:rPr>
          <w:rFonts w:eastAsia="Google Sans Text"/>
          <w:color w:val="1F1F1F"/>
          <w:sz w:val="24"/>
          <w:szCs w:val="24"/>
        </w:rPr>
      </w:pPr>
      <w:r w:rsidRPr="00BD3E57">
        <w:rPr>
          <w:rFonts w:eastAsia="Google Sans Text"/>
          <w:color w:val="1F1F1F"/>
          <w:sz w:val="24"/>
          <w:szCs w:val="24"/>
        </w:rPr>
        <w:t>The primary aim of this National Transboundary Diagnostic Analysis (TDA) is to provide a scientifically robust, holistic assessment of the state of the marine and coastal environment in the Gulf of Thailand. This report serves as the fundamental baseline for identifying, quantifying, and prioritizing environmental problems that are transboundary in nature or have significant national implications.</w:t>
      </w:r>
    </w:p>
    <w:p w14:paraId="685E6189" w14:textId="77777777" w:rsidR="00BD3E57" w:rsidRPr="00BD3E57" w:rsidRDefault="00BD3E57" w:rsidP="00BD3E57">
      <w:pPr>
        <w:pBdr>
          <w:top w:val="nil"/>
          <w:left w:val="nil"/>
          <w:bottom w:val="nil"/>
          <w:right w:val="nil"/>
          <w:between w:val="nil"/>
        </w:pBdr>
        <w:spacing w:line="275" w:lineRule="auto"/>
        <w:jc w:val="thaiDistribute"/>
        <w:rPr>
          <w:rFonts w:eastAsia="Google Sans Text"/>
          <w:color w:val="1F1F1F"/>
          <w:sz w:val="24"/>
          <w:szCs w:val="24"/>
        </w:rPr>
      </w:pPr>
    </w:p>
    <w:p w14:paraId="22C1BBBC" w14:textId="77777777" w:rsidR="009A666A" w:rsidRPr="00BD3E57" w:rsidRDefault="00000000" w:rsidP="00BD3E57">
      <w:pPr>
        <w:pBdr>
          <w:top w:val="nil"/>
          <w:left w:val="nil"/>
          <w:bottom w:val="nil"/>
          <w:right w:val="nil"/>
          <w:between w:val="nil"/>
        </w:pBdr>
        <w:spacing w:line="275" w:lineRule="auto"/>
        <w:jc w:val="thaiDistribute"/>
        <w:rPr>
          <w:rFonts w:eastAsia="Google Sans Text"/>
          <w:color w:val="1F1F1F"/>
          <w:sz w:val="24"/>
          <w:szCs w:val="24"/>
        </w:rPr>
      </w:pPr>
      <w:r w:rsidRPr="00BD3E57">
        <w:rPr>
          <w:rFonts w:eastAsia="Google Sans Text"/>
          <w:color w:val="1F1F1F"/>
          <w:sz w:val="24"/>
          <w:szCs w:val="24"/>
        </w:rPr>
        <w:t>Specifically, this report aims to:</w:t>
      </w:r>
    </w:p>
    <w:p w14:paraId="7D4BDFEE" w14:textId="49D3BEC5" w:rsidR="009A666A" w:rsidRPr="00BD3E57" w:rsidRDefault="00000000" w:rsidP="00BD3E57">
      <w:pPr>
        <w:pStyle w:val="ListParagraph"/>
        <w:numPr>
          <w:ilvl w:val="0"/>
          <w:numId w:val="1"/>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Diagnose the State of the Environment:</w:t>
      </w:r>
      <w:r w:rsidRPr="00BD3E57">
        <w:rPr>
          <w:rFonts w:eastAsia="Google Sans Text"/>
          <w:color w:val="1F1F1F"/>
          <w:sz w:val="24"/>
          <w:szCs w:val="24"/>
        </w:rPr>
        <w:t xml:space="preserve"> Consolidate data on the status of key coastal habitats (mangroves, coral reefs, seagrass, and wetlands), fisheries stocks, and water quality to establish a clear 2024–2025 baseline.</w:t>
      </w:r>
    </w:p>
    <w:p w14:paraId="62DA95FC" w14:textId="45869D82" w:rsidR="009A666A" w:rsidRPr="00BD3E57" w:rsidRDefault="00000000" w:rsidP="00BD3E57">
      <w:pPr>
        <w:numPr>
          <w:ilvl w:val="0"/>
          <w:numId w:val="1"/>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Identify Root Causes:</w:t>
      </w:r>
      <w:r w:rsidRPr="00BD3E57">
        <w:rPr>
          <w:rFonts w:eastAsia="Google Sans Text"/>
          <w:color w:val="1F1F1F"/>
          <w:sz w:val="24"/>
          <w:szCs w:val="24"/>
        </w:rPr>
        <w:t xml:space="preserve"> Analyze the causal chains linking environmental degradation—such as eutrophication in the Upper Gulf or coral bleaching events—to their immediate and root causes, including socio-economic drivers like industrialization in the Eastern Economic Corridor (EEC) and agricultural runoff.</w:t>
      </w:r>
    </w:p>
    <w:p w14:paraId="76B8CD5E" w14:textId="58555FF0" w:rsidR="009A666A" w:rsidRPr="00BD3E57" w:rsidRDefault="00000000" w:rsidP="00BD3E57">
      <w:pPr>
        <w:numPr>
          <w:ilvl w:val="0"/>
          <w:numId w:val="1"/>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Assess Governance Architectures:</w:t>
      </w:r>
      <w:r w:rsidRPr="00BD3E57">
        <w:rPr>
          <w:rFonts w:eastAsia="Google Sans Text"/>
          <w:color w:val="1F1F1F"/>
          <w:sz w:val="24"/>
          <w:szCs w:val="24"/>
        </w:rPr>
        <w:t xml:space="preserve"> Evaluate the effectiveness of current institutional arrangements, legal frameworks, and financial mechanisms (such as the budgets of the DMCR, DOF, and DNP) in managing these resources.</w:t>
      </w:r>
    </w:p>
    <w:p w14:paraId="2AAB93C6" w14:textId="5E4E609D" w:rsidR="009A666A" w:rsidRPr="00BD3E57" w:rsidRDefault="00000000" w:rsidP="00BD3E57">
      <w:pPr>
        <w:numPr>
          <w:ilvl w:val="0"/>
          <w:numId w:val="1"/>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Prioritize Action:</w:t>
      </w:r>
      <w:r w:rsidRPr="00BD3E57">
        <w:rPr>
          <w:rFonts w:eastAsia="Google Sans Text"/>
          <w:color w:val="1F1F1F"/>
          <w:sz w:val="24"/>
          <w:szCs w:val="24"/>
        </w:rPr>
        <w:t xml:space="preserve"> Provide the evidence base necessary for formulating the National Action Plans (NAPs) and guiding investment into "blue economy" initiatives, ecosystem restoration, and pollution control.</w:t>
      </w:r>
    </w:p>
    <w:p w14:paraId="1350D9BD" w14:textId="77777777" w:rsidR="009A666A" w:rsidRPr="00BD3E57" w:rsidRDefault="009A666A" w:rsidP="00BD3E57">
      <w:pPr>
        <w:pBdr>
          <w:top w:val="nil"/>
          <w:left w:val="nil"/>
          <w:bottom w:val="nil"/>
          <w:right w:val="nil"/>
          <w:between w:val="nil"/>
        </w:pBdr>
        <w:spacing w:before="240" w:line="275" w:lineRule="auto"/>
        <w:jc w:val="thaiDistribute"/>
        <w:rPr>
          <w:rFonts w:eastAsia="Google Sans Text"/>
          <w:color w:val="1F1F1F"/>
          <w:sz w:val="24"/>
          <w:szCs w:val="24"/>
        </w:rPr>
      </w:pPr>
    </w:p>
    <w:p w14:paraId="1FBDF417" w14:textId="77777777" w:rsidR="009A666A" w:rsidRPr="00BD3E57" w:rsidRDefault="00000000" w:rsidP="007B2406">
      <w:pPr>
        <w:pStyle w:val="Heading4"/>
        <w:spacing w:before="0" w:after="0" w:line="275" w:lineRule="auto"/>
        <w:ind w:firstLine="426"/>
        <w:jc w:val="thaiDistribute"/>
        <w:rPr>
          <w:rFonts w:eastAsia="Google Sans"/>
          <w:color w:val="1F1F1F"/>
        </w:rPr>
      </w:pPr>
      <w:r w:rsidRPr="00BD3E57">
        <w:rPr>
          <w:rFonts w:eastAsia="Google Sans"/>
          <w:color w:val="1F1F1F"/>
        </w:rPr>
        <w:t>1.1.1 Inputs to the SCS-GOT TDA</w:t>
      </w:r>
    </w:p>
    <w:p w14:paraId="0C632FF3" w14:textId="77777777" w:rsidR="009A666A" w:rsidRPr="00BD3E57" w:rsidRDefault="00000000" w:rsidP="00680915">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 xml:space="preserve">This National TDA constitutes Thailand’s specific contribution to the regional </w:t>
      </w:r>
      <w:r w:rsidRPr="00BD3E57">
        <w:rPr>
          <w:rFonts w:eastAsia="Google Sans Text"/>
          <w:b/>
          <w:bCs/>
          <w:color w:val="1F1F1F"/>
          <w:sz w:val="24"/>
          <w:szCs w:val="24"/>
        </w:rPr>
        <w:t>Transboundary Diagnostic Analysis for the South China Sea and Gulf of Thailand (SCS-GOT TDA)</w:t>
      </w:r>
      <w:r w:rsidRPr="00BD3E57">
        <w:rPr>
          <w:rFonts w:eastAsia="Google Sans Text"/>
          <w:color w:val="1F1F1F"/>
          <w:sz w:val="24"/>
          <w:szCs w:val="24"/>
        </w:rPr>
        <w:t>. As the Gulf of Thailand is a semi-enclosed sea connected to the South China Sea, the environmental dynamics within Thai waters—including nutrient loads, fish stock migration, and marine debris transport—have direct transboundary implications for neighboring riparian states (Cambodia, Vietnam, and Malaysia).</w:t>
      </w:r>
    </w:p>
    <w:p w14:paraId="067E64F3" w14:textId="77777777" w:rsidR="00680915" w:rsidRDefault="00680915" w:rsidP="00680915">
      <w:pPr>
        <w:pBdr>
          <w:top w:val="nil"/>
          <w:left w:val="nil"/>
          <w:bottom w:val="nil"/>
          <w:right w:val="nil"/>
          <w:between w:val="nil"/>
        </w:pBdr>
        <w:spacing w:line="275" w:lineRule="auto"/>
        <w:ind w:firstLine="426"/>
        <w:jc w:val="thaiDistribute"/>
        <w:rPr>
          <w:rFonts w:eastAsia="Google Sans Text"/>
          <w:color w:val="1F1F1F"/>
          <w:sz w:val="24"/>
          <w:szCs w:val="24"/>
        </w:rPr>
      </w:pPr>
    </w:p>
    <w:p w14:paraId="54332ECE" w14:textId="7E4A6129" w:rsidR="009A666A" w:rsidRPr="00BD3E57" w:rsidRDefault="00000000" w:rsidP="00680915">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The inputs from this national report to the regional SCS-GOT TDA framework include:</w:t>
      </w:r>
    </w:p>
    <w:p w14:paraId="4A977126" w14:textId="046E8824" w:rsidR="009A666A" w:rsidRPr="00BD3E57" w:rsidRDefault="00000000" w:rsidP="00680915">
      <w:pPr>
        <w:numPr>
          <w:ilvl w:val="0"/>
          <w:numId w:val="4"/>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Fisheries Data:</w:t>
      </w:r>
      <w:r w:rsidRPr="00BD3E57">
        <w:rPr>
          <w:rFonts w:eastAsia="Google Sans Text"/>
          <w:color w:val="1F1F1F"/>
          <w:sz w:val="24"/>
          <w:szCs w:val="24"/>
        </w:rPr>
        <w:t xml:space="preserve"> Providing catch reconstruction data and Catch Per Unit Effort (CPUE) trends for the Gulf of Thailand, which helps assess the status of shared transboundary fish stocks and the efficacy of effort control measures (e.g., "Fishing Days" limits).</w:t>
      </w:r>
    </w:p>
    <w:p w14:paraId="2EDC9041" w14:textId="69638CEB" w:rsidR="009A666A" w:rsidRPr="00BD3E57" w:rsidRDefault="00000000" w:rsidP="00680915">
      <w:pPr>
        <w:numPr>
          <w:ilvl w:val="0"/>
          <w:numId w:val="4"/>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Pollution Hotspots:</w:t>
      </w:r>
      <w:r w:rsidRPr="00BD3E57">
        <w:rPr>
          <w:rFonts w:eastAsia="Google Sans Text"/>
          <w:color w:val="1F1F1F"/>
          <w:sz w:val="24"/>
          <w:szCs w:val="24"/>
        </w:rPr>
        <w:t xml:space="preserve"> Identifying land-based pollution sources, specifically nutrient </w:t>
      </w:r>
      <w:r w:rsidRPr="00BD3E57">
        <w:rPr>
          <w:rFonts w:eastAsia="Google Sans Text"/>
          <w:color w:val="1F1F1F"/>
          <w:sz w:val="24"/>
          <w:szCs w:val="24"/>
        </w:rPr>
        <w:lastRenderedPageBreak/>
        <w:t>loading from major river systems (Chao Phraya, Tha Chin) and plastic leakage, which contribute to regional eutrophication and marine litter problems addressed by mechanisms like COBSEA.</w:t>
      </w:r>
    </w:p>
    <w:p w14:paraId="5E96D219" w14:textId="2B21F215" w:rsidR="009A666A" w:rsidRPr="00BD3E57" w:rsidRDefault="00000000" w:rsidP="00680915">
      <w:pPr>
        <w:numPr>
          <w:ilvl w:val="0"/>
          <w:numId w:val="4"/>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Habitat Status:</w:t>
      </w:r>
      <w:r w:rsidRPr="00BD3E57">
        <w:rPr>
          <w:rFonts w:eastAsia="Google Sans Text"/>
          <w:color w:val="1F1F1F"/>
          <w:sz w:val="24"/>
          <w:szCs w:val="24"/>
        </w:rPr>
        <w:t xml:space="preserve"> Contributing data on the extent and health of critical habitats—such as the 255.7 km² mangrove complex in Bandon Bay and the "Larval Source" coral reefs at Koh Losin—which are essential for maintaining regional biodiversity connectivity and genetic refugia.</w:t>
      </w:r>
    </w:p>
    <w:p w14:paraId="5B06E3AB" w14:textId="18A76893" w:rsidR="009A666A" w:rsidRPr="00BD3E57" w:rsidRDefault="00000000" w:rsidP="00680915">
      <w:pPr>
        <w:numPr>
          <w:ilvl w:val="0"/>
          <w:numId w:val="4"/>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Climate Vulnerability:</w:t>
      </w:r>
      <w:r w:rsidRPr="00BD3E57">
        <w:rPr>
          <w:rFonts w:eastAsia="Google Sans Text"/>
          <w:color w:val="1F1F1F"/>
          <w:sz w:val="24"/>
          <w:szCs w:val="24"/>
        </w:rPr>
        <w:t xml:space="preserve"> Sharing assessments of climate impacts, such as sea-level rise and coral bleaching, to inform regional adaptation strategies.</w:t>
      </w:r>
    </w:p>
    <w:p w14:paraId="3259081D" w14:textId="77777777" w:rsidR="009A666A" w:rsidRPr="00BD3E57" w:rsidRDefault="009A666A" w:rsidP="00680915">
      <w:pPr>
        <w:pBdr>
          <w:top w:val="nil"/>
          <w:left w:val="nil"/>
          <w:bottom w:val="nil"/>
          <w:right w:val="nil"/>
          <w:between w:val="nil"/>
        </w:pBdr>
        <w:spacing w:before="240" w:line="275" w:lineRule="auto"/>
        <w:ind w:firstLine="426"/>
        <w:jc w:val="thaiDistribute"/>
        <w:rPr>
          <w:rFonts w:eastAsia="Google Sans Text"/>
          <w:color w:val="1F1F1F"/>
          <w:sz w:val="24"/>
          <w:szCs w:val="24"/>
        </w:rPr>
      </w:pPr>
    </w:p>
    <w:p w14:paraId="38172C3D" w14:textId="0386F67E" w:rsidR="009A666A" w:rsidRPr="00BD3E57" w:rsidRDefault="00000000" w:rsidP="007B2406">
      <w:pPr>
        <w:pStyle w:val="Heading4"/>
        <w:spacing w:before="0" w:after="0" w:line="275" w:lineRule="auto"/>
        <w:ind w:firstLine="426"/>
        <w:jc w:val="thaiDistribute"/>
        <w:rPr>
          <w:rFonts w:eastAsia="Google Sans"/>
          <w:color w:val="1F1F1F"/>
        </w:rPr>
      </w:pPr>
      <w:r w:rsidRPr="00BD3E57">
        <w:rPr>
          <w:rFonts w:eastAsia="Google Sans"/>
          <w:color w:val="1F1F1F"/>
        </w:rPr>
        <w:t>1.1.2 Analysis to help national reporting to SDG and other international commitments</w:t>
      </w:r>
    </w:p>
    <w:p w14:paraId="6C08EF0F" w14:textId="77777777" w:rsidR="009A666A" w:rsidRDefault="00000000" w:rsidP="00680915">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The data and analysis generated in this National TDA are designed to directly support Thailand’s monitoring and reporting obligations under key global and regional frameworks. By harmonizing national indicators with international metrics, this report facilitates compliance with the following commitments:</w:t>
      </w:r>
    </w:p>
    <w:p w14:paraId="15F84A4F" w14:textId="77777777" w:rsidR="007B2406" w:rsidRPr="00BD3E57" w:rsidRDefault="007B2406" w:rsidP="00680915">
      <w:pPr>
        <w:pBdr>
          <w:top w:val="nil"/>
          <w:left w:val="nil"/>
          <w:bottom w:val="nil"/>
          <w:right w:val="nil"/>
          <w:between w:val="nil"/>
        </w:pBdr>
        <w:spacing w:line="275" w:lineRule="auto"/>
        <w:ind w:firstLine="426"/>
        <w:jc w:val="thaiDistribute"/>
        <w:rPr>
          <w:rFonts w:eastAsia="Google Sans Text"/>
          <w:color w:val="1F1F1F"/>
          <w:sz w:val="24"/>
          <w:szCs w:val="24"/>
        </w:rPr>
      </w:pPr>
    </w:p>
    <w:p w14:paraId="2DC7F68E" w14:textId="23E5B897" w:rsidR="009A666A" w:rsidRPr="00680915" w:rsidRDefault="00000000" w:rsidP="00680915">
      <w:pPr>
        <w:pStyle w:val="ListParagraph"/>
        <w:numPr>
          <w:ilvl w:val="0"/>
          <w:numId w:val="18"/>
        </w:numPr>
        <w:pBdr>
          <w:top w:val="nil"/>
          <w:left w:val="nil"/>
          <w:bottom w:val="nil"/>
          <w:right w:val="nil"/>
          <w:between w:val="nil"/>
        </w:pBdr>
        <w:spacing w:line="275" w:lineRule="auto"/>
        <w:jc w:val="thaiDistribute"/>
        <w:rPr>
          <w:rFonts w:eastAsia="Google Sans Text"/>
          <w:b/>
          <w:bCs/>
          <w:color w:val="1F1F1F"/>
          <w:sz w:val="24"/>
          <w:szCs w:val="24"/>
        </w:rPr>
      </w:pPr>
      <w:r w:rsidRPr="00680915">
        <w:rPr>
          <w:rFonts w:eastAsia="Google Sans Text"/>
          <w:b/>
          <w:bCs/>
          <w:color w:val="1F1F1F"/>
          <w:sz w:val="24"/>
          <w:szCs w:val="24"/>
        </w:rPr>
        <w:t>UN Sustainable Development Goals (SDGs):</w:t>
      </w:r>
    </w:p>
    <w:p w14:paraId="6B4A72D6" w14:textId="67CC2F00" w:rsidR="009A666A" w:rsidRPr="00BD3E57" w:rsidRDefault="00000000" w:rsidP="00680915">
      <w:pPr>
        <w:numPr>
          <w:ilvl w:val="0"/>
          <w:numId w:val="5"/>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SDG 14 (Life Below Water):</w:t>
      </w:r>
      <w:r w:rsidRPr="00BD3E57">
        <w:rPr>
          <w:rFonts w:eastAsia="Google Sans Text"/>
          <w:color w:val="1F1F1F"/>
          <w:sz w:val="24"/>
          <w:szCs w:val="24"/>
        </w:rPr>
        <w:t xml:space="preserve"> The report’s assessment of marine pollution (Indicator 14.1), ecosystem management (Indicator 14.2), and fisheries sustainability (Indicator 14.4) provides the necessary data for Voluntary National Reviews (VNRs)</w:t>
      </w:r>
      <w:r w:rsidR="00F10EE1">
        <w:rPr>
          <w:rFonts w:eastAsia="Google Sans Text"/>
          <w:color w:val="1F1F1F"/>
          <w:sz w:val="24"/>
          <w:szCs w:val="24"/>
        </w:rPr>
        <w:t>.</w:t>
      </w:r>
    </w:p>
    <w:p w14:paraId="22246000" w14:textId="09AFA929" w:rsidR="009A666A" w:rsidRPr="00BD3E57" w:rsidRDefault="00000000" w:rsidP="00680915">
      <w:pPr>
        <w:numPr>
          <w:ilvl w:val="0"/>
          <w:numId w:val="5"/>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SDG 13 (Climate Action):</w:t>
      </w:r>
      <w:r w:rsidRPr="00BD3E57">
        <w:rPr>
          <w:rFonts w:eastAsia="Google Sans Text"/>
          <w:color w:val="1F1F1F"/>
          <w:sz w:val="24"/>
          <w:szCs w:val="24"/>
        </w:rPr>
        <w:t xml:space="preserve"> The quantification of "Blue Carbon" stocks in mangroves and seagrass beds (e.g., carbon storage estimates for Bandon Bay and Chumphon) directly supports Thailand's climate action reporting.</w:t>
      </w:r>
    </w:p>
    <w:p w14:paraId="688394D3" w14:textId="2F896205" w:rsidR="009A666A" w:rsidRPr="00680915" w:rsidRDefault="00000000" w:rsidP="00680915">
      <w:pPr>
        <w:pStyle w:val="ListParagraph"/>
        <w:numPr>
          <w:ilvl w:val="0"/>
          <w:numId w:val="18"/>
        </w:numPr>
        <w:pBdr>
          <w:top w:val="nil"/>
          <w:left w:val="nil"/>
          <w:bottom w:val="nil"/>
          <w:right w:val="nil"/>
          <w:between w:val="nil"/>
        </w:pBdr>
        <w:spacing w:before="240" w:line="275" w:lineRule="auto"/>
        <w:jc w:val="thaiDistribute"/>
        <w:rPr>
          <w:rFonts w:eastAsia="Google Sans Text"/>
          <w:b/>
          <w:bCs/>
          <w:color w:val="1F1F1F"/>
          <w:sz w:val="24"/>
          <w:szCs w:val="24"/>
        </w:rPr>
      </w:pPr>
      <w:r w:rsidRPr="00680915">
        <w:rPr>
          <w:rFonts w:eastAsia="Google Sans Text"/>
          <w:b/>
          <w:bCs/>
          <w:color w:val="1F1F1F"/>
          <w:sz w:val="24"/>
          <w:szCs w:val="24"/>
        </w:rPr>
        <w:t>The Kunming-Montreal Global Biodiversity Framework (GBF):</w:t>
      </w:r>
    </w:p>
    <w:p w14:paraId="1AF13EAB" w14:textId="5F4C358F" w:rsidR="009A666A" w:rsidRDefault="00000000" w:rsidP="00197F6A">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b/>
          <w:bCs/>
          <w:color w:val="1F1F1F"/>
          <w:sz w:val="24"/>
          <w:szCs w:val="24"/>
        </w:rPr>
        <w:t>Target 3 (30x30):</w:t>
      </w:r>
      <w:r w:rsidRPr="00BD3E57">
        <w:rPr>
          <w:rFonts w:eastAsia="Google Sans Text"/>
          <w:color w:val="1F1F1F"/>
          <w:sz w:val="24"/>
          <w:szCs w:val="24"/>
        </w:rPr>
        <w:t xml:space="preserve"> The evaluation of Marine Protected Areas (MPAs) and Other Effective Area-based Conservation Measures (OECMs), such as the preservation of Koh Losin and underwater pinnacles, supports tracking progress toward protecting 30% of marine areas by 2030.</w:t>
      </w:r>
    </w:p>
    <w:p w14:paraId="202CC63E" w14:textId="77777777" w:rsidR="00197F6A" w:rsidRPr="00BD3E57" w:rsidRDefault="00197F6A" w:rsidP="00197F6A">
      <w:pPr>
        <w:pBdr>
          <w:top w:val="nil"/>
          <w:left w:val="nil"/>
          <w:bottom w:val="nil"/>
          <w:right w:val="nil"/>
          <w:between w:val="nil"/>
        </w:pBdr>
        <w:spacing w:line="275" w:lineRule="auto"/>
        <w:ind w:firstLine="426"/>
        <w:jc w:val="thaiDistribute"/>
        <w:rPr>
          <w:sz w:val="24"/>
          <w:szCs w:val="24"/>
        </w:rPr>
      </w:pPr>
    </w:p>
    <w:p w14:paraId="5F129C8B" w14:textId="77777777" w:rsidR="00197F6A" w:rsidRDefault="00000000" w:rsidP="00197F6A">
      <w:pPr>
        <w:pStyle w:val="ListParagraph"/>
        <w:numPr>
          <w:ilvl w:val="0"/>
          <w:numId w:val="18"/>
        </w:numPr>
        <w:pBdr>
          <w:top w:val="nil"/>
          <w:left w:val="nil"/>
          <w:bottom w:val="nil"/>
          <w:right w:val="nil"/>
          <w:between w:val="nil"/>
        </w:pBdr>
        <w:spacing w:line="275" w:lineRule="auto"/>
        <w:jc w:val="thaiDistribute"/>
        <w:rPr>
          <w:rFonts w:eastAsia="Google Sans Text"/>
          <w:b/>
          <w:bCs/>
          <w:color w:val="1F1F1F"/>
          <w:sz w:val="24"/>
          <w:szCs w:val="24"/>
        </w:rPr>
      </w:pPr>
      <w:r w:rsidRPr="00680915">
        <w:rPr>
          <w:rFonts w:eastAsia="Google Sans Text"/>
          <w:b/>
          <w:bCs/>
          <w:color w:val="1F1F1F"/>
          <w:sz w:val="24"/>
          <w:szCs w:val="24"/>
        </w:rPr>
        <w:t>Nationally Determined Contributions (NDCs) under the Paris Agreement:</w:t>
      </w:r>
    </w:p>
    <w:p w14:paraId="2CE210A2" w14:textId="0587A6B6" w:rsidR="009A666A" w:rsidRPr="00197F6A" w:rsidRDefault="00000000" w:rsidP="00197F6A">
      <w:pPr>
        <w:pBdr>
          <w:top w:val="nil"/>
          <w:left w:val="nil"/>
          <w:bottom w:val="nil"/>
          <w:right w:val="nil"/>
          <w:between w:val="nil"/>
        </w:pBdr>
        <w:spacing w:line="275" w:lineRule="auto"/>
        <w:ind w:firstLine="426"/>
        <w:jc w:val="thaiDistribute"/>
        <w:rPr>
          <w:rFonts w:eastAsia="Google Sans Text"/>
          <w:b/>
          <w:bCs/>
          <w:color w:val="1F1F1F"/>
          <w:sz w:val="24"/>
          <w:szCs w:val="24"/>
        </w:rPr>
      </w:pPr>
      <w:r w:rsidRPr="00197F6A">
        <w:rPr>
          <w:rFonts w:eastAsia="Google Sans Text"/>
          <w:b/>
          <w:bCs/>
          <w:color w:val="1F1F1F"/>
          <w:sz w:val="24"/>
          <w:szCs w:val="24"/>
        </w:rPr>
        <w:t>Climate Vulnerability and Socio-Economic Resilience:</w:t>
      </w:r>
      <w:r w:rsidRPr="00197F6A">
        <w:rPr>
          <w:rFonts w:eastAsia="Google Sans Text"/>
          <w:color w:val="1F1F1F"/>
          <w:sz w:val="24"/>
          <w:szCs w:val="24"/>
        </w:rPr>
        <w:t xml:space="preserve"> The report integrates climate impact assessments with socioeconomic data to inform National Adaptation Plans. It highlights the acute vulnerability of </w:t>
      </w:r>
      <w:r w:rsidR="00EF73E7">
        <w:rPr>
          <w:rFonts w:eastAsia="Google Sans Text"/>
          <w:color w:val="1F1F1F"/>
          <w:sz w:val="24"/>
          <w:szCs w:val="24"/>
          <w:lang w:val="en-US"/>
        </w:rPr>
        <w:t>the 18.6 million residents in the Gulf of Thailand’s coastal provinces (2020)</w:t>
      </w:r>
      <w:r w:rsidRPr="00197F6A">
        <w:rPr>
          <w:rFonts w:eastAsia="Google Sans Text"/>
          <w:color w:val="1F1F1F"/>
          <w:sz w:val="24"/>
          <w:szCs w:val="24"/>
        </w:rPr>
        <w:t>, particularly in high-density provinces like</w:t>
      </w:r>
      <w:r w:rsidR="00EF73E7">
        <w:rPr>
          <w:rFonts w:eastAsia="Google Sans Text"/>
          <w:color w:val="1F1F1F"/>
          <w:sz w:val="24"/>
          <w:szCs w:val="24"/>
          <w:lang w:val="en-US"/>
        </w:rPr>
        <w:t xml:space="preserve"> Bangkok (3,562 persons/km</w:t>
      </w:r>
      <w:r w:rsidR="00EF73E7" w:rsidRPr="00A97974">
        <w:rPr>
          <w:rFonts w:eastAsia="Google Sans Text"/>
          <w:color w:val="1F1F1F"/>
          <w:sz w:val="24"/>
          <w:szCs w:val="24"/>
          <w:vertAlign w:val="superscript"/>
          <w:lang w:val="en-US"/>
        </w:rPr>
        <w:t>2</w:t>
      </w:r>
      <w:r w:rsidR="00EF73E7">
        <w:rPr>
          <w:rFonts w:eastAsia="Google Sans Text"/>
          <w:color w:val="1F1F1F"/>
          <w:sz w:val="24"/>
          <w:szCs w:val="24"/>
          <w:lang w:val="en-US"/>
        </w:rPr>
        <w:t>)</w:t>
      </w:r>
      <w:r w:rsidRPr="00197F6A">
        <w:rPr>
          <w:rFonts w:eastAsia="Google Sans Text"/>
          <w:color w:val="1F1F1F"/>
          <w:sz w:val="24"/>
          <w:szCs w:val="24"/>
        </w:rPr>
        <w:t xml:space="preserve"> </w:t>
      </w:r>
      <w:r w:rsidR="00EF73E7">
        <w:rPr>
          <w:rFonts w:eastAsia="Google Sans Text"/>
          <w:color w:val="1F1F1F"/>
          <w:sz w:val="24"/>
          <w:szCs w:val="24"/>
          <w:lang w:val="en-US"/>
        </w:rPr>
        <w:t xml:space="preserve">and </w:t>
      </w:r>
      <w:r w:rsidRPr="00197F6A">
        <w:rPr>
          <w:rFonts w:eastAsia="Google Sans Text"/>
          <w:color w:val="1F1F1F"/>
          <w:sz w:val="24"/>
          <w:szCs w:val="24"/>
        </w:rPr>
        <w:t>Samut Prakan (1,346 persons/km²). It further analyzes economic exposure, noting that the 2024 cyclone season alone caused estimated damages of USD 904 million. By correlating poverty rates</w:t>
      </w:r>
      <w:r w:rsidR="00D247C4">
        <w:rPr>
          <w:rFonts w:eastAsia="Google Sans Text"/>
          <w:color w:val="1F1F1F"/>
          <w:sz w:val="24"/>
          <w:szCs w:val="24"/>
        </w:rPr>
        <w:t xml:space="preserve"> </w:t>
      </w:r>
      <w:r w:rsidRPr="00197F6A">
        <w:rPr>
          <w:rFonts w:eastAsia="Google Sans Text"/>
          <w:color w:val="1F1F1F"/>
          <w:sz w:val="24"/>
          <w:szCs w:val="24"/>
        </w:rPr>
        <w:t xml:space="preserve">with climate risks, the analysis identifies populations with low adaptive capacity, ensuring that adaptation strategies </w:t>
      </w:r>
      <w:r w:rsidRPr="00197F6A">
        <w:rPr>
          <w:rFonts w:eastAsia="Google Sans Text"/>
          <w:color w:val="1F1F1F"/>
          <w:sz w:val="24"/>
          <w:szCs w:val="24"/>
        </w:rPr>
        <w:lastRenderedPageBreak/>
        <w:t>prioritize the most vulnerable communities dependent on climate-sensitive sectors like fisheries and tourism.</w:t>
      </w:r>
    </w:p>
    <w:p w14:paraId="3BD0EA97" w14:textId="77777777" w:rsidR="00197F6A" w:rsidRPr="00680915" w:rsidRDefault="00197F6A" w:rsidP="00197F6A">
      <w:pPr>
        <w:pBdr>
          <w:top w:val="nil"/>
          <w:left w:val="nil"/>
          <w:bottom w:val="nil"/>
          <w:right w:val="nil"/>
          <w:between w:val="nil"/>
        </w:pBdr>
        <w:jc w:val="thaiDistribute"/>
        <w:rPr>
          <w:sz w:val="24"/>
          <w:szCs w:val="24"/>
        </w:rPr>
      </w:pPr>
    </w:p>
    <w:p w14:paraId="38784688" w14:textId="77777777" w:rsidR="00680915" w:rsidRPr="00680915" w:rsidRDefault="00000000" w:rsidP="00680915">
      <w:pPr>
        <w:pStyle w:val="ListParagraph"/>
        <w:numPr>
          <w:ilvl w:val="0"/>
          <w:numId w:val="18"/>
        </w:numPr>
        <w:pBdr>
          <w:top w:val="nil"/>
          <w:left w:val="nil"/>
          <w:bottom w:val="nil"/>
          <w:right w:val="nil"/>
          <w:between w:val="nil"/>
        </w:pBdr>
        <w:jc w:val="thaiDistribute"/>
        <w:rPr>
          <w:rFonts w:eastAsia="Google Sans Text" w:cs="Arial"/>
          <w:b/>
          <w:bCs/>
          <w:color w:val="1F1F1F"/>
          <w:sz w:val="24"/>
          <w:szCs w:val="24"/>
        </w:rPr>
      </w:pPr>
      <w:r w:rsidRPr="00680915">
        <w:rPr>
          <w:rFonts w:eastAsia="Google Sans Text" w:cs="Arial"/>
          <w:b/>
          <w:bCs/>
          <w:color w:val="1F1F1F"/>
          <w:sz w:val="24"/>
          <w:szCs w:val="24"/>
        </w:rPr>
        <w:t>Regional and Specific Conventions:</w:t>
      </w:r>
    </w:p>
    <w:p w14:paraId="6632CA76" w14:textId="2805EF47" w:rsidR="00680915" w:rsidRPr="00197F6A" w:rsidRDefault="00680915" w:rsidP="00680915">
      <w:pPr>
        <w:pStyle w:val="ListParagraph"/>
        <w:numPr>
          <w:ilvl w:val="0"/>
          <w:numId w:val="19"/>
        </w:numPr>
        <w:pBdr>
          <w:top w:val="nil"/>
          <w:left w:val="nil"/>
          <w:bottom w:val="nil"/>
          <w:right w:val="nil"/>
          <w:between w:val="nil"/>
        </w:pBdr>
        <w:ind w:left="0" w:firstLine="426"/>
        <w:jc w:val="thaiDistribute"/>
        <w:rPr>
          <w:rFonts w:eastAsia="Google Sans Text"/>
          <w:color w:val="1F1F1F"/>
          <w:sz w:val="24"/>
          <w:szCs w:val="24"/>
        </w:rPr>
      </w:pPr>
      <w:r w:rsidRPr="00680915">
        <w:rPr>
          <w:b/>
          <w:bCs/>
          <w:sz w:val="24"/>
          <w:szCs w:val="24"/>
        </w:rPr>
        <w:t>Marine Litter:</w:t>
      </w:r>
      <w:r w:rsidRPr="00680915">
        <w:rPr>
          <w:sz w:val="24"/>
          <w:szCs w:val="24"/>
        </w:rPr>
        <w:t xml:space="preserve"> Supports the </w:t>
      </w:r>
      <w:r w:rsidRPr="00197F6A">
        <w:rPr>
          <w:i/>
          <w:iCs/>
          <w:sz w:val="24"/>
          <w:szCs w:val="24"/>
        </w:rPr>
        <w:t xml:space="preserve">COBSEA Regional Action Plan on Marine Litter (RAP MALI) </w:t>
      </w:r>
      <w:r w:rsidRPr="00197F6A">
        <w:rPr>
          <w:sz w:val="24"/>
          <w:szCs w:val="24"/>
        </w:rPr>
        <w:t>by quantifying land-based plastic leakage, monitoring microplastics, and addressing sea-based sources such as Abandoned, Lost, or otherwise Discarded Fishing Gear (ALDFG).</w:t>
      </w:r>
      <w:r w:rsidR="00197F6A">
        <w:rPr>
          <w:sz w:val="24"/>
          <w:szCs w:val="24"/>
        </w:rPr>
        <w:t xml:space="preserve"> In addition, </w:t>
      </w:r>
      <w:r w:rsidR="00197F6A">
        <w:rPr>
          <w:rFonts w:eastAsia="Google Sans Text" w:cs="Arial"/>
          <w:color w:val="1F1F1F"/>
          <w:sz w:val="24"/>
          <w:szCs w:val="24"/>
        </w:rPr>
        <w:t>s</w:t>
      </w:r>
      <w:r w:rsidR="00197F6A" w:rsidRPr="00680915">
        <w:rPr>
          <w:rFonts w:eastAsia="Google Sans Text" w:cs="Arial"/>
          <w:color w:val="1F1F1F"/>
          <w:sz w:val="24"/>
          <w:szCs w:val="24"/>
        </w:rPr>
        <w:t xml:space="preserve">upports the </w:t>
      </w:r>
      <w:r w:rsidR="00197F6A" w:rsidRPr="00680915">
        <w:rPr>
          <w:rFonts w:eastAsia="Google Sans Text" w:cs="Arial"/>
          <w:i/>
          <w:iCs/>
          <w:color w:val="1F1F1F"/>
          <w:sz w:val="24"/>
          <w:szCs w:val="24"/>
        </w:rPr>
        <w:t>ASEAN Regional Action Plan for Combating Marine Debris</w:t>
      </w:r>
      <w:r w:rsidR="00197F6A" w:rsidRPr="00680915">
        <w:rPr>
          <w:rFonts w:eastAsia="Google Sans Text" w:cs="Arial"/>
          <w:color w:val="1F1F1F"/>
          <w:sz w:val="24"/>
          <w:szCs w:val="24"/>
        </w:rPr>
        <w:t xml:space="preserve"> by quantifying plastic leakage and identifying hotspot areas</w:t>
      </w:r>
      <w:r w:rsidR="00F10EE1">
        <w:rPr>
          <w:rFonts w:eastAsia="Google Sans Text" w:cs="Arial"/>
          <w:color w:val="1F1F1F"/>
          <w:sz w:val="24"/>
          <w:szCs w:val="24"/>
        </w:rPr>
        <w:t>.</w:t>
      </w:r>
    </w:p>
    <w:p w14:paraId="15E0D9C5" w14:textId="230CA3D1" w:rsidR="00680915" w:rsidRPr="00680915" w:rsidRDefault="00680915" w:rsidP="00680915">
      <w:pPr>
        <w:pStyle w:val="NormalWeb"/>
        <w:numPr>
          <w:ilvl w:val="0"/>
          <w:numId w:val="19"/>
        </w:numPr>
        <w:spacing w:before="0" w:beforeAutospacing="0" w:after="0" w:afterAutospacing="0"/>
        <w:ind w:left="0" w:firstLine="426"/>
        <w:rPr>
          <w:rFonts w:ascii="Arial" w:hAnsi="Arial" w:cs="Arial"/>
        </w:rPr>
      </w:pPr>
      <w:r w:rsidRPr="00680915">
        <w:rPr>
          <w:rFonts w:ascii="Arial" w:hAnsi="Arial" w:cs="Arial"/>
          <w:b/>
          <w:bCs/>
        </w:rPr>
        <w:t>Marine Ecosystems:</w:t>
      </w:r>
      <w:r w:rsidRPr="00680915">
        <w:rPr>
          <w:rFonts w:ascii="Arial" w:hAnsi="Arial" w:cs="Arial"/>
        </w:rPr>
        <w:t xml:space="preserve"> Supports </w:t>
      </w:r>
      <w:r w:rsidRPr="00197F6A">
        <w:rPr>
          <w:rFonts w:ascii="Arial" w:hAnsi="Arial" w:cs="Arial"/>
        </w:rPr>
        <w:t>the COBSEA Marine and Coastal Ecosystems (MCE) Framework by aligning national initiatives on Marine Spatial Planning (MSP) and "Blue Carbon" habitat restoration (mangroves and seagrasses) with regional Sustainable Blue Economy goals and the "30x30</w:t>
      </w:r>
      <w:r w:rsidRPr="00680915">
        <w:rPr>
          <w:rFonts w:ascii="Arial" w:hAnsi="Arial" w:cs="Arial"/>
        </w:rPr>
        <w:t>" protection targets</w:t>
      </w:r>
      <w:r w:rsidR="00197F6A">
        <w:rPr>
          <w:rFonts w:ascii="Arial" w:hAnsi="Arial" w:cs="Arial"/>
        </w:rPr>
        <w:t>.</w:t>
      </w:r>
    </w:p>
    <w:p w14:paraId="465711F1" w14:textId="36F55175" w:rsidR="009A666A" w:rsidRPr="00680915" w:rsidRDefault="00000000" w:rsidP="00680915">
      <w:pPr>
        <w:numPr>
          <w:ilvl w:val="0"/>
          <w:numId w:val="8"/>
        </w:numPr>
        <w:pBdr>
          <w:top w:val="nil"/>
          <w:left w:val="nil"/>
          <w:bottom w:val="nil"/>
          <w:right w:val="nil"/>
          <w:between w:val="nil"/>
        </w:pBdr>
        <w:ind w:left="0" w:firstLine="426"/>
        <w:jc w:val="thaiDistribute"/>
        <w:rPr>
          <w:sz w:val="24"/>
          <w:szCs w:val="24"/>
        </w:rPr>
      </w:pPr>
      <w:r w:rsidRPr="00680915">
        <w:rPr>
          <w:rFonts w:eastAsia="Google Sans Text"/>
          <w:b/>
          <w:bCs/>
          <w:color w:val="1F1F1F"/>
          <w:sz w:val="24"/>
          <w:szCs w:val="24"/>
        </w:rPr>
        <w:t>Biodiversity Protection:</w:t>
      </w:r>
      <w:r w:rsidRPr="00680915">
        <w:rPr>
          <w:rFonts w:eastAsia="Google Sans Text"/>
          <w:color w:val="1F1F1F"/>
          <w:sz w:val="24"/>
          <w:szCs w:val="24"/>
        </w:rPr>
        <w:t xml:space="preserve"> Provides status updates for species listed </w:t>
      </w:r>
      <w:r w:rsidRPr="00197F6A">
        <w:rPr>
          <w:rFonts w:eastAsia="Google Sans Text"/>
          <w:color w:val="1F1F1F"/>
          <w:sz w:val="24"/>
          <w:szCs w:val="24"/>
        </w:rPr>
        <w:t xml:space="preserve">under </w:t>
      </w:r>
      <w:r w:rsidRPr="00197F6A">
        <w:rPr>
          <w:rFonts w:eastAsia="Google Sans Text"/>
          <w:i/>
          <w:iCs/>
          <w:color w:val="1F1F1F"/>
          <w:sz w:val="24"/>
          <w:szCs w:val="24"/>
        </w:rPr>
        <w:t xml:space="preserve">CITES and the Convention on Migratory Species (CMS), </w:t>
      </w:r>
      <w:r w:rsidRPr="00197F6A">
        <w:rPr>
          <w:rFonts w:eastAsia="Google Sans Text"/>
          <w:color w:val="1F1F1F"/>
          <w:sz w:val="24"/>
          <w:szCs w:val="24"/>
        </w:rPr>
        <w:t>specifically regarding the Dugong</w:t>
      </w:r>
      <w:r w:rsidRPr="00680915">
        <w:rPr>
          <w:rFonts w:eastAsia="Google Sans Text"/>
          <w:color w:val="1F1F1F"/>
          <w:sz w:val="24"/>
          <w:szCs w:val="24"/>
        </w:rPr>
        <w:t xml:space="preserve"> MOU and IOSEA Marine Turtle MOU.</w:t>
      </w:r>
    </w:p>
    <w:p w14:paraId="15581508" w14:textId="5B452026" w:rsidR="009A666A" w:rsidRPr="00680915" w:rsidRDefault="00000000" w:rsidP="00680915">
      <w:pPr>
        <w:numPr>
          <w:ilvl w:val="0"/>
          <w:numId w:val="8"/>
        </w:numPr>
        <w:pBdr>
          <w:top w:val="nil"/>
          <w:left w:val="nil"/>
          <w:bottom w:val="nil"/>
          <w:right w:val="nil"/>
          <w:between w:val="nil"/>
        </w:pBdr>
        <w:ind w:left="0" w:firstLine="426"/>
        <w:jc w:val="thaiDistribute"/>
        <w:rPr>
          <w:sz w:val="24"/>
          <w:szCs w:val="24"/>
        </w:rPr>
      </w:pPr>
      <w:r w:rsidRPr="00680915">
        <w:rPr>
          <w:rFonts w:eastAsia="Google Sans Text"/>
          <w:b/>
          <w:bCs/>
          <w:color w:val="1F1F1F"/>
          <w:sz w:val="24"/>
          <w:szCs w:val="24"/>
        </w:rPr>
        <w:t>BBNJ Agreement:</w:t>
      </w:r>
      <w:r w:rsidRPr="00680915">
        <w:rPr>
          <w:rFonts w:eastAsia="Google Sans Text"/>
          <w:color w:val="1F1F1F"/>
          <w:sz w:val="24"/>
          <w:szCs w:val="24"/>
        </w:rPr>
        <w:t xml:space="preserve"> The governance analysis prepares Thailand for future engagement in the </w:t>
      </w:r>
      <w:r w:rsidRPr="00680915">
        <w:rPr>
          <w:rFonts w:eastAsia="Google Sans Text"/>
          <w:i/>
          <w:iCs/>
          <w:color w:val="1F1F1F"/>
          <w:sz w:val="24"/>
          <w:szCs w:val="24"/>
        </w:rPr>
        <w:t>Biodiversity Beyond National Jurisdiction (BBNJ)</w:t>
      </w:r>
      <w:r w:rsidRPr="00680915">
        <w:rPr>
          <w:rFonts w:eastAsia="Google Sans Text"/>
          <w:color w:val="1F1F1F"/>
          <w:sz w:val="24"/>
          <w:szCs w:val="24"/>
        </w:rPr>
        <w:t xml:space="preserve"> framework by assessing national capacity for high-seas governance.</w:t>
      </w:r>
    </w:p>
    <w:p w14:paraId="6F2B9C82" w14:textId="77777777" w:rsidR="009A666A" w:rsidRPr="00BD3E57" w:rsidRDefault="009A666A" w:rsidP="00BD3E57">
      <w:pPr>
        <w:pBdr>
          <w:top w:val="nil"/>
          <w:left w:val="nil"/>
          <w:bottom w:val="nil"/>
          <w:right w:val="nil"/>
          <w:between w:val="nil"/>
        </w:pBdr>
        <w:spacing w:before="240" w:line="275" w:lineRule="auto"/>
        <w:jc w:val="thaiDistribute"/>
        <w:rPr>
          <w:rFonts w:eastAsia="Google Sans Text"/>
          <w:color w:val="1F1F1F"/>
          <w:sz w:val="24"/>
          <w:szCs w:val="24"/>
        </w:rPr>
      </w:pPr>
    </w:p>
    <w:p w14:paraId="772027CD" w14:textId="77777777" w:rsidR="009A666A" w:rsidRPr="00BD3E57" w:rsidRDefault="00000000" w:rsidP="00BD3E57">
      <w:pPr>
        <w:pStyle w:val="Heading3"/>
        <w:spacing w:before="0" w:after="0" w:line="275" w:lineRule="auto"/>
        <w:jc w:val="thaiDistribute"/>
        <w:rPr>
          <w:rFonts w:eastAsia="Google Sans"/>
          <w:color w:val="1F1F1F"/>
          <w:sz w:val="24"/>
          <w:szCs w:val="24"/>
        </w:rPr>
      </w:pPr>
      <w:r w:rsidRPr="00BD3E57">
        <w:rPr>
          <w:rFonts w:eastAsia="Google Sans"/>
          <w:color w:val="1F1F1F"/>
          <w:sz w:val="24"/>
          <w:szCs w:val="24"/>
        </w:rPr>
        <w:t>1.2 Major water related environmental problems</w:t>
      </w:r>
    </w:p>
    <w:p w14:paraId="27A3D7FD" w14:textId="77777777" w:rsidR="009A666A" w:rsidRPr="00BD3E57" w:rsidRDefault="009A666A" w:rsidP="00BD3E57">
      <w:pPr>
        <w:pBdr>
          <w:top w:val="nil"/>
          <w:left w:val="nil"/>
          <w:bottom w:val="nil"/>
          <w:right w:val="nil"/>
          <w:between w:val="nil"/>
        </w:pBdr>
        <w:spacing w:line="275" w:lineRule="auto"/>
        <w:jc w:val="thaiDistribute"/>
        <w:rPr>
          <w:rFonts w:eastAsia="Google Sans"/>
          <w:color w:val="1F1F1F"/>
          <w:sz w:val="24"/>
          <w:szCs w:val="24"/>
        </w:rPr>
      </w:pPr>
    </w:p>
    <w:p w14:paraId="53A1C9C5" w14:textId="0A4C5716" w:rsidR="009A666A" w:rsidRDefault="00000000" w:rsidP="00BD3E57">
      <w:pPr>
        <w:pBdr>
          <w:top w:val="nil"/>
          <w:left w:val="nil"/>
          <w:bottom w:val="nil"/>
          <w:right w:val="nil"/>
          <w:between w:val="nil"/>
        </w:pBdr>
        <w:spacing w:line="275" w:lineRule="auto"/>
        <w:jc w:val="thaiDistribute"/>
        <w:rPr>
          <w:rFonts w:eastAsia="Google Sans Text"/>
          <w:color w:val="1F1F1F"/>
          <w:sz w:val="24"/>
          <w:szCs w:val="24"/>
        </w:rPr>
      </w:pPr>
      <w:r w:rsidRPr="00BD3E57">
        <w:rPr>
          <w:rFonts w:eastAsia="Google Sans Text"/>
          <w:color w:val="1F1F1F"/>
          <w:sz w:val="24"/>
          <w:szCs w:val="24"/>
        </w:rPr>
        <w:t>A comparative analysis between the seminal Year 2000 National TDA and the current 2025 assessment reveals a profound shift in the scale and complexity of Thailand's water-related challenges. In 2000, the primary concerns were driven by unchecked resource extraction (mangrove deforestation for shrimp farming) and basic sanitation failures (untreated domestic sewage)</w:t>
      </w:r>
      <w:r w:rsidR="00F10EE1">
        <w:rPr>
          <w:rFonts w:eastAsia="Google Sans Text"/>
          <w:color w:val="1F1F1F"/>
          <w:sz w:val="24"/>
          <w:szCs w:val="24"/>
        </w:rPr>
        <w:t>.</w:t>
      </w:r>
      <w:r w:rsidRPr="00BD3E57">
        <w:rPr>
          <w:rFonts w:eastAsia="Google Sans Text"/>
          <w:color w:val="1F1F1F"/>
          <w:sz w:val="24"/>
          <w:szCs w:val="24"/>
        </w:rPr>
        <w:t xml:space="preserve"> By 2025, while legacy issues persist, the landscape is dominated by "cumulative" and "transboundary" threats, including marine plastic debris, climate-induced coral bleaching, and hazardous industrial waste from the Eastern Economic Corridor (EEC).</w:t>
      </w:r>
    </w:p>
    <w:p w14:paraId="15309F9A" w14:textId="77777777" w:rsidR="007B2406" w:rsidRPr="00BD3E57" w:rsidRDefault="007B2406" w:rsidP="00BD3E57">
      <w:pPr>
        <w:pBdr>
          <w:top w:val="nil"/>
          <w:left w:val="nil"/>
          <w:bottom w:val="nil"/>
          <w:right w:val="nil"/>
          <w:between w:val="nil"/>
        </w:pBdr>
        <w:spacing w:line="275" w:lineRule="auto"/>
        <w:jc w:val="thaiDistribute"/>
        <w:rPr>
          <w:rFonts w:eastAsia="Google Sans Text"/>
          <w:color w:val="1F1F1F"/>
          <w:sz w:val="24"/>
          <w:szCs w:val="24"/>
        </w:rPr>
      </w:pPr>
    </w:p>
    <w:p w14:paraId="00C661A3" w14:textId="77777777" w:rsidR="009A666A" w:rsidRDefault="00000000" w:rsidP="00BD3E57">
      <w:pPr>
        <w:pBdr>
          <w:top w:val="nil"/>
          <w:left w:val="nil"/>
          <w:bottom w:val="nil"/>
          <w:right w:val="nil"/>
          <w:between w:val="nil"/>
        </w:pBdr>
        <w:spacing w:line="275" w:lineRule="auto"/>
        <w:jc w:val="thaiDistribute"/>
        <w:rPr>
          <w:rFonts w:eastAsia="Google Sans Text"/>
          <w:color w:val="1F1F1F"/>
          <w:sz w:val="24"/>
          <w:szCs w:val="24"/>
        </w:rPr>
      </w:pPr>
      <w:r w:rsidRPr="00BD3E57">
        <w:rPr>
          <w:rFonts w:eastAsia="Google Sans Text"/>
          <w:color w:val="1F1F1F"/>
          <w:sz w:val="24"/>
          <w:szCs w:val="24"/>
        </w:rPr>
        <w:t>The following table summarizes the evolution of these environmental priorities over the past 25 years.</w:t>
      </w:r>
    </w:p>
    <w:p w14:paraId="6D1EDBAD" w14:textId="77777777" w:rsidR="007B2406" w:rsidRPr="00BD3E57" w:rsidRDefault="007B2406" w:rsidP="00BD3E57">
      <w:pPr>
        <w:pBdr>
          <w:top w:val="nil"/>
          <w:left w:val="nil"/>
          <w:bottom w:val="nil"/>
          <w:right w:val="nil"/>
          <w:between w:val="nil"/>
        </w:pBdr>
        <w:spacing w:line="275" w:lineRule="auto"/>
        <w:jc w:val="thaiDistribute"/>
        <w:rPr>
          <w:rFonts w:eastAsia="Google Sans Text"/>
          <w:color w:val="1F1F1F"/>
          <w:sz w:val="24"/>
          <w:szCs w:val="24"/>
        </w:rPr>
      </w:pPr>
    </w:p>
    <w:p w14:paraId="559C603D" w14:textId="5B7E127C" w:rsidR="009A666A" w:rsidRPr="007B2406" w:rsidRDefault="00000000" w:rsidP="00BD3E57">
      <w:pPr>
        <w:pBdr>
          <w:top w:val="nil"/>
          <w:left w:val="nil"/>
          <w:bottom w:val="nil"/>
          <w:right w:val="nil"/>
          <w:between w:val="nil"/>
        </w:pBdr>
        <w:spacing w:line="275" w:lineRule="auto"/>
        <w:jc w:val="thaiDistribute"/>
        <w:rPr>
          <w:rFonts w:eastAsia="Google Sans Text"/>
          <w:b/>
          <w:bCs/>
          <w:color w:val="1F1F1F"/>
          <w:sz w:val="24"/>
          <w:szCs w:val="24"/>
        </w:rPr>
      </w:pPr>
      <w:r w:rsidRPr="007B2406">
        <w:rPr>
          <w:rFonts w:eastAsia="Google Sans Text"/>
          <w:b/>
          <w:bCs/>
          <w:color w:val="1F1F1F"/>
          <w:sz w:val="24"/>
          <w:szCs w:val="24"/>
        </w:rPr>
        <w:t>Table 1.1 Comparative Assessment of Major Water-Related Environmental Problems (2000 vs 2025)</w:t>
      </w:r>
    </w:p>
    <w:p w14:paraId="6B24DC93" w14:textId="77777777" w:rsidR="009A666A" w:rsidRPr="00BD3E57" w:rsidRDefault="009A666A" w:rsidP="00BD3E57">
      <w:pPr>
        <w:pBdr>
          <w:top w:val="nil"/>
          <w:left w:val="nil"/>
          <w:bottom w:val="nil"/>
          <w:right w:val="nil"/>
          <w:between w:val="nil"/>
        </w:pBdr>
        <w:spacing w:line="275" w:lineRule="auto"/>
        <w:jc w:val="thaiDistribute"/>
        <w:rPr>
          <w:rFonts w:eastAsia="Google Sans Text"/>
          <w:b/>
          <w:bCs/>
          <w:color w:val="1F1F1F"/>
          <w:sz w:val="24"/>
          <w:szCs w:val="24"/>
        </w:rPr>
      </w:pPr>
    </w:p>
    <w:tbl>
      <w:tblPr>
        <w:tblStyle w:val="a"/>
        <w:tblW w:w="93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340"/>
        <w:gridCol w:w="2340"/>
        <w:gridCol w:w="2340"/>
        <w:gridCol w:w="2340"/>
      </w:tblGrid>
      <w:tr w:rsidR="009A666A" w:rsidRPr="007B2406" w14:paraId="1E372269"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02EE599" w14:textId="77777777" w:rsidR="009A666A" w:rsidRPr="007B2406" w:rsidRDefault="00000000" w:rsidP="007B2406">
            <w:pPr>
              <w:pBdr>
                <w:top w:val="nil"/>
                <w:left w:val="nil"/>
                <w:bottom w:val="nil"/>
                <w:right w:val="nil"/>
                <w:between w:val="nil"/>
              </w:pBdr>
              <w:spacing w:line="275" w:lineRule="auto"/>
              <w:jc w:val="center"/>
              <w:rPr>
                <w:rFonts w:eastAsia="Google Sans Text"/>
                <w:b/>
                <w:bCs/>
                <w:color w:val="1F1F1F"/>
              </w:rPr>
            </w:pPr>
            <w:r w:rsidRPr="007B2406">
              <w:rPr>
                <w:rFonts w:eastAsia="Google Sans Text"/>
                <w:b/>
                <w:bCs/>
                <w:color w:val="1F1F1F"/>
              </w:rPr>
              <w:t>Environmental Issue</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22ACB2B" w14:textId="77777777" w:rsidR="009A666A" w:rsidRPr="007B2406" w:rsidRDefault="00000000" w:rsidP="007B2406">
            <w:pPr>
              <w:pBdr>
                <w:top w:val="nil"/>
                <w:left w:val="nil"/>
                <w:bottom w:val="nil"/>
                <w:right w:val="nil"/>
                <w:between w:val="nil"/>
              </w:pBdr>
              <w:spacing w:line="275" w:lineRule="auto"/>
              <w:jc w:val="center"/>
              <w:rPr>
                <w:rFonts w:eastAsia="Google Sans Text"/>
                <w:b/>
                <w:bCs/>
                <w:color w:val="1F1F1F"/>
              </w:rPr>
            </w:pPr>
            <w:r w:rsidRPr="007B2406">
              <w:rPr>
                <w:rFonts w:eastAsia="Google Sans Text"/>
                <w:b/>
                <w:bCs/>
                <w:color w:val="1F1F1F"/>
              </w:rPr>
              <w:t>Year 2000 Status &amp; Priority</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EC0E705" w14:textId="7A1AB810" w:rsidR="009A666A" w:rsidRPr="007B2406" w:rsidRDefault="00000000" w:rsidP="007B2406">
            <w:pPr>
              <w:pBdr>
                <w:top w:val="nil"/>
                <w:left w:val="nil"/>
                <w:bottom w:val="nil"/>
                <w:right w:val="nil"/>
                <w:between w:val="nil"/>
              </w:pBdr>
              <w:spacing w:line="275" w:lineRule="auto"/>
              <w:jc w:val="center"/>
              <w:rPr>
                <w:rFonts w:eastAsia="Google Sans Text"/>
                <w:b/>
                <w:bCs/>
                <w:color w:val="1F1F1F"/>
              </w:rPr>
            </w:pPr>
            <w:r w:rsidRPr="007B2406">
              <w:rPr>
                <w:rFonts w:eastAsia="Google Sans Text"/>
                <w:b/>
                <w:bCs/>
                <w:color w:val="1F1F1F"/>
              </w:rPr>
              <w:t>Year 2025 Status &amp; Priority</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96B8E19" w14:textId="77777777" w:rsidR="009A666A" w:rsidRPr="007B2406" w:rsidRDefault="00000000" w:rsidP="007B2406">
            <w:pPr>
              <w:pBdr>
                <w:top w:val="nil"/>
                <w:left w:val="nil"/>
                <w:bottom w:val="nil"/>
                <w:right w:val="nil"/>
                <w:between w:val="nil"/>
              </w:pBdr>
              <w:spacing w:line="275" w:lineRule="auto"/>
              <w:jc w:val="center"/>
              <w:rPr>
                <w:rFonts w:eastAsia="Google Sans Text"/>
                <w:b/>
                <w:bCs/>
                <w:color w:val="1F1F1F"/>
              </w:rPr>
            </w:pPr>
            <w:r w:rsidRPr="007B2406">
              <w:rPr>
                <w:rFonts w:eastAsia="Google Sans Text"/>
                <w:b/>
                <w:bCs/>
                <w:color w:val="1F1F1F"/>
              </w:rPr>
              <w:t>Trend &amp; Strategic Shift</w:t>
            </w:r>
          </w:p>
        </w:tc>
      </w:tr>
      <w:tr w:rsidR="009A666A" w:rsidRPr="007B2406" w14:paraId="729CEFFB"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42FDB01"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t xml:space="preserve">1. Freshwater </w:t>
            </w:r>
            <w:r w:rsidRPr="007B2406">
              <w:rPr>
                <w:rFonts w:eastAsia="Google Sans Text"/>
                <w:b/>
                <w:bCs/>
                <w:color w:val="1F1F1F"/>
              </w:rPr>
              <w:lastRenderedPageBreak/>
              <w:t>Shortage &amp; Management</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AF18C6D"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lastRenderedPageBreak/>
              <w:t>High Priority:</w:t>
            </w:r>
            <w:r w:rsidRPr="007B2406">
              <w:rPr>
                <w:rFonts w:eastAsia="Google Sans Text"/>
                <w:color w:val="1F1F1F"/>
              </w:rPr>
              <w:t xml:space="preserve"> </w:t>
            </w:r>
            <w:r w:rsidRPr="007B2406">
              <w:rPr>
                <w:rFonts w:eastAsia="Google Sans Text"/>
                <w:color w:val="1F1F1F"/>
              </w:rPr>
              <w:lastRenderedPageBreak/>
              <w:t>Acute shortages due to deforestation and conflict between agriculture and golf courses. Lack of "user pay" systems.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FA5345A"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lastRenderedPageBreak/>
              <w:t xml:space="preserve">Medium-High </w:t>
            </w:r>
            <w:r w:rsidRPr="007B2406">
              <w:rPr>
                <w:rFonts w:eastAsia="Google Sans Text"/>
                <w:b/>
                <w:bCs/>
                <w:color w:val="1F1F1F"/>
              </w:rPr>
              <w:lastRenderedPageBreak/>
              <w:t>Priority:</w:t>
            </w:r>
            <w:r w:rsidRPr="007B2406">
              <w:rPr>
                <w:rFonts w:eastAsia="Google Sans Text"/>
                <w:color w:val="1F1F1F"/>
              </w:rPr>
              <w:t xml:space="preserve"> Shift to "Water Security" for the EEC industrial hub. Climate-driven droughts remain a threat, but focus has moved to integrated water grid management.</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FD612D3"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lastRenderedPageBreak/>
              <w:t xml:space="preserve">From Local </w:t>
            </w:r>
            <w:r w:rsidRPr="007B2406">
              <w:rPr>
                <w:rFonts w:eastAsia="Google Sans Text"/>
                <w:b/>
                <w:bCs/>
                <w:color w:val="1F1F1F"/>
              </w:rPr>
              <w:lastRenderedPageBreak/>
              <w:t>Scarcity to Strategic Allocation:</w:t>
            </w:r>
            <w:r w:rsidRPr="007B2406">
              <w:rPr>
                <w:rFonts w:eastAsia="Google Sans Text"/>
                <w:color w:val="1F1F1F"/>
              </w:rPr>
              <w:t xml:space="preserve"> Emphasis is now on securing water for high-value economic zones (EEC) amidst climate variability.</w:t>
            </w:r>
          </w:p>
        </w:tc>
      </w:tr>
      <w:tr w:rsidR="009A666A" w:rsidRPr="007B2406" w14:paraId="1ED18DF8"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9AF6D64"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lastRenderedPageBreak/>
              <w:t>2. Marine &amp; Coastal Pollution (Eutrophication)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A045CE3"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High Priority:</w:t>
            </w:r>
            <w:r w:rsidRPr="007B2406">
              <w:rPr>
                <w:rFonts w:eastAsia="Google Sans Text"/>
                <w:color w:val="1F1F1F"/>
              </w:rPr>
              <w:t xml:space="preserve"> Severe eutrophication in Upper Gulf caused by untreated domestic waste and agriculture.</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46C35DA"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Critical Priority:</w:t>
            </w:r>
            <w:r w:rsidRPr="007B2406">
              <w:rPr>
                <w:rFonts w:eastAsia="Google Sans Text"/>
                <w:color w:val="1F1F1F"/>
              </w:rPr>
              <w:t xml:space="preserve"> Eutrophication persists in the Upper Gulf (Red Tides). Nutrient loading from agriculture remains high (1.55M tonnes N-fertilizer imported in 2024).</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65AA750"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Persistent &amp; Unresolved:</w:t>
            </w:r>
            <w:r w:rsidRPr="007B2406">
              <w:rPr>
                <w:rFonts w:eastAsia="Google Sans Text"/>
                <w:color w:val="1F1F1F"/>
              </w:rPr>
              <w:t xml:space="preserve"> Basic organic loading remains a core challenge, compounded by denser urbanization in coastal provinces.</w:t>
            </w:r>
          </w:p>
        </w:tc>
      </w:tr>
      <w:tr w:rsidR="009A666A" w:rsidRPr="007B2406" w14:paraId="3B0BCFAB"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84017C4"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t>3. Marine Debris &amp; Plastics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DDCAEA3"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Low/Not Prioritized:</w:t>
            </w:r>
            <w:r w:rsidRPr="007B2406">
              <w:rPr>
                <w:rFonts w:eastAsia="Google Sans Text"/>
                <w:color w:val="1F1F1F"/>
              </w:rPr>
              <w:t xml:space="preserve"> Mentioned only as "garbage dumping" or "aesthetic" issues.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624ADC3"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Top Priority (Transboundary):</w:t>
            </w:r>
            <w:r w:rsidRPr="007B2406">
              <w:rPr>
                <w:rFonts w:eastAsia="Google Sans Text"/>
                <w:color w:val="1F1F1F"/>
              </w:rPr>
              <w:t xml:space="preserve"> Thailand ranked among top global contributors. 27.2M tonnes of waste/year with high leakage. Regional focus via COBSEA/ASEAN.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82ABFC6"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Emerging Crisis:</w:t>
            </w:r>
            <w:r w:rsidRPr="007B2406">
              <w:rPr>
                <w:rFonts w:eastAsia="Google Sans Text"/>
                <w:color w:val="1F1F1F"/>
              </w:rPr>
              <w:t xml:space="preserve"> Plastic pollution has escalated from a local nuisance to a global transboundary priority requiring circular economy interventions.</w:t>
            </w:r>
          </w:p>
        </w:tc>
      </w:tr>
      <w:tr w:rsidR="009A666A" w:rsidRPr="007B2406" w14:paraId="436791BA"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F2AAA90"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t>4. Fisheries Resources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2DE2F2E"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Critical Priority:</w:t>
            </w:r>
            <w:r w:rsidRPr="007B2406">
              <w:rPr>
                <w:rFonts w:eastAsia="Google Sans Text"/>
                <w:color w:val="1F1F1F"/>
              </w:rPr>
              <w:t xml:space="preserve"> "Over-exploitation" and "Open Access" regime. Collapse of CPUE to ~14 kg/hr.</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0C4BB86"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High Priority (Stabilization):</w:t>
            </w:r>
            <w:r w:rsidRPr="007B2406">
              <w:rPr>
                <w:rFonts w:eastAsia="Google Sans Text"/>
                <w:color w:val="1F1F1F"/>
              </w:rPr>
              <w:t xml:space="preserve"> Fleet frozen/reduced; CPUE stabilized (~21 kg/hr in 2023). Focus on IUU combat and "Trash Fish" reduction.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65AC5EA"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From Expansion to Control:</w:t>
            </w:r>
            <w:r w:rsidRPr="007B2406">
              <w:rPr>
                <w:rFonts w:eastAsia="Google Sans Text"/>
                <w:color w:val="1F1F1F"/>
              </w:rPr>
              <w:t xml:space="preserve"> Shift from increasing catch volume to effort control (Fishing Days) and combatting IUU fishing.</w:t>
            </w:r>
          </w:p>
        </w:tc>
      </w:tr>
      <w:tr w:rsidR="009A666A" w:rsidRPr="007B2406" w14:paraId="0C85B37A"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74E5FBD"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t>5. Mangrove Ecosystems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4BBC754"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Critical Priority:</w:t>
            </w:r>
            <w:r w:rsidRPr="007B2406">
              <w:rPr>
                <w:rFonts w:eastAsia="Google Sans Text"/>
                <w:color w:val="1F1F1F"/>
              </w:rPr>
              <w:t xml:space="preserve"> Rapid, widespread </w:t>
            </w:r>
            <w:r w:rsidRPr="007B2406">
              <w:rPr>
                <w:rFonts w:eastAsia="Google Sans Text"/>
                <w:color w:val="1F1F1F"/>
              </w:rPr>
              <w:lastRenderedPageBreak/>
              <w:t>destruction (60% loss) driven by intensive shrimp aquaculture conversion.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2DAAA20"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lastRenderedPageBreak/>
              <w:t>Medium Priority (Restoration):</w:t>
            </w:r>
            <w:r w:rsidRPr="007B2406">
              <w:rPr>
                <w:rFonts w:eastAsia="Google Sans Text"/>
                <w:color w:val="1F1F1F"/>
              </w:rPr>
              <w:t xml:space="preserve"> </w:t>
            </w:r>
            <w:r w:rsidRPr="007B2406">
              <w:rPr>
                <w:rFonts w:eastAsia="Google Sans Text"/>
                <w:color w:val="1F1F1F"/>
              </w:rPr>
              <w:lastRenderedPageBreak/>
              <w:t>Deforestation halted; focus shifted to "Blue Carbon" restoration. Area stabilized at ~2,613 km² (wetlands).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9BD417A"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lastRenderedPageBreak/>
              <w:t>From Destruction to Valuation:</w:t>
            </w:r>
            <w:r w:rsidRPr="007B2406">
              <w:rPr>
                <w:rFonts w:eastAsia="Google Sans Text"/>
                <w:color w:val="1F1F1F"/>
              </w:rPr>
              <w:t xml:space="preserve"> </w:t>
            </w:r>
            <w:r w:rsidRPr="007B2406">
              <w:rPr>
                <w:rFonts w:eastAsia="Google Sans Text"/>
                <w:color w:val="1F1F1F"/>
              </w:rPr>
              <w:lastRenderedPageBreak/>
              <w:t>Mangroves are now valued assets for carbon credits and coastal defense rather than land for conversion.</w:t>
            </w:r>
          </w:p>
        </w:tc>
      </w:tr>
      <w:tr w:rsidR="009A666A" w:rsidRPr="007B2406" w14:paraId="5B277202"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04304C0"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lastRenderedPageBreak/>
              <w:t>6. Coral Reefs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619DA6C"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High Priority:</w:t>
            </w:r>
            <w:r w:rsidRPr="007B2406">
              <w:rPr>
                <w:rFonts w:eastAsia="Google Sans Text"/>
                <w:color w:val="1F1F1F"/>
              </w:rPr>
              <w:t xml:space="preserve"> Physical destruction (dynamite, anchors) and sedimentation.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8DD1C34"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High Priority (Climate):</w:t>
            </w:r>
            <w:r w:rsidRPr="007B2406">
              <w:rPr>
                <w:rFonts w:eastAsia="Google Sans Text"/>
                <w:color w:val="1F1F1F"/>
              </w:rPr>
              <w:t xml:space="preserve"> Mass bleaching events (2010, 2016, 2024) are the primary threat. Nearshore reefs degraded (29% live cover) by tourism/sediment.</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58FDD3E"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From Local Damage to Global Threat:</w:t>
            </w:r>
            <w:r w:rsidRPr="007B2406">
              <w:rPr>
                <w:rFonts w:eastAsia="Google Sans Text"/>
                <w:color w:val="1F1F1F"/>
              </w:rPr>
              <w:t xml:space="preserve"> Local protection is insufficient against thermal stress; focus is on "Resilience" and "Super Corals".</w:t>
            </w:r>
          </w:p>
        </w:tc>
      </w:tr>
      <w:tr w:rsidR="009A666A" w:rsidRPr="007B2406" w14:paraId="3026B44E" w14:textId="77777777" w:rsidTr="007B2406">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34D9271" w14:textId="77777777" w:rsidR="009A666A" w:rsidRPr="007B2406" w:rsidRDefault="00000000" w:rsidP="007B2406">
            <w:pPr>
              <w:pBdr>
                <w:top w:val="nil"/>
                <w:left w:val="nil"/>
                <w:bottom w:val="nil"/>
                <w:right w:val="nil"/>
                <w:between w:val="nil"/>
              </w:pBdr>
              <w:spacing w:line="275" w:lineRule="auto"/>
              <w:rPr>
                <w:rFonts w:eastAsia="Google Sans Text"/>
                <w:b/>
                <w:bCs/>
                <w:color w:val="1F1F1F"/>
              </w:rPr>
            </w:pPr>
            <w:r w:rsidRPr="007B2406">
              <w:rPr>
                <w:rFonts w:eastAsia="Google Sans Text"/>
                <w:b/>
                <w:bCs/>
                <w:color w:val="1F1F1F"/>
              </w:rPr>
              <w:t>7. Hazardous/Industrial Waste</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1F7B91E"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Medium Priority:</w:t>
            </w:r>
            <w:r w:rsidRPr="007B2406">
              <w:rPr>
                <w:rFonts w:eastAsia="Google Sans Text"/>
                <w:color w:val="1F1F1F"/>
              </w:rPr>
              <w:t xml:space="preserve"> Localized contamination (heavy metals) in Samut Prakan.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78572FD"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High Priority:</w:t>
            </w:r>
            <w:r w:rsidRPr="007B2406">
              <w:rPr>
                <w:rFonts w:eastAsia="Google Sans Text"/>
                <w:color w:val="1F1F1F"/>
              </w:rPr>
              <w:t xml:space="preserve"> Concentrated risk in the EEC (Rayong/Chonburi). 1.63M tonnes of hazardous waste/year.</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5992B81" w14:textId="77777777" w:rsidR="009A666A" w:rsidRPr="007B2406" w:rsidRDefault="00000000" w:rsidP="007B2406">
            <w:pPr>
              <w:pBdr>
                <w:top w:val="nil"/>
                <w:left w:val="nil"/>
                <w:bottom w:val="nil"/>
                <w:right w:val="nil"/>
                <w:between w:val="nil"/>
              </w:pBdr>
              <w:spacing w:line="275" w:lineRule="auto"/>
              <w:rPr>
                <w:rFonts w:eastAsia="Google Sans Text"/>
                <w:color w:val="1F1F1F"/>
              </w:rPr>
            </w:pPr>
            <w:r w:rsidRPr="007B2406">
              <w:rPr>
                <w:rFonts w:eastAsia="Google Sans Text"/>
                <w:b/>
                <w:bCs/>
                <w:color w:val="1F1F1F"/>
              </w:rPr>
              <w:t>Intensification:</w:t>
            </w:r>
            <w:r w:rsidRPr="007B2406">
              <w:rPr>
                <w:rFonts w:eastAsia="Google Sans Text"/>
                <w:color w:val="1F1F1F"/>
              </w:rPr>
              <w:t xml:space="preserve"> The scale of industrial risk has grown exponentially with the EEC development, requiring stricter enforcement.</w:t>
            </w:r>
          </w:p>
        </w:tc>
      </w:tr>
    </w:tbl>
    <w:p w14:paraId="57DFCFE7" w14:textId="77777777" w:rsidR="009A666A" w:rsidRPr="00BD3E57" w:rsidRDefault="009A666A" w:rsidP="00BD3E57">
      <w:pPr>
        <w:pBdr>
          <w:top w:val="nil"/>
          <w:left w:val="nil"/>
          <w:bottom w:val="nil"/>
          <w:right w:val="nil"/>
          <w:between w:val="nil"/>
        </w:pBdr>
        <w:spacing w:line="275" w:lineRule="auto"/>
        <w:jc w:val="thaiDistribute"/>
        <w:rPr>
          <w:rFonts w:eastAsia="Google Sans Text"/>
          <w:color w:val="1F1F1F"/>
          <w:sz w:val="24"/>
          <w:szCs w:val="24"/>
        </w:rPr>
      </w:pPr>
    </w:p>
    <w:p w14:paraId="2557E409" w14:textId="77777777" w:rsidR="007B2406" w:rsidRDefault="007B2406" w:rsidP="00BD3E57">
      <w:pPr>
        <w:pStyle w:val="Heading3"/>
        <w:spacing w:before="0" w:after="0" w:line="275" w:lineRule="auto"/>
        <w:jc w:val="thaiDistribute"/>
        <w:rPr>
          <w:rFonts w:eastAsia="Google Sans"/>
          <w:color w:val="1F1F1F"/>
          <w:sz w:val="24"/>
          <w:szCs w:val="24"/>
        </w:rPr>
      </w:pPr>
    </w:p>
    <w:p w14:paraId="4037BA44" w14:textId="40D0CD11" w:rsidR="009A666A" w:rsidRPr="00BD3E57" w:rsidRDefault="00000000" w:rsidP="00BD3E57">
      <w:pPr>
        <w:pStyle w:val="Heading3"/>
        <w:spacing w:before="0" w:after="0" w:line="275" w:lineRule="auto"/>
        <w:jc w:val="thaiDistribute"/>
        <w:rPr>
          <w:rFonts w:eastAsia="Google Sans"/>
          <w:color w:val="1F1F1F"/>
          <w:sz w:val="24"/>
          <w:szCs w:val="24"/>
        </w:rPr>
      </w:pPr>
      <w:r w:rsidRPr="00BD3E57">
        <w:rPr>
          <w:rFonts w:eastAsia="Google Sans"/>
          <w:color w:val="1F1F1F"/>
          <w:sz w:val="24"/>
          <w:szCs w:val="24"/>
        </w:rPr>
        <w:t>1.3 Biogeophysical setting</w:t>
      </w:r>
    </w:p>
    <w:p w14:paraId="34F1AB61" w14:textId="77777777" w:rsidR="009A666A" w:rsidRPr="00BD3E57" w:rsidRDefault="009A666A" w:rsidP="00BD3E57">
      <w:pPr>
        <w:pBdr>
          <w:top w:val="nil"/>
          <w:left w:val="nil"/>
          <w:bottom w:val="nil"/>
          <w:right w:val="nil"/>
          <w:between w:val="nil"/>
        </w:pBdr>
        <w:spacing w:line="275" w:lineRule="auto"/>
        <w:jc w:val="thaiDistribute"/>
        <w:rPr>
          <w:rFonts w:eastAsia="Google Sans"/>
          <w:color w:val="1F1F1F"/>
          <w:sz w:val="24"/>
          <w:szCs w:val="24"/>
        </w:rPr>
      </w:pPr>
    </w:p>
    <w:p w14:paraId="1545FB5D" w14:textId="77777777" w:rsidR="009A666A" w:rsidRPr="00BD3E57" w:rsidRDefault="00000000" w:rsidP="007B2406">
      <w:pPr>
        <w:pStyle w:val="Heading4"/>
        <w:spacing w:before="0" w:after="0" w:line="275" w:lineRule="auto"/>
        <w:ind w:left="720"/>
        <w:jc w:val="thaiDistribute"/>
        <w:rPr>
          <w:rFonts w:eastAsia="Google Sans"/>
          <w:color w:val="1F1F1F"/>
        </w:rPr>
      </w:pPr>
      <w:r w:rsidRPr="00BD3E57">
        <w:rPr>
          <w:rFonts w:eastAsia="Google Sans"/>
          <w:color w:val="1F1F1F"/>
        </w:rPr>
        <w:t>1.3.1 Geomorphology and geological history</w:t>
      </w:r>
    </w:p>
    <w:p w14:paraId="0ED79C3E" w14:textId="28FF95C5" w:rsidR="009A666A" w:rsidRDefault="00000000" w:rsidP="007B2406">
      <w:pPr>
        <w:pBdr>
          <w:top w:val="nil"/>
          <w:left w:val="nil"/>
          <w:bottom w:val="nil"/>
          <w:right w:val="nil"/>
          <w:between w:val="nil"/>
        </w:pBdr>
        <w:spacing w:line="275" w:lineRule="auto"/>
        <w:ind w:firstLine="709"/>
        <w:jc w:val="thaiDistribute"/>
        <w:rPr>
          <w:rFonts w:eastAsia="Google Sans Text"/>
          <w:color w:val="1F1F1F"/>
          <w:sz w:val="24"/>
          <w:szCs w:val="24"/>
        </w:rPr>
      </w:pPr>
      <w:r w:rsidRPr="00BD3E57">
        <w:rPr>
          <w:rFonts w:eastAsia="Google Sans Text"/>
          <w:color w:val="1F1F1F"/>
          <w:sz w:val="24"/>
          <w:szCs w:val="24"/>
        </w:rPr>
        <w:t>The Gulf of Thailand is a shallow, semi-enclosed sea located on the Sunda Shelf, covering an area of approximately 320,000 km² with an average depth of only 45–50 meters and a maximum depth of 85 meters in the central trough</w:t>
      </w:r>
      <w:r w:rsidR="00F10EE1">
        <w:rPr>
          <w:rFonts w:eastAsia="Google Sans Text"/>
          <w:color w:val="1F1F1F"/>
          <w:sz w:val="24"/>
          <w:szCs w:val="24"/>
        </w:rPr>
        <w:t>.</w:t>
      </w:r>
      <w:r w:rsidRPr="00BD3E57">
        <w:rPr>
          <w:rFonts w:eastAsia="Google Sans Text"/>
          <w:color w:val="1F1F1F"/>
          <w:sz w:val="24"/>
          <w:szCs w:val="24"/>
        </w:rPr>
        <w:t xml:space="preserve"> Geologically, the Gulf is defined by a series of Cenozoic rift basins—most notably the Pattani Trough and Malay Basin—which are filled with thick sedimentary sequences (up to 10 km) favorable for hydrocarbon accumulation.</w:t>
      </w:r>
    </w:p>
    <w:p w14:paraId="6A8DF78E" w14:textId="77777777" w:rsidR="007B2406" w:rsidRPr="00BD3E57" w:rsidRDefault="007B2406" w:rsidP="007B2406">
      <w:pPr>
        <w:pBdr>
          <w:top w:val="nil"/>
          <w:left w:val="nil"/>
          <w:bottom w:val="nil"/>
          <w:right w:val="nil"/>
          <w:between w:val="nil"/>
        </w:pBdr>
        <w:spacing w:line="275" w:lineRule="auto"/>
        <w:ind w:firstLine="709"/>
        <w:jc w:val="thaiDistribute"/>
        <w:rPr>
          <w:rFonts w:eastAsia="Google Sans Text"/>
          <w:color w:val="1F1F1F"/>
          <w:sz w:val="24"/>
          <w:szCs w:val="24"/>
        </w:rPr>
      </w:pPr>
    </w:p>
    <w:p w14:paraId="0091B52B" w14:textId="4E707CA9" w:rsidR="009A666A" w:rsidRPr="00BD3E57" w:rsidRDefault="00000000" w:rsidP="007B2406">
      <w:pPr>
        <w:pBdr>
          <w:top w:val="nil"/>
          <w:left w:val="nil"/>
          <w:bottom w:val="nil"/>
          <w:right w:val="nil"/>
          <w:between w:val="nil"/>
        </w:pBdr>
        <w:spacing w:line="275" w:lineRule="auto"/>
        <w:ind w:firstLine="709"/>
        <w:jc w:val="thaiDistribute"/>
        <w:rPr>
          <w:rFonts w:eastAsia="Google Sans Text"/>
          <w:color w:val="1F1F1F"/>
          <w:sz w:val="24"/>
          <w:szCs w:val="24"/>
        </w:rPr>
      </w:pPr>
      <w:r w:rsidRPr="00BD3E57">
        <w:rPr>
          <w:rFonts w:eastAsia="Google Sans Text"/>
          <w:color w:val="1F1F1F"/>
          <w:sz w:val="24"/>
          <w:szCs w:val="24"/>
        </w:rPr>
        <w:t xml:space="preserve">The modern geomorphology of the Gulf is a result of the Holocene marine transgression. During the Last Glacial Maximum (approximately 20,000 years ago), sea levels were roughly 120 meters lower than today, exposing the Sunda Shelf as a vast dry landmass connecting mainland Southeast Asia to Borneo, Sumatra, and Java. The present-day Gulf was then a lowland basin drained by the "Paleo-Chao Phraya" river </w:t>
      </w:r>
      <w:r w:rsidRPr="00BD3E57">
        <w:rPr>
          <w:rFonts w:eastAsia="Google Sans Text"/>
          <w:color w:val="1F1F1F"/>
          <w:sz w:val="24"/>
          <w:szCs w:val="24"/>
        </w:rPr>
        <w:lastRenderedPageBreak/>
        <w:t>system, which flowed southeast into the South China Sea. As sea levels rose during the Holocene (reaching a highstand about 4,000–6,000 years ago, approximately 2.5–4 meters above present levels), the shelf was submerged, creating the current marine environment. This recent geological formation means the Gulf acts as a "sediment trap," receiving massive alluvial loads from the Chao Phraya, Tha Chin, Mae Klong, and Bang Pakong rivers, which form a prograding delta in the Upper Gulf</w:t>
      </w:r>
      <w:r w:rsidR="00F10EE1">
        <w:rPr>
          <w:rFonts w:eastAsia="Google Sans Text"/>
          <w:color w:val="1F1F1F"/>
          <w:sz w:val="24"/>
          <w:szCs w:val="24"/>
        </w:rPr>
        <w:t>.</w:t>
      </w:r>
    </w:p>
    <w:p w14:paraId="70DFE066" w14:textId="77777777" w:rsidR="009A666A" w:rsidRPr="00BD3E57" w:rsidRDefault="009A666A" w:rsidP="007B2406">
      <w:pPr>
        <w:pBdr>
          <w:top w:val="nil"/>
          <w:left w:val="nil"/>
          <w:bottom w:val="nil"/>
          <w:right w:val="nil"/>
          <w:between w:val="nil"/>
        </w:pBdr>
        <w:spacing w:line="275" w:lineRule="auto"/>
        <w:ind w:firstLine="709"/>
        <w:jc w:val="thaiDistribute"/>
        <w:rPr>
          <w:rFonts w:eastAsia="Google Sans Text"/>
          <w:color w:val="1F1F1F"/>
          <w:sz w:val="24"/>
          <w:szCs w:val="24"/>
        </w:rPr>
      </w:pPr>
    </w:p>
    <w:p w14:paraId="2F40475A" w14:textId="635EF4DA" w:rsidR="009A666A" w:rsidRPr="00BD3E57" w:rsidRDefault="00000000" w:rsidP="007B2406">
      <w:pPr>
        <w:pStyle w:val="Heading4"/>
        <w:spacing w:before="0" w:after="0" w:line="275" w:lineRule="auto"/>
        <w:ind w:firstLine="709"/>
        <w:jc w:val="thaiDistribute"/>
        <w:rPr>
          <w:rFonts w:eastAsia="Google Sans"/>
          <w:color w:val="1F1F1F"/>
        </w:rPr>
      </w:pPr>
      <w:r w:rsidRPr="00BD3E57">
        <w:rPr>
          <w:rFonts w:eastAsia="Google Sans"/>
          <w:color w:val="1F1F1F"/>
        </w:rPr>
        <w:t>1.3.2 Climatology, present and projected</w:t>
      </w:r>
    </w:p>
    <w:p w14:paraId="4FFE1EC3" w14:textId="77777777" w:rsidR="009A666A" w:rsidRPr="00BD3E57" w:rsidRDefault="00000000" w:rsidP="007B2406">
      <w:pPr>
        <w:pBdr>
          <w:top w:val="nil"/>
          <w:left w:val="nil"/>
          <w:bottom w:val="nil"/>
          <w:right w:val="nil"/>
          <w:between w:val="nil"/>
        </w:pBdr>
        <w:spacing w:line="275" w:lineRule="auto"/>
        <w:ind w:firstLine="709"/>
        <w:jc w:val="thaiDistribute"/>
        <w:rPr>
          <w:rFonts w:eastAsia="Google Sans Text"/>
          <w:color w:val="1F1F1F"/>
          <w:sz w:val="24"/>
          <w:szCs w:val="24"/>
        </w:rPr>
      </w:pPr>
      <w:r w:rsidRPr="00BD3E57">
        <w:rPr>
          <w:rFonts w:eastAsia="Google Sans Text"/>
          <w:color w:val="1F1F1F"/>
          <w:sz w:val="24"/>
          <w:szCs w:val="24"/>
        </w:rPr>
        <w:t>The Gulf of Thailand lies within the tropical monsoon zone, governed by two primary wind regimes that drive oceanographic circulation and rainfall patterns.</w:t>
      </w:r>
    </w:p>
    <w:p w14:paraId="62EEFB3A" w14:textId="77777777" w:rsidR="009A666A" w:rsidRPr="00BD3E57" w:rsidRDefault="00000000" w:rsidP="007B2406">
      <w:pPr>
        <w:pBdr>
          <w:top w:val="nil"/>
          <w:left w:val="nil"/>
          <w:bottom w:val="nil"/>
          <w:right w:val="nil"/>
          <w:between w:val="nil"/>
        </w:pBdr>
        <w:spacing w:line="275" w:lineRule="auto"/>
        <w:ind w:firstLine="709"/>
        <w:jc w:val="thaiDistribute"/>
        <w:rPr>
          <w:rFonts w:eastAsia="Google Sans Text"/>
          <w:b/>
          <w:bCs/>
          <w:color w:val="1F1F1F"/>
          <w:sz w:val="24"/>
          <w:szCs w:val="24"/>
        </w:rPr>
      </w:pPr>
      <w:r w:rsidRPr="00BD3E57">
        <w:rPr>
          <w:rFonts w:eastAsia="Google Sans Text"/>
          <w:b/>
          <w:bCs/>
          <w:color w:val="1F1F1F"/>
          <w:sz w:val="24"/>
          <w:szCs w:val="24"/>
        </w:rPr>
        <w:t>Present Climate Regime:</w:t>
      </w:r>
    </w:p>
    <w:p w14:paraId="0528B87D" w14:textId="4BFA9C61" w:rsidR="009A666A" w:rsidRPr="007B2406" w:rsidRDefault="00000000" w:rsidP="007B2406">
      <w:pPr>
        <w:numPr>
          <w:ilvl w:val="0"/>
          <w:numId w:val="9"/>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Southwest Monsoon (May–October): Brings warm, moist air from the Indian Ocean, resulting in the wet season. It drives a general clockwise circulation in the Upper Gulf and influences upwelling along the west coast</w:t>
      </w:r>
      <w:r w:rsidR="00F10EE1">
        <w:rPr>
          <w:rFonts w:eastAsia="Google Sans Text"/>
          <w:color w:val="1F1F1F"/>
          <w:sz w:val="24"/>
          <w:szCs w:val="24"/>
        </w:rPr>
        <w:t>.</w:t>
      </w:r>
    </w:p>
    <w:p w14:paraId="063A53C7" w14:textId="77777777" w:rsidR="009A666A" w:rsidRPr="007B2406" w:rsidRDefault="00000000" w:rsidP="007B2406">
      <w:pPr>
        <w:numPr>
          <w:ilvl w:val="0"/>
          <w:numId w:val="9"/>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Northeast Monsoon (November–February): Brings cool, dry air from the Asian continent. This season drives a counter-clockwise circulation and is associated with drier conditions, although heavy rainfall can still occur in the southern peninsula.</w:t>
      </w:r>
    </w:p>
    <w:p w14:paraId="06ACADE5" w14:textId="13D958A2" w:rsidR="009A666A" w:rsidRPr="00BD3E57" w:rsidRDefault="00000000" w:rsidP="007B2406">
      <w:pPr>
        <w:numPr>
          <w:ilvl w:val="0"/>
          <w:numId w:val="9"/>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Oceanography: Sea surface temperatures are generally high (28–30°C). Currents are tidal-dominated in</w:t>
      </w:r>
      <w:r w:rsidRPr="00BD3E57">
        <w:rPr>
          <w:rFonts w:eastAsia="Google Sans Text"/>
          <w:color w:val="1F1F1F"/>
          <w:sz w:val="24"/>
          <w:szCs w:val="24"/>
        </w:rPr>
        <w:t xml:space="preserve"> nearshore areas, with complex seasonal reversals driven by the monsoons</w:t>
      </w:r>
      <w:r w:rsidR="00F10EE1">
        <w:rPr>
          <w:rFonts w:eastAsia="Google Sans Text"/>
          <w:color w:val="1F1F1F"/>
          <w:sz w:val="24"/>
          <w:szCs w:val="24"/>
        </w:rPr>
        <w:t>.</w:t>
      </w:r>
    </w:p>
    <w:p w14:paraId="2997F14D" w14:textId="77777777" w:rsidR="009A666A" w:rsidRPr="00BD3E57" w:rsidRDefault="00000000" w:rsidP="007B2406">
      <w:pPr>
        <w:pBdr>
          <w:top w:val="nil"/>
          <w:left w:val="nil"/>
          <w:bottom w:val="nil"/>
          <w:right w:val="nil"/>
          <w:between w:val="nil"/>
        </w:pBdr>
        <w:spacing w:before="240" w:line="275" w:lineRule="auto"/>
        <w:ind w:firstLine="709"/>
        <w:jc w:val="thaiDistribute"/>
        <w:rPr>
          <w:rFonts w:eastAsia="Google Sans Text"/>
          <w:b/>
          <w:bCs/>
          <w:sz w:val="24"/>
          <w:szCs w:val="24"/>
        </w:rPr>
      </w:pPr>
      <w:r w:rsidRPr="00BD3E57">
        <w:rPr>
          <w:rFonts w:eastAsia="Google Sans Text"/>
          <w:b/>
          <w:bCs/>
          <w:sz w:val="24"/>
          <w:szCs w:val="24"/>
        </w:rPr>
        <w:t>Projected Climate Trends (2030–2050):</w:t>
      </w:r>
    </w:p>
    <w:p w14:paraId="4510D8E9" w14:textId="77777777" w:rsidR="009A666A" w:rsidRPr="00BD3E57" w:rsidRDefault="00000000" w:rsidP="007B2406">
      <w:pPr>
        <w:pBdr>
          <w:top w:val="nil"/>
          <w:left w:val="nil"/>
          <w:bottom w:val="nil"/>
          <w:right w:val="nil"/>
          <w:between w:val="nil"/>
        </w:pBdr>
        <w:spacing w:line="275" w:lineRule="auto"/>
        <w:ind w:firstLine="709"/>
        <w:jc w:val="thaiDistribute"/>
        <w:rPr>
          <w:rFonts w:eastAsia="Google Sans Text"/>
          <w:sz w:val="24"/>
          <w:szCs w:val="24"/>
        </w:rPr>
      </w:pPr>
      <w:r w:rsidRPr="00BD3E57">
        <w:rPr>
          <w:rFonts w:eastAsia="Google Sans Text"/>
          <w:sz w:val="24"/>
          <w:szCs w:val="24"/>
        </w:rPr>
        <w:t>Climate change modeling under RCP 4.5 and RCP 8.5 scenarios indicates significant shifts for the Gulf region:</w:t>
      </w:r>
    </w:p>
    <w:p w14:paraId="325E367E" w14:textId="49BA4C63" w:rsidR="009A666A" w:rsidRPr="007B2406" w:rsidRDefault="00000000" w:rsidP="007B2406">
      <w:pPr>
        <w:numPr>
          <w:ilvl w:val="0"/>
          <w:numId w:val="10"/>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Temperature: Mean annual temperatures are projected to increase by 0.95°C to 3.23°C by the end of the century. By 2050, mean temperatures are expected to rise by approximately 1.5°C.</w:t>
      </w:r>
    </w:p>
    <w:p w14:paraId="635D3D10" w14:textId="47635B81" w:rsidR="009A666A" w:rsidRPr="007B2406" w:rsidRDefault="00000000" w:rsidP="007B2406">
      <w:pPr>
        <w:numPr>
          <w:ilvl w:val="0"/>
          <w:numId w:val="10"/>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Rainfall: Precipitation patterns will become more volatile, with projections suggesting drier winters but more intense rainfall events during the wet season (increasing flood risks).</w:t>
      </w:r>
    </w:p>
    <w:p w14:paraId="0AFC7EFC" w14:textId="197C7B2C" w:rsidR="009A666A" w:rsidRPr="00BD3E57" w:rsidRDefault="00000000" w:rsidP="007B2406">
      <w:pPr>
        <w:numPr>
          <w:ilvl w:val="0"/>
          <w:numId w:val="10"/>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Sea Level Rise (SLR): The</w:t>
      </w:r>
      <w:r w:rsidRPr="00BD3E57">
        <w:rPr>
          <w:rFonts w:eastAsia="Google Sans Text"/>
          <w:color w:val="1F1F1F"/>
          <w:sz w:val="24"/>
          <w:szCs w:val="24"/>
        </w:rPr>
        <w:t xml:space="preserve"> Upper Gulf is particularly vulnerable due to the synergistic effects of global sea-level rise and local land subsidence (up to 1-2 cm/year in some Bangkok areas). Projections for 2050 estimate a rise of 0.2–0.3 meters, with potential end-of-century rise exceeding 1 meter under high-emission scenarios, threatening coastal megacities and mangrove ecosystems.</w:t>
      </w:r>
    </w:p>
    <w:p w14:paraId="13A039CE" w14:textId="77777777" w:rsidR="009A666A" w:rsidRPr="00BD3E57" w:rsidRDefault="009A666A" w:rsidP="007B2406">
      <w:pPr>
        <w:pBdr>
          <w:top w:val="nil"/>
          <w:left w:val="nil"/>
          <w:bottom w:val="nil"/>
          <w:right w:val="nil"/>
          <w:between w:val="nil"/>
        </w:pBdr>
        <w:spacing w:before="240" w:line="275" w:lineRule="auto"/>
        <w:ind w:firstLine="709"/>
        <w:jc w:val="thaiDistribute"/>
        <w:rPr>
          <w:rFonts w:eastAsia="Google Sans Text"/>
          <w:color w:val="1F1F1F"/>
          <w:sz w:val="24"/>
          <w:szCs w:val="24"/>
        </w:rPr>
      </w:pPr>
    </w:p>
    <w:p w14:paraId="2B581B4A" w14:textId="4CE4291C" w:rsidR="009A666A" w:rsidRPr="00BD3E57" w:rsidRDefault="00000000" w:rsidP="007B2406">
      <w:pPr>
        <w:pStyle w:val="Heading4"/>
        <w:spacing w:before="0" w:after="0" w:line="275" w:lineRule="auto"/>
        <w:ind w:firstLine="709"/>
        <w:jc w:val="thaiDistribute"/>
        <w:rPr>
          <w:rFonts w:eastAsia="Google Sans"/>
          <w:color w:val="1F1F1F"/>
        </w:rPr>
      </w:pPr>
      <w:r w:rsidRPr="00BD3E57">
        <w:rPr>
          <w:rFonts w:eastAsia="Google Sans"/>
          <w:color w:val="1F1F1F"/>
        </w:rPr>
        <w:t>1.3.3 Biogeography, endemic and unique marine species</w:t>
      </w:r>
    </w:p>
    <w:p w14:paraId="6E1BA3FF" w14:textId="1A6750A8" w:rsidR="009A666A" w:rsidRPr="00BD3E57" w:rsidRDefault="00000000" w:rsidP="007B2406">
      <w:pPr>
        <w:pBdr>
          <w:top w:val="nil"/>
          <w:left w:val="nil"/>
          <w:bottom w:val="nil"/>
          <w:right w:val="nil"/>
          <w:between w:val="nil"/>
        </w:pBdr>
        <w:spacing w:line="275" w:lineRule="auto"/>
        <w:ind w:firstLine="709"/>
        <w:jc w:val="thaiDistribute"/>
        <w:rPr>
          <w:rFonts w:eastAsia="Google Sans Text"/>
          <w:color w:val="1F1F1F"/>
          <w:sz w:val="24"/>
          <w:szCs w:val="24"/>
        </w:rPr>
      </w:pPr>
      <w:r w:rsidRPr="00BD3E57">
        <w:rPr>
          <w:rFonts w:eastAsia="Google Sans Text"/>
          <w:color w:val="1F1F1F"/>
          <w:sz w:val="24"/>
          <w:szCs w:val="24"/>
        </w:rPr>
        <w:t>Biogeographically, the Gulf of Thailan</w:t>
      </w:r>
      <w:r w:rsidRPr="00BD2F56">
        <w:rPr>
          <w:rFonts w:eastAsia="Google Sans Text"/>
          <w:color w:val="1F1F1F"/>
          <w:sz w:val="24"/>
          <w:szCs w:val="24"/>
        </w:rPr>
        <w:t xml:space="preserve">d belongs to the Sunda Shelf Province within the Indo-West Pacific Realm. This region is a global center of marine biodiversity, yet the Gulf's fauna is geologically young </w:t>
      </w:r>
      <w:r w:rsidRPr="00BD3E57">
        <w:rPr>
          <w:rFonts w:eastAsia="Google Sans Text"/>
          <w:color w:val="1F1F1F"/>
          <w:sz w:val="24"/>
          <w:szCs w:val="24"/>
        </w:rPr>
        <w:t>due to the recent Holocene transgression.</w:t>
      </w:r>
    </w:p>
    <w:p w14:paraId="356F5DBB" w14:textId="77777777" w:rsidR="009A666A" w:rsidRPr="007B2406" w:rsidRDefault="00000000" w:rsidP="007B2406">
      <w:pPr>
        <w:pBdr>
          <w:top w:val="nil"/>
          <w:left w:val="nil"/>
          <w:bottom w:val="nil"/>
          <w:right w:val="nil"/>
          <w:between w:val="nil"/>
        </w:pBdr>
        <w:spacing w:line="275" w:lineRule="auto"/>
        <w:ind w:firstLine="709"/>
        <w:jc w:val="thaiDistribute"/>
        <w:rPr>
          <w:rFonts w:eastAsia="Google Sans Text"/>
          <w:b/>
          <w:bCs/>
          <w:sz w:val="24"/>
          <w:szCs w:val="24"/>
        </w:rPr>
      </w:pPr>
      <w:r w:rsidRPr="007B2406">
        <w:rPr>
          <w:rFonts w:eastAsia="Google Sans Text"/>
          <w:b/>
          <w:bCs/>
          <w:sz w:val="24"/>
          <w:szCs w:val="24"/>
        </w:rPr>
        <w:lastRenderedPageBreak/>
        <w:t>Biodiversity and Endemism:</w:t>
      </w:r>
    </w:p>
    <w:p w14:paraId="0C6B9E96" w14:textId="578DF7B0" w:rsidR="009A666A" w:rsidRPr="00BD3E57" w:rsidRDefault="00000000" w:rsidP="007B2406">
      <w:pPr>
        <w:pBdr>
          <w:top w:val="nil"/>
          <w:left w:val="nil"/>
          <w:bottom w:val="nil"/>
          <w:right w:val="nil"/>
          <w:between w:val="nil"/>
        </w:pBdr>
        <w:spacing w:line="275" w:lineRule="auto"/>
        <w:ind w:firstLine="709"/>
        <w:jc w:val="thaiDistribute"/>
        <w:rPr>
          <w:rFonts w:eastAsia="Google Sans Text"/>
          <w:sz w:val="24"/>
          <w:szCs w:val="24"/>
        </w:rPr>
      </w:pPr>
      <w:r w:rsidRPr="00BD3E57">
        <w:rPr>
          <w:rFonts w:eastAsia="Google Sans Text"/>
          <w:sz w:val="24"/>
          <w:szCs w:val="24"/>
        </w:rPr>
        <w:t>While true deep-evolutionary endemism is limited because the Gulf was dry land until recently, the region supports unique populations and locally adapted species.</w:t>
      </w:r>
    </w:p>
    <w:p w14:paraId="17AF9731" w14:textId="77777777" w:rsidR="009A666A" w:rsidRPr="007B2406" w:rsidRDefault="00000000" w:rsidP="007B2406">
      <w:pPr>
        <w:numPr>
          <w:ilvl w:val="0"/>
          <w:numId w:val="11"/>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 xml:space="preserve">Endemic Invertebrates: </w:t>
      </w:r>
      <w:r w:rsidRPr="007B2406">
        <w:rPr>
          <w:rFonts w:eastAsia="Google Sans Text"/>
          <w:i/>
          <w:iCs/>
          <w:color w:val="1F1F1F"/>
          <w:sz w:val="24"/>
          <w:szCs w:val="24"/>
        </w:rPr>
        <w:t>Idiosepius thailandicus</w:t>
      </w:r>
      <w:r w:rsidRPr="007B2406">
        <w:rPr>
          <w:rFonts w:eastAsia="Google Sans Text"/>
          <w:color w:val="1F1F1F"/>
          <w:sz w:val="24"/>
          <w:szCs w:val="24"/>
        </w:rPr>
        <w:t xml:space="preserve"> (Thai pygmy squid), discovered in the Gulf, is a notable species found in seagrass and mangrove habitats along the eastern coast.</w:t>
      </w:r>
    </w:p>
    <w:p w14:paraId="4647FD34" w14:textId="42A763A9" w:rsidR="009A666A" w:rsidRPr="00BD3E57" w:rsidRDefault="00000000" w:rsidP="007B2406">
      <w:pPr>
        <w:numPr>
          <w:ilvl w:val="0"/>
          <w:numId w:val="11"/>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Marine Mammals: The Gulf hosts a genetically distinct population of the Irrawaddy Dolphin (</w:t>
      </w:r>
      <w:r w:rsidRPr="007B2406">
        <w:rPr>
          <w:rFonts w:eastAsia="Google Sans Text"/>
          <w:i/>
          <w:iCs/>
          <w:color w:val="1F1F1F"/>
          <w:sz w:val="24"/>
          <w:szCs w:val="24"/>
        </w:rPr>
        <w:t>Orcaella</w:t>
      </w:r>
      <w:r w:rsidRPr="00BD3E57">
        <w:rPr>
          <w:rFonts w:eastAsia="Google Sans Text"/>
          <w:i/>
          <w:iCs/>
          <w:color w:val="1F1F1F"/>
          <w:sz w:val="24"/>
          <w:szCs w:val="24"/>
        </w:rPr>
        <w:t xml:space="preserve"> brevirostris</w:t>
      </w:r>
      <w:r w:rsidRPr="00BD3E57">
        <w:rPr>
          <w:rFonts w:eastAsia="Google Sans Text"/>
          <w:color w:val="1F1F1F"/>
          <w:sz w:val="24"/>
          <w:szCs w:val="24"/>
        </w:rPr>
        <w:t xml:space="preserve">). Genetic studies indicate restricted gene flow between the Gulf of Thailand population and those in the Andaman Sea, classifying it as a distinct management unit requiring specific conservation measures </w:t>
      </w:r>
    </w:p>
    <w:p w14:paraId="52C99BE4" w14:textId="2945068D" w:rsidR="009A666A" w:rsidRPr="007B2406" w:rsidRDefault="00000000" w:rsidP="007B2406">
      <w:pPr>
        <w:numPr>
          <w:ilvl w:val="0"/>
          <w:numId w:val="11"/>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 xml:space="preserve">Fish Diversity: A recent checklist (2023) recorded 131 fish species from bottom trawls, including new records like the lizardfish </w:t>
      </w:r>
      <w:r w:rsidRPr="007B2406">
        <w:rPr>
          <w:rFonts w:eastAsia="Google Sans Text"/>
          <w:i/>
          <w:iCs/>
          <w:color w:val="1F1F1F"/>
          <w:sz w:val="24"/>
          <w:szCs w:val="24"/>
        </w:rPr>
        <w:t>Saurida fortis</w:t>
      </w:r>
      <w:r w:rsidRPr="007B2406">
        <w:rPr>
          <w:rFonts w:eastAsia="Google Sans Text"/>
          <w:color w:val="1F1F1F"/>
          <w:sz w:val="24"/>
          <w:szCs w:val="24"/>
        </w:rPr>
        <w:t>. Other key species include the Brownbanded bamboo shark (</w:t>
      </w:r>
      <w:r w:rsidRPr="007B2406">
        <w:rPr>
          <w:rFonts w:eastAsia="Google Sans Text"/>
          <w:i/>
          <w:iCs/>
          <w:color w:val="1F1F1F"/>
          <w:sz w:val="24"/>
          <w:szCs w:val="24"/>
        </w:rPr>
        <w:t>Chiloscyllium punctatum</w:t>
      </w:r>
      <w:r w:rsidRPr="007B2406">
        <w:rPr>
          <w:rFonts w:eastAsia="Google Sans Text"/>
          <w:color w:val="1F1F1F"/>
          <w:sz w:val="24"/>
          <w:szCs w:val="24"/>
        </w:rPr>
        <w:t>) and the Whale shark (</w:t>
      </w:r>
      <w:r w:rsidRPr="007B2406">
        <w:rPr>
          <w:rFonts w:eastAsia="Google Sans Text"/>
          <w:i/>
          <w:iCs/>
          <w:color w:val="1F1F1F"/>
          <w:sz w:val="24"/>
          <w:szCs w:val="24"/>
        </w:rPr>
        <w:t>Rhincodon typus</w:t>
      </w:r>
      <w:r w:rsidRPr="007B2406">
        <w:rPr>
          <w:rFonts w:eastAsia="Google Sans Text"/>
          <w:color w:val="1F1F1F"/>
          <w:sz w:val="24"/>
          <w:szCs w:val="24"/>
        </w:rPr>
        <w:t>), which frequents the biodiversity hotspots of Koh Tao and Chumphon pinnacles</w:t>
      </w:r>
      <w:r w:rsidR="00F10EE1">
        <w:rPr>
          <w:rFonts w:eastAsia="Google Sans Text"/>
          <w:color w:val="1F1F1F"/>
          <w:sz w:val="24"/>
          <w:szCs w:val="24"/>
        </w:rPr>
        <w:t>.</w:t>
      </w:r>
    </w:p>
    <w:p w14:paraId="1B6E582A" w14:textId="5460C97D" w:rsidR="009A666A" w:rsidRPr="00BD3E57" w:rsidRDefault="00000000" w:rsidP="007B2406">
      <w:pPr>
        <w:numPr>
          <w:ilvl w:val="0"/>
          <w:numId w:val="11"/>
        </w:numPr>
        <w:pBdr>
          <w:top w:val="nil"/>
          <w:left w:val="nil"/>
          <w:bottom w:val="nil"/>
          <w:right w:val="nil"/>
          <w:between w:val="nil"/>
        </w:pBdr>
        <w:spacing w:line="275" w:lineRule="auto"/>
        <w:ind w:firstLine="709"/>
        <w:jc w:val="thaiDistribute"/>
        <w:rPr>
          <w:sz w:val="24"/>
          <w:szCs w:val="24"/>
        </w:rPr>
      </w:pPr>
      <w:r w:rsidRPr="007B2406">
        <w:rPr>
          <w:rFonts w:eastAsia="Google Sans Text"/>
          <w:color w:val="1F1F1F"/>
          <w:sz w:val="24"/>
          <w:szCs w:val="24"/>
        </w:rPr>
        <w:t xml:space="preserve">Mangrove Flora: The Gulf's wetlands harbor critically endangered flora such as </w:t>
      </w:r>
      <w:r w:rsidRPr="007B2406">
        <w:rPr>
          <w:rFonts w:eastAsia="Google Sans Text"/>
          <w:i/>
          <w:iCs/>
          <w:color w:val="1F1F1F"/>
          <w:sz w:val="24"/>
          <w:szCs w:val="24"/>
        </w:rPr>
        <w:t>Bruguiera hainesii</w:t>
      </w:r>
      <w:r w:rsidRPr="007B2406">
        <w:rPr>
          <w:rFonts w:eastAsia="Google Sans Text"/>
          <w:color w:val="1F1F1F"/>
          <w:sz w:val="24"/>
          <w:szCs w:val="24"/>
        </w:rPr>
        <w:t xml:space="preserve"> and </w:t>
      </w:r>
      <w:r w:rsidRPr="007B2406">
        <w:rPr>
          <w:rFonts w:eastAsia="Google Sans Text"/>
          <w:i/>
          <w:iCs/>
          <w:color w:val="1F1F1F"/>
          <w:sz w:val="24"/>
          <w:szCs w:val="24"/>
        </w:rPr>
        <w:t>Sonneratia</w:t>
      </w:r>
      <w:r w:rsidRPr="00BD3E57">
        <w:rPr>
          <w:rFonts w:eastAsia="Google Sans Text"/>
          <w:i/>
          <w:iCs/>
          <w:color w:val="1F1F1F"/>
          <w:sz w:val="24"/>
          <w:szCs w:val="24"/>
        </w:rPr>
        <w:t xml:space="preserve"> griffithii</w:t>
      </w:r>
      <w:r w:rsidRPr="00BD3E57">
        <w:rPr>
          <w:rFonts w:eastAsia="Google Sans Text"/>
          <w:color w:val="1F1F1F"/>
          <w:sz w:val="24"/>
          <w:szCs w:val="24"/>
        </w:rPr>
        <w:t>, which are extremely rare globally but found in the Welu River Estuary and other focal sites</w:t>
      </w:r>
      <w:r w:rsidR="00F10EE1">
        <w:rPr>
          <w:rFonts w:eastAsia="Google Sans Text"/>
          <w:color w:val="1F1F1F"/>
          <w:sz w:val="24"/>
          <w:szCs w:val="24"/>
        </w:rPr>
        <w:t>.</w:t>
      </w:r>
    </w:p>
    <w:p w14:paraId="73391108" w14:textId="77777777" w:rsidR="009A666A" w:rsidRPr="00BD3E57" w:rsidRDefault="00000000" w:rsidP="007B2406">
      <w:pPr>
        <w:pBdr>
          <w:top w:val="nil"/>
          <w:left w:val="nil"/>
          <w:bottom w:val="nil"/>
          <w:right w:val="nil"/>
          <w:between w:val="nil"/>
        </w:pBdr>
        <w:spacing w:before="240" w:line="275" w:lineRule="auto"/>
        <w:ind w:firstLine="709"/>
        <w:jc w:val="thaiDistribute"/>
        <w:rPr>
          <w:rFonts w:eastAsia="Google Sans Text"/>
          <w:color w:val="1F1F1F"/>
          <w:sz w:val="24"/>
          <w:szCs w:val="24"/>
        </w:rPr>
      </w:pPr>
      <w:r w:rsidRPr="00BD3E57">
        <w:rPr>
          <w:rFonts w:eastAsia="Google Sans Text"/>
          <w:color w:val="1F1F1F"/>
          <w:sz w:val="24"/>
          <w:szCs w:val="24"/>
        </w:rPr>
        <w:t>This unique biogeographical setting, combining high productivity with specific genetic refugia, highlights the Gulf's critical role as a "biological pump" for the wider South China Sea ecosystem.</w:t>
      </w:r>
    </w:p>
    <w:p w14:paraId="6F4F4E93" w14:textId="77777777" w:rsidR="009A666A" w:rsidRDefault="009A666A" w:rsidP="00BD3E57">
      <w:pPr>
        <w:pBdr>
          <w:top w:val="nil"/>
          <w:left w:val="nil"/>
          <w:bottom w:val="nil"/>
          <w:right w:val="nil"/>
          <w:between w:val="nil"/>
        </w:pBdr>
        <w:spacing w:line="275" w:lineRule="auto"/>
        <w:jc w:val="thaiDistribute"/>
        <w:rPr>
          <w:rFonts w:eastAsia="Google Sans Text"/>
          <w:color w:val="1F1F1F"/>
          <w:sz w:val="24"/>
          <w:szCs w:val="24"/>
        </w:rPr>
      </w:pPr>
    </w:p>
    <w:p w14:paraId="669680F4" w14:textId="77777777" w:rsidR="007B2406" w:rsidRPr="00BD3E57" w:rsidRDefault="007B2406" w:rsidP="00BD3E57">
      <w:pPr>
        <w:pBdr>
          <w:top w:val="nil"/>
          <w:left w:val="nil"/>
          <w:bottom w:val="nil"/>
          <w:right w:val="nil"/>
          <w:between w:val="nil"/>
        </w:pBdr>
        <w:spacing w:line="275" w:lineRule="auto"/>
        <w:jc w:val="thaiDistribute"/>
        <w:rPr>
          <w:rFonts w:eastAsia="Google Sans Text"/>
          <w:color w:val="1F1F1F"/>
          <w:sz w:val="24"/>
          <w:szCs w:val="24"/>
        </w:rPr>
      </w:pPr>
    </w:p>
    <w:p w14:paraId="5086422E" w14:textId="77777777" w:rsidR="009A666A" w:rsidRPr="00BD3E57" w:rsidRDefault="00000000" w:rsidP="00BD3E57">
      <w:pPr>
        <w:pStyle w:val="Heading3"/>
        <w:spacing w:before="0" w:after="0" w:line="275" w:lineRule="auto"/>
        <w:jc w:val="thaiDistribute"/>
        <w:rPr>
          <w:rFonts w:eastAsia="Google Sans"/>
          <w:color w:val="1F1F1F"/>
          <w:sz w:val="24"/>
          <w:szCs w:val="24"/>
        </w:rPr>
      </w:pPr>
      <w:r w:rsidRPr="00BD3E57">
        <w:rPr>
          <w:rFonts w:eastAsia="Google Sans"/>
          <w:color w:val="1F1F1F"/>
          <w:sz w:val="24"/>
          <w:szCs w:val="24"/>
        </w:rPr>
        <w:t>1.4 Assessment Methodology</w:t>
      </w:r>
    </w:p>
    <w:p w14:paraId="49A5C463" w14:textId="77777777" w:rsidR="009A666A" w:rsidRPr="00BD3E57" w:rsidRDefault="009A666A" w:rsidP="00BD3E57">
      <w:pPr>
        <w:pBdr>
          <w:top w:val="nil"/>
          <w:left w:val="nil"/>
          <w:bottom w:val="nil"/>
          <w:right w:val="nil"/>
          <w:between w:val="nil"/>
        </w:pBdr>
        <w:spacing w:line="275" w:lineRule="auto"/>
        <w:jc w:val="thaiDistribute"/>
        <w:rPr>
          <w:rFonts w:eastAsia="Google Sans"/>
          <w:color w:val="1F1F1F"/>
          <w:sz w:val="24"/>
          <w:szCs w:val="24"/>
        </w:rPr>
      </w:pPr>
    </w:p>
    <w:p w14:paraId="776BF675" w14:textId="77777777" w:rsidR="009A666A" w:rsidRPr="00BD3E57" w:rsidRDefault="00000000" w:rsidP="00BD3E57">
      <w:pPr>
        <w:pBdr>
          <w:top w:val="nil"/>
          <w:left w:val="nil"/>
          <w:bottom w:val="nil"/>
          <w:right w:val="nil"/>
          <w:between w:val="nil"/>
        </w:pBdr>
        <w:spacing w:line="275" w:lineRule="auto"/>
        <w:jc w:val="thaiDistribute"/>
        <w:rPr>
          <w:rFonts w:eastAsia="Google Sans Text"/>
          <w:color w:val="1F1F1F"/>
          <w:sz w:val="24"/>
          <w:szCs w:val="24"/>
        </w:rPr>
      </w:pPr>
      <w:r w:rsidRPr="00BD3E57">
        <w:rPr>
          <w:rFonts w:eastAsia="Google Sans Text"/>
          <w:color w:val="1F1F1F"/>
          <w:sz w:val="24"/>
          <w:szCs w:val="24"/>
        </w:rPr>
        <w:t>The methodology employed for the 2025 National TDA represents a significant evolution from previous assessments, moving beyond simple resource inventorying to a holistic, ecosystem-based risk assessment. This transition is necessitated by the increasing complexity of transboundary threats, particularly climate change and marine plastic pollution, which require an integrated analysis of socio-ecological systems.</w:t>
      </w:r>
    </w:p>
    <w:p w14:paraId="03DAE74F" w14:textId="77777777" w:rsidR="009A666A" w:rsidRPr="00BD3E57" w:rsidRDefault="009A666A" w:rsidP="00BD3E57">
      <w:pPr>
        <w:pBdr>
          <w:top w:val="nil"/>
          <w:left w:val="nil"/>
          <w:bottom w:val="nil"/>
          <w:right w:val="nil"/>
          <w:between w:val="nil"/>
        </w:pBdr>
        <w:spacing w:line="275" w:lineRule="auto"/>
        <w:jc w:val="thaiDistribute"/>
        <w:rPr>
          <w:rFonts w:eastAsia="Google Sans Text"/>
          <w:color w:val="1F1F1F"/>
          <w:sz w:val="24"/>
          <w:szCs w:val="24"/>
        </w:rPr>
      </w:pPr>
    </w:p>
    <w:p w14:paraId="154880FC" w14:textId="49CD9CAD" w:rsidR="009A666A" w:rsidRPr="00BD3E57" w:rsidRDefault="00000000" w:rsidP="00170FE0">
      <w:pPr>
        <w:pStyle w:val="Heading4"/>
        <w:spacing w:before="0" w:after="0" w:line="275" w:lineRule="auto"/>
        <w:ind w:firstLine="426"/>
        <w:jc w:val="thaiDistribute"/>
        <w:rPr>
          <w:rFonts w:eastAsia="Google Sans"/>
          <w:color w:val="1F1F1F"/>
        </w:rPr>
      </w:pPr>
      <w:r w:rsidRPr="00BD3E57">
        <w:rPr>
          <w:rFonts w:eastAsia="Google Sans"/>
          <w:color w:val="1F1F1F"/>
        </w:rPr>
        <w:t>1.4.1 Conceptual Framework</w:t>
      </w:r>
    </w:p>
    <w:p w14:paraId="198910A7" w14:textId="282B9FAE" w:rsidR="009A666A" w:rsidRPr="00BD3E57" w:rsidRDefault="00000000" w:rsidP="007B2406">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 xml:space="preserve">The assessment adopts a modified </w:t>
      </w:r>
      <w:r w:rsidRPr="00BD3E57">
        <w:rPr>
          <w:rFonts w:eastAsia="Google Sans Text"/>
          <w:b/>
          <w:bCs/>
          <w:color w:val="1F1F1F"/>
          <w:sz w:val="24"/>
          <w:szCs w:val="24"/>
        </w:rPr>
        <w:t>"Concentric Circles of Risk"</w:t>
      </w:r>
      <w:r w:rsidRPr="00BD3E57">
        <w:rPr>
          <w:rFonts w:eastAsia="Google Sans Text"/>
          <w:color w:val="1F1F1F"/>
          <w:sz w:val="24"/>
          <w:szCs w:val="24"/>
        </w:rPr>
        <w:t xml:space="preserve"> framework to conceptualize the relationship between anthropogenic drivers and ecosystem health:</w:t>
      </w:r>
    </w:p>
    <w:p w14:paraId="3A50869F" w14:textId="53328259" w:rsidR="009A666A" w:rsidRPr="00170FE0" w:rsidRDefault="00000000" w:rsidP="00170FE0">
      <w:pPr>
        <w:pStyle w:val="ListParagraph"/>
        <w:numPr>
          <w:ilvl w:val="0"/>
          <w:numId w:val="12"/>
        </w:numPr>
        <w:pBdr>
          <w:top w:val="nil"/>
          <w:left w:val="nil"/>
          <w:bottom w:val="nil"/>
          <w:right w:val="nil"/>
          <w:between w:val="nil"/>
        </w:pBdr>
        <w:spacing w:line="275" w:lineRule="auto"/>
        <w:ind w:left="0" w:firstLine="426"/>
        <w:jc w:val="thaiDistribute"/>
        <w:rPr>
          <w:sz w:val="24"/>
          <w:szCs w:val="24"/>
        </w:rPr>
      </w:pPr>
      <w:r w:rsidRPr="00170FE0">
        <w:rPr>
          <w:rFonts w:eastAsia="Google Sans Text"/>
          <w:b/>
          <w:bCs/>
          <w:color w:val="1F1F1F"/>
          <w:sz w:val="24"/>
          <w:szCs w:val="24"/>
        </w:rPr>
        <w:t>Core (The Ecosystem):</w:t>
      </w:r>
      <w:r w:rsidRPr="00170FE0">
        <w:rPr>
          <w:rFonts w:eastAsia="Google Sans Text"/>
          <w:color w:val="1F1F1F"/>
          <w:sz w:val="24"/>
          <w:szCs w:val="24"/>
        </w:rPr>
        <w:t xml:space="preserve"> The physical and biological state of coastal resources (e.g., live coral cover, mangrove biomass, water quality)</w:t>
      </w:r>
      <w:r w:rsidR="00F10EE1">
        <w:rPr>
          <w:rFonts w:eastAsia="Google Sans Text"/>
          <w:color w:val="1F1F1F"/>
          <w:sz w:val="24"/>
          <w:szCs w:val="24"/>
        </w:rPr>
        <w:t>.</w:t>
      </w:r>
      <w:r w:rsidRPr="00170FE0">
        <w:rPr>
          <w:rFonts w:eastAsia="Google Sans Text"/>
          <w:color w:val="1F1F1F"/>
          <w:sz w:val="24"/>
          <w:szCs w:val="24"/>
        </w:rPr>
        <w:t xml:space="preserve"> The assessment focuses on "Ecological Integrity" and "Service Provision" (e.g., carbon storage) rather than just extent or quantity.</w:t>
      </w:r>
    </w:p>
    <w:p w14:paraId="3E496531" w14:textId="106C5CAA" w:rsidR="009A666A" w:rsidRPr="00BD3E57" w:rsidRDefault="00000000" w:rsidP="007B2406">
      <w:pPr>
        <w:numPr>
          <w:ilvl w:val="0"/>
          <w:numId w:val="12"/>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Inner Circle (Direct Pressures):</w:t>
      </w:r>
      <w:r w:rsidRPr="00BD3E57">
        <w:rPr>
          <w:rFonts w:eastAsia="Google Sans Text"/>
          <w:color w:val="1F1F1F"/>
          <w:sz w:val="24"/>
          <w:szCs w:val="24"/>
        </w:rPr>
        <w:t xml:space="preserve"> Immediate stressors acting on the core, such as nutrient loading from the Chao Phraya River, destructive fishing gear (trawlers), and </w:t>
      </w:r>
      <w:r w:rsidRPr="00BD3E57">
        <w:rPr>
          <w:rFonts w:eastAsia="Google Sans Text"/>
          <w:color w:val="1F1F1F"/>
          <w:sz w:val="24"/>
          <w:szCs w:val="24"/>
        </w:rPr>
        <w:lastRenderedPageBreak/>
        <w:t>coastal land conversion.</w:t>
      </w:r>
    </w:p>
    <w:p w14:paraId="20BBE411" w14:textId="2C999959" w:rsidR="009A666A" w:rsidRPr="00BD3E57" w:rsidRDefault="00000000" w:rsidP="007B2406">
      <w:pPr>
        <w:numPr>
          <w:ilvl w:val="0"/>
          <w:numId w:val="12"/>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Middle Circle (Socio-Economic Drivers):</w:t>
      </w:r>
      <w:r w:rsidRPr="00BD3E57">
        <w:rPr>
          <w:rFonts w:eastAsia="Google Sans Text"/>
          <w:color w:val="1F1F1F"/>
          <w:sz w:val="24"/>
          <w:szCs w:val="24"/>
        </w:rPr>
        <w:t xml:space="preserve"> The local and national activities driving the pressures, including the "Blue Economy" sectors (tourism, fisheries), industrialization in the EEC, and urbanization in coastal provinces.</w:t>
      </w:r>
    </w:p>
    <w:p w14:paraId="63291CCA" w14:textId="1B9CBB95" w:rsidR="009A666A" w:rsidRPr="00BD3E57" w:rsidRDefault="00000000" w:rsidP="007B2406">
      <w:pPr>
        <w:numPr>
          <w:ilvl w:val="0"/>
          <w:numId w:val="12"/>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Outer Circle (Global &amp; Regional Forces):</w:t>
      </w:r>
      <w:r w:rsidRPr="00BD3E57">
        <w:rPr>
          <w:rFonts w:eastAsia="Google Sans Text"/>
          <w:color w:val="1F1F1F"/>
          <w:sz w:val="24"/>
          <w:szCs w:val="24"/>
        </w:rPr>
        <w:t xml:space="preserve"> Large-scale, often transboundary drivers such as global climate change (sea-level rise, ocean warming) , global market demand for seafood, and regional plastic waste leakage.</w:t>
      </w:r>
    </w:p>
    <w:p w14:paraId="3B426F90" w14:textId="66D50B35" w:rsidR="009A666A" w:rsidRPr="00A97974" w:rsidRDefault="00000000" w:rsidP="007B2406">
      <w:pPr>
        <w:pBdr>
          <w:top w:val="nil"/>
          <w:left w:val="nil"/>
          <w:bottom w:val="nil"/>
          <w:right w:val="nil"/>
          <w:between w:val="nil"/>
        </w:pBdr>
        <w:spacing w:before="240" w:line="275" w:lineRule="auto"/>
        <w:ind w:firstLine="426"/>
        <w:jc w:val="thaiDistribute"/>
        <w:rPr>
          <w:rFonts w:eastAsia="Google Sans Text" w:cstheme="minorBidi"/>
          <w:color w:val="1F1F1F"/>
          <w:sz w:val="24"/>
          <w:szCs w:val="24"/>
          <w:lang w:val="en-US"/>
        </w:rPr>
      </w:pPr>
      <w:commentRangeStart w:id="0"/>
      <w:r w:rsidRPr="00BD3E57">
        <w:rPr>
          <w:rFonts w:eastAsia="Google Sans Text"/>
          <w:b/>
          <w:bCs/>
          <w:color w:val="1F1F1F"/>
          <w:sz w:val="24"/>
          <w:szCs w:val="24"/>
        </w:rPr>
        <w:t>Scale and Scope:</w:t>
      </w:r>
      <w:r w:rsidRPr="00BD3E57">
        <w:rPr>
          <w:rFonts w:eastAsia="Google Sans Text"/>
          <w:color w:val="1F1F1F"/>
          <w:sz w:val="24"/>
          <w:szCs w:val="24"/>
        </w:rPr>
        <w:t xml:space="preserve"> The assessment integrates data from local focal sites (micro-scale) up to the national and sub-regional levels (macro-scale), allowing for the identification of "hotspots" where global risks (climate) compound local stressors (pollution).</w:t>
      </w:r>
      <w:commentRangeEnd w:id="0"/>
      <w:r w:rsidR="00046003">
        <w:rPr>
          <w:rStyle w:val="CommentReference"/>
          <w:rFonts w:cs="Cordia New"/>
        </w:rPr>
        <w:commentReference w:id="0"/>
      </w:r>
    </w:p>
    <w:p w14:paraId="7EBEBCA7" w14:textId="77777777" w:rsidR="009A666A" w:rsidRPr="00BD3E57" w:rsidRDefault="009A666A" w:rsidP="007B2406">
      <w:pPr>
        <w:pBdr>
          <w:top w:val="nil"/>
          <w:left w:val="nil"/>
          <w:bottom w:val="nil"/>
          <w:right w:val="nil"/>
          <w:between w:val="nil"/>
        </w:pBdr>
        <w:spacing w:line="275" w:lineRule="auto"/>
        <w:ind w:firstLine="426"/>
        <w:jc w:val="thaiDistribute"/>
        <w:rPr>
          <w:rFonts w:eastAsia="Google Sans Text"/>
          <w:color w:val="1F1F1F"/>
          <w:sz w:val="24"/>
          <w:szCs w:val="24"/>
        </w:rPr>
      </w:pPr>
    </w:p>
    <w:p w14:paraId="34CC2E0E" w14:textId="70006B57" w:rsidR="009A666A" w:rsidRPr="00BD3E57" w:rsidRDefault="00000000" w:rsidP="00170FE0">
      <w:pPr>
        <w:pStyle w:val="Heading4"/>
        <w:spacing w:before="0" w:after="0" w:line="275" w:lineRule="auto"/>
        <w:ind w:firstLine="426"/>
        <w:jc w:val="thaiDistribute"/>
        <w:rPr>
          <w:rFonts w:eastAsia="Google Sans"/>
          <w:color w:val="1F1F1F"/>
        </w:rPr>
      </w:pPr>
      <w:r w:rsidRPr="00BD3E57">
        <w:rPr>
          <w:rFonts w:eastAsia="Google Sans"/>
          <w:color w:val="1F1F1F"/>
        </w:rPr>
        <w:t>1.4.2 Subnational Geographic Divisions used in the Analysis</w:t>
      </w:r>
    </w:p>
    <w:p w14:paraId="180FAD46" w14:textId="5824EB7F" w:rsidR="009A666A" w:rsidRPr="00BD3E57" w:rsidRDefault="00000000" w:rsidP="007B2406">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The 2025 TDA refines the geographic sc</w:t>
      </w:r>
      <w:r w:rsidRPr="00170FE0">
        <w:rPr>
          <w:rFonts w:eastAsia="Google Sans Text"/>
          <w:color w:val="1F1F1F"/>
          <w:sz w:val="24"/>
          <w:szCs w:val="24"/>
        </w:rPr>
        <w:t>ope to focus specifically on the Marine and Coastal Zone</w:t>
      </w:r>
      <w:r w:rsidR="005B745A">
        <w:rPr>
          <w:rFonts w:eastAsia="Google Sans Text"/>
          <w:color w:val="1F1F1F"/>
          <w:sz w:val="24"/>
          <w:szCs w:val="24"/>
          <w:lang w:val="en-US"/>
        </w:rPr>
        <w:t xml:space="preserve"> of the Gulf of Thailand</w:t>
      </w:r>
      <w:r w:rsidRPr="00170FE0">
        <w:rPr>
          <w:rFonts w:eastAsia="Google Sans Text"/>
          <w:color w:val="1F1F1F"/>
          <w:sz w:val="24"/>
          <w:szCs w:val="24"/>
        </w:rPr>
        <w:t>, departing</w:t>
      </w:r>
      <w:r w:rsidRPr="00BD3E57">
        <w:rPr>
          <w:rFonts w:eastAsia="Google Sans Text"/>
          <w:color w:val="1F1F1F"/>
          <w:sz w:val="24"/>
          <w:szCs w:val="24"/>
        </w:rPr>
        <w:t xml:space="preserve"> from the watershed-heavy focus of the Year 2000 report.</w:t>
      </w:r>
    </w:p>
    <w:p w14:paraId="2C771645" w14:textId="1925BAD4" w:rsidR="009A666A" w:rsidRPr="00BD3E57" w:rsidRDefault="00000000" w:rsidP="007B2406">
      <w:pPr>
        <w:numPr>
          <w:ilvl w:val="0"/>
          <w:numId w:val="13"/>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Administrative Division:</w:t>
      </w:r>
      <w:r w:rsidRPr="00BD3E57">
        <w:rPr>
          <w:rFonts w:eastAsia="Google Sans Text"/>
          <w:color w:val="1F1F1F"/>
          <w:sz w:val="24"/>
          <w:szCs w:val="24"/>
        </w:rPr>
        <w:t xml:space="preserve"> The primary unit of socio-economic analysis comprises the </w:t>
      </w:r>
      <w:r w:rsidR="00046003">
        <w:rPr>
          <w:rFonts w:eastAsia="Google Sans Text"/>
          <w:b/>
          <w:bCs/>
          <w:color w:val="1F1F1F"/>
          <w:sz w:val="24"/>
          <w:szCs w:val="24"/>
          <w:lang w:val="en-US"/>
        </w:rPr>
        <w:t>17</w:t>
      </w:r>
      <w:r w:rsidRPr="00BD3E57">
        <w:rPr>
          <w:rFonts w:eastAsia="Google Sans Text"/>
          <w:b/>
          <w:bCs/>
          <w:color w:val="1F1F1F"/>
          <w:sz w:val="24"/>
          <w:szCs w:val="24"/>
        </w:rPr>
        <w:t xml:space="preserve"> Coastal Provinces</w:t>
      </w:r>
      <w:r w:rsidRPr="00BD3E57">
        <w:rPr>
          <w:rFonts w:eastAsia="Google Sans Text"/>
          <w:color w:val="1F1F1F"/>
          <w:sz w:val="24"/>
          <w:szCs w:val="24"/>
        </w:rPr>
        <w:t xml:space="preserve"> bordering the Gulf of Thailand</w:t>
      </w:r>
      <w:r w:rsidR="00F10EE1">
        <w:rPr>
          <w:rFonts w:eastAsia="Google Sans Text"/>
          <w:color w:val="1F1F1F"/>
          <w:sz w:val="24"/>
          <w:szCs w:val="24"/>
        </w:rPr>
        <w:t>.</w:t>
      </w:r>
      <w:r w:rsidRPr="00BD3E57">
        <w:rPr>
          <w:rFonts w:eastAsia="Google Sans Text"/>
          <w:color w:val="1F1F1F"/>
          <w:sz w:val="24"/>
          <w:szCs w:val="24"/>
        </w:rPr>
        <w:t xml:space="preserve"> </w:t>
      </w:r>
      <w:commentRangeStart w:id="1"/>
      <w:r w:rsidRPr="00BD3E57">
        <w:rPr>
          <w:rFonts w:eastAsia="Google Sans Text"/>
          <w:color w:val="1F1F1F"/>
          <w:sz w:val="24"/>
          <w:szCs w:val="24"/>
        </w:rPr>
        <w:t>These are stratified into three economic clusters: the Industrial Core (Eastern Seaboard), the Developing South, and the Tourism Hubs</w:t>
      </w:r>
      <w:commentRangeEnd w:id="1"/>
      <w:r w:rsidR="00046003">
        <w:rPr>
          <w:rStyle w:val="CommentReference"/>
          <w:rFonts w:cs="Cordia New"/>
        </w:rPr>
        <w:commentReference w:id="1"/>
      </w:r>
      <w:r w:rsidR="00F10EE1">
        <w:rPr>
          <w:rFonts w:eastAsia="Google Sans Text"/>
          <w:color w:val="1F1F1F"/>
          <w:sz w:val="24"/>
          <w:szCs w:val="24"/>
        </w:rPr>
        <w:t>.</w:t>
      </w:r>
    </w:p>
    <w:p w14:paraId="6F9E259D" w14:textId="161BE66B" w:rsidR="009A666A" w:rsidRPr="00BD3E57" w:rsidRDefault="00000000" w:rsidP="007B2406">
      <w:pPr>
        <w:numPr>
          <w:ilvl w:val="0"/>
          <w:numId w:val="13"/>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Ecological Focal Sites:</w:t>
      </w:r>
      <w:r w:rsidRPr="00BD3E57">
        <w:rPr>
          <w:rFonts w:eastAsia="Google Sans Text"/>
          <w:color w:val="1F1F1F"/>
          <w:sz w:val="24"/>
          <w:szCs w:val="24"/>
        </w:rPr>
        <w:t xml:space="preserve"> To ground-truth the national data, the assessment utilizes five specific "Focal Sites" in the Gulf of Thailand representing distinct ecosystem types and pressure profiles:</w:t>
      </w:r>
    </w:p>
    <w:p w14:paraId="2115DBFE" w14:textId="77777777" w:rsidR="009A666A" w:rsidRPr="00BD3E57" w:rsidRDefault="00000000" w:rsidP="00170FE0">
      <w:pPr>
        <w:numPr>
          <w:ilvl w:val="1"/>
          <w:numId w:val="14"/>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Welu River Estuary (Chanthaburi):</w:t>
      </w:r>
      <w:r w:rsidRPr="00BD3E57">
        <w:rPr>
          <w:rFonts w:eastAsia="Google Sans Text"/>
          <w:color w:val="1F1F1F"/>
          <w:sz w:val="24"/>
          <w:szCs w:val="24"/>
        </w:rPr>
        <w:t xml:space="preserve"> Represents a "Managed Ecosystem" with community forestry.</w:t>
      </w:r>
    </w:p>
    <w:p w14:paraId="5EA55E96" w14:textId="77777777" w:rsidR="009A666A" w:rsidRPr="00BD3E57" w:rsidRDefault="00000000" w:rsidP="00170FE0">
      <w:pPr>
        <w:numPr>
          <w:ilvl w:val="1"/>
          <w:numId w:val="14"/>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Bandon Bay (Surat Thani):</w:t>
      </w:r>
      <w:r w:rsidRPr="00BD3E57">
        <w:rPr>
          <w:rFonts w:eastAsia="Google Sans Text"/>
          <w:color w:val="1F1F1F"/>
          <w:sz w:val="24"/>
          <w:szCs w:val="24"/>
        </w:rPr>
        <w:t xml:space="preserve"> Represents a complex, high-use seascape (aquaculture + carbon sink).</w:t>
      </w:r>
    </w:p>
    <w:p w14:paraId="092A8CFE" w14:textId="77777777" w:rsidR="009A666A" w:rsidRPr="00BD3E57" w:rsidRDefault="00000000" w:rsidP="00170FE0">
      <w:pPr>
        <w:numPr>
          <w:ilvl w:val="1"/>
          <w:numId w:val="14"/>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Pak Phanang Bay (Nakhon Si Thammarat):</w:t>
      </w:r>
      <w:r w:rsidRPr="00BD3E57">
        <w:rPr>
          <w:rFonts w:eastAsia="Google Sans Text"/>
          <w:color w:val="1F1F1F"/>
          <w:sz w:val="24"/>
          <w:szCs w:val="24"/>
        </w:rPr>
        <w:t xml:space="preserve"> Represents an estuary affected by hydrological alteration.</w:t>
      </w:r>
    </w:p>
    <w:p w14:paraId="406FA059" w14:textId="77777777" w:rsidR="009A666A" w:rsidRPr="00BD3E57" w:rsidRDefault="00000000" w:rsidP="00170FE0">
      <w:pPr>
        <w:numPr>
          <w:ilvl w:val="1"/>
          <w:numId w:val="14"/>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Samut Prakan Coast:</w:t>
      </w:r>
      <w:r w:rsidRPr="00BD3E57">
        <w:rPr>
          <w:rFonts w:eastAsia="Google Sans Text"/>
          <w:color w:val="1F1F1F"/>
          <w:sz w:val="24"/>
          <w:szCs w:val="24"/>
        </w:rPr>
        <w:t xml:space="preserve"> Represents a "Urban/Industrialized Delta" with extreme pollution stress.</w:t>
      </w:r>
    </w:p>
    <w:p w14:paraId="15675964" w14:textId="77777777" w:rsidR="009A666A" w:rsidRPr="00BD3E57" w:rsidRDefault="00000000" w:rsidP="00170FE0">
      <w:pPr>
        <w:numPr>
          <w:ilvl w:val="1"/>
          <w:numId w:val="14"/>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Don Hoi Lot (Samut Songkhram):</w:t>
      </w:r>
      <w:r w:rsidRPr="00BD3E57">
        <w:rPr>
          <w:rFonts w:eastAsia="Google Sans Text"/>
          <w:color w:val="1F1F1F"/>
          <w:sz w:val="24"/>
          <w:szCs w:val="24"/>
        </w:rPr>
        <w:t xml:space="preserve"> Represents a Ramsar site with unique biodiversity values.</w:t>
      </w:r>
    </w:p>
    <w:p w14:paraId="38DD09C0" w14:textId="77777777" w:rsidR="009A666A" w:rsidRPr="00BD3E57" w:rsidRDefault="009A666A" w:rsidP="007B2406">
      <w:pPr>
        <w:pBdr>
          <w:top w:val="nil"/>
          <w:left w:val="nil"/>
          <w:bottom w:val="nil"/>
          <w:right w:val="nil"/>
          <w:between w:val="nil"/>
        </w:pBdr>
        <w:spacing w:before="240" w:line="275" w:lineRule="auto"/>
        <w:ind w:firstLine="426"/>
        <w:jc w:val="thaiDistribute"/>
        <w:rPr>
          <w:rFonts w:eastAsia="Google Sans Text"/>
          <w:color w:val="1F1F1F"/>
          <w:sz w:val="24"/>
          <w:szCs w:val="24"/>
        </w:rPr>
      </w:pPr>
    </w:p>
    <w:p w14:paraId="31C2B567" w14:textId="6777C63E" w:rsidR="009A666A" w:rsidRPr="00BD3E57" w:rsidRDefault="00000000" w:rsidP="00170FE0">
      <w:pPr>
        <w:pStyle w:val="Heading4"/>
        <w:spacing w:before="0" w:after="0" w:line="275" w:lineRule="auto"/>
        <w:ind w:firstLine="426"/>
        <w:jc w:val="thaiDistribute"/>
        <w:rPr>
          <w:rFonts w:eastAsia="Google Sans"/>
          <w:color w:val="1F1F1F"/>
        </w:rPr>
      </w:pPr>
      <w:r w:rsidRPr="00BD3E57">
        <w:rPr>
          <w:rFonts w:eastAsia="Google Sans"/>
          <w:color w:val="1F1F1F"/>
        </w:rPr>
        <w:t>1.4.3 List of Indicators by Component (Comparative Assessment)</w:t>
      </w:r>
    </w:p>
    <w:p w14:paraId="15B5F102" w14:textId="77777777" w:rsidR="009A666A" w:rsidRPr="00BD3E57" w:rsidRDefault="00000000" w:rsidP="007B2406">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The selection of indicators reflects a paradigm shift from "Resource Exploitation" (2000) to "Ecosystem Health and Resilience" (2025).</w:t>
      </w:r>
    </w:p>
    <w:p w14:paraId="254AEB2F" w14:textId="77777777" w:rsidR="00170FE0" w:rsidRDefault="00170FE0" w:rsidP="00170FE0">
      <w:pPr>
        <w:pBdr>
          <w:top w:val="nil"/>
          <w:left w:val="nil"/>
          <w:bottom w:val="nil"/>
          <w:right w:val="nil"/>
          <w:between w:val="nil"/>
        </w:pBdr>
        <w:spacing w:line="275" w:lineRule="auto"/>
        <w:jc w:val="thaiDistribute"/>
        <w:rPr>
          <w:rFonts w:eastAsia="Google Sans Text"/>
          <w:b/>
          <w:bCs/>
          <w:color w:val="1F1F1F"/>
          <w:sz w:val="24"/>
          <w:szCs w:val="24"/>
        </w:rPr>
      </w:pPr>
    </w:p>
    <w:p w14:paraId="4F48D410" w14:textId="77777777" w:rsidR="00170FE0" w:rsidRDefault="00170FE0" w:rsidP="00170FE0">
      <w:pPr>
        <w:pBdr>
          <w:top w:val="nil"/>
          <w:left w:val="nil"/>
          <w:bottom w:val="nil"/>
          <w:right w:val="nil"/>
          <w:between w:val="nil"/>
        </w:pBdr>
        <w:spacing w:line="275" w:lineRule="auto"/>
        <w:jc w:val="thaiDistribute"/>
        <w:rPr>
          <w:rFonts w:eastAsia="Google Sans Text"/>
          <w:b/>
          <w:bCs/>
          <w:color w:val="1F1F1F"/>
          <w:sz w:val="24"/>
          <w:szCs w:val="24"/>
        </w:rPr>
      </w:pPr>
    </w:p>
    <w:p w14:paraId="632C75CE" w14:textId="77777777" w:rsidR="00170FE0" w:rsidRDefault="00170FE0" w:rsidP="00170FE0">
      <w:pPr>
        <w:pBdr>
          <w:top w:val="nil"/>
          <w:left w:val="nil"/>
          <w:bottom w:val="nil"/>
          <w:right w:val="nil"/>
          <w:between w:val="nil"/>
        </w:pBdr>
        <w:spacing w:line="275" w:lineRule="auto"/>
        <w:jc w:val="thaiDistribute"/>
        <w:rPr>
          <w:rFonts w:eastAsia="Google Sans Text"/>
          <w:b/>
          <w:bCs/>
          <w:color w:val="1F1F1F"/>
          <w:sz w:val="24"/>
          <w:szCs w:val="24"/>
        </w:rPr>
      </w:pPr>
    </w:p>
    <w:p w14:paraId="7FEBA33A" w14:textId="37FC3FE8" w:rsidR="009A666A" w:rsidRPr="00BD3E57" w:rsidRDefault="00000000" w:rsidP="00170FE0">
      <w:pPr>
        <w:pBdr>
          <w:top w:val="nil"/>
          <w:left w:val="nil"/>
          <w:bottom w:val="nil"/>
          <w:right w:val="nil"/>
          <w:between w:val="nil"/>
        </w:pBdr>
        <w:spacing w:line="275" w:lineRule="auto"/>
        <w:jc w:val="thaiDistribute"/>
        <w:rPr>
          <w:rFonts w:eastAsia="Google Sans Text"/>
          <w:b/>
          <w:bCs/>
          <w:color w:val="1F1F1F"/>
          <w:sz w:val="24"/>
          <w:szCs w:val="24"/>
        </w:rPr>
      </w:pPr>
      <w:r w:rsidRPr="00BD3E57">
        <w:rPr>
          <w:rFonts w:eastAsia="Google Sans Text"/>
          <w:b/>
          <w:bCs/>
          <w:color w:val="1F1F1F"/>
          <w:sz w:val="24"/>
          <w:szCs w:val="24"/>
        </w:rPr>
        <w:t>Table 1.2 Comparative List of Assessment Indicators (2000 vs. 2025)</w:t>
      </w:r>
    </w:p>
    <w:p w14:paraId="0DE1EF8B" w14:textId="77777777" w:rsidR="009A666A" w:rsidRPr="00BD3E57" w:rsidRDefault="009A666A" w:rsidP="007B2406">
      <w:pPr>
        <w:pBdr>
          <w:top w:val="nil"/>
          <w:left w:val="nil"/>
          <w:bottom w:val="nil"/>
          <w:right w:val="nil"/>
          <w:between w:val="nil"/>
        </w:pBdr>
        <w:spacing w:line="275" w:lineRule="auto"/>
        <w:ind w:firstLine="426"/>
        <w:jc w:val="thaiDistribute"/>
        <w:rPr>
          <w:rFonts w:eastAsia="Google Sans Text"/>
          <w:b/>
          <w:bCs/>
          <w:color w:val="1F1F1F"/>
          <w:sz w:val="24"/>
          <w:szCs w:val="24"/>
        </w:rPr>
      </w:pPr>
    </w:p>
    <w:tbl>
      <w:tblPr>
        <w:tblStyle w:val="a0"/>
        <w:tblW w:w="93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120"/>
        <w:gridCol w:w="3120"/>
        <w:gridCol w:w="3120"/>
      </w:tblGrid>
      <w:tr w:rsidR="009A666A" w:rsidRPr="00BD3E57" w14:paraId="18E8B4B7" w14:textId="77777777" w:rsidTr="00170FE0">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vAlign w:val="center"/>
          </w:tcPr>
          <w:p w14:paraId="2FAF6A8F" w14:textId="77777777" w:rsidR="009A666A" w:rsidRPr="00BD3E57" w:rsidRDefault="00000000" w:rsidP="00170FE0">
            <w:pPr>
              <w:pBdr>
                <w:top w:val="nil"/>
                <w:left w:val="nil"/>
                <w:bottom w:val="nil"/>
                <w:right w:val="nil"/>
                <w:between w:val="nil"/>
              </w:pBdr>
              <w:spacing w:line="275" w:lineRule="auto"/>
              <w:ind w:firstLine="426"/>
              <w:jc w:val="center"/>
              <w:rPr>
                <w:rFonts w:eastAsia="Google Sans Text"/>
                <w:b/>
                <w:bCs/>
                <w:color w:val="1F1F1F"/>
                <w:sz w:val="24"/>
                <w:szCs w:val="24"/>
              </w:rPr>
            </w:pPr>
            <w:r w:rsidRPr="00BD3E57">
              <w:rPr>
                <w:rFonts w:eastAsia="Google Sans Text"/>
                <w:b/>
                <w:bCs/>
                <w:color w:val="1F1F1F"/>
                <w:sz w:val="24"/>
                <w:szCs w:val="24"/>
              </w:rPr>
              <w:t>Component</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vAlign w:val="center"/>
          </w:tcPr>
          <w:p w14:paraId="7797B93A" w14:textId="77777777" w:rsidR="009A666A" w:rsidRPr="00BD3E57" w:rsidRDefault="00000000" w:rsidP="00170FE0">
            <w:pPr>
              <w:pBdr>
                <w:top w:val="nil"/>
                <w:left w:val="nil"/>
                <w:bottom w:val="nil"/>
                <w:right w:val="nil"/>
                <w:between w:val="nil"/>
              </w:pBdr>
              <w:spacing w:line="275" w:lineRule="auto"/>
              <w:ind w:firstLine="426"/>
              <w:jc w:val="center"/>
              <w:rPr>
                <w:rFonts w:eastAsia="Google Sans Text"/>
                <w:b/>
                <w:bCs/>
                <w:color w:val="1F1F1F"/>
                <w:sz w:val="24"/>
                <w:szCs w:val="24"/>
              </w:rPr>
            </w:pPr>
            <w:r w:rsidRPr="00BD3E57">
              <w:rPr>
                <w:rFonts w:eastAsia="Google Sans Text"/>
                <w:b/>
                <w:bCs/>
                <w:color w:val="1F1F1F"/>
                <w:sz w:val="24"/>
                <w:szCs w:val="24"/>
              </w:rPr>
              <w:t>Year 2000 Indicators (Resource Focus)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vAlign w:val="center"/>
          </w:tcPr>
          <w:p w14:paraId="12A9D8A4" w14:textId="77777777" w:rsidR="009A666A" w:rsidRPr="00A97974" w:rsidRDefault="00000000" w:rsidP="00170FE0">
            <w:pPr>
              <w:pBdr>
                <w:top w:val="nil"/>
                <w:left w:val="nil"/>
                <w:bottom w:val="nil"/>
                <w:right w:val="nil"/>
                <w:between w:val="nil"/>
              </w:pBdr>
              <w:spacing w:line="275" w:lineRule="auto"/>
              <w:ind w:firstLine="426"/>
              <w:jc w:val="center"/>
              <w:rPr>
                <w:rFonts w:eastAsia="Google Sans Text" w:cstheme="minorBidi"/>
                <w:b/>
                <w:bCs/>
                <w:color w:val="1F1F1F"/>
                <w:sz w:val="24"/>
                <w:szCs w:val="24"/>
                <w:lang w:val="en-US"/>
              </w:rPr>
            </w:pPr>
            <w:commentRangeStart w:id="2"/>
            <w:r w:rsidRPr="00BD3E57">
              <w:rPr>
                <w:rFonts w:eastAsia="Google Sans Text"/>
                <w:b/>
                <w:bCs/>
                <w:color w:val="1F1F1F"/>
                <w:sz w:val="24"/>
                <w:szCs w:val="24"/>
              </w:rPr>
              <w:t>Year 2025 Indicators (Resilience Focus)</w:t>
            </w:r>
            <w:commentRangeEnd w:id="2"/>
            <w:r w:rsidR="00D77906">
              <w:rPr>
                <w:rStyle w:val="CommentReference"/>
                <w:rFonts w:cs="Cordia New"/>
              </w:rPr>
              <w:commentReference w:id="2"/>
            </w:r>
          </w:p>
        </w:tc>
      </w:tr>
      <w:tr w:rsidR="009A666A" w:rsidRPr="00BD3E57" w14:paraId="4E661277" w14:textId="77777777" w:rsidTr="00170FE0">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2699F9B" w14:textId="77777777" w:rsidR="009A666A" w:rsidRPr="00BD3E57" w:rsidRDefault="00000000" w:rsidP="00170FE0">
            <w:pPr>
              <w:pBdr>
                <w:top w:val="nil"/>
                <w:left w:val="nil"/>
                <w:bottom w:val="nil"/>
                <w:right w:val="nil"/>
                <w:between w:val="nil"/>
              </w:pBdr>
              <w:spacing w:line="275" w:lineRule="auto"/>
              <w:rPr>
                <w:rFonts w:eastAsia="Google Sans Text"/>
                <w:b/>
                <w:bCs/>
                <w:color w:val="1F1F1F"/>
                <w:sz w:val="24"/>
                <w:szCs w:val="24"/>
              </w:rPr>
            </w:pPr>
            <w:r w:rsidRPr="00BD3E57">
              <w:rPr>
                <w:rFonts w:eastAsia="Google Sans Text"/>
                <w:b/>
                <w:bCs/>
                <w:color w:val="1F1F1F"/>
                <w:sz w:val="24"/>
                <w:szCs w:val="24"/>
              </w:rPr>
              <w:t>Fisheries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91CCFF5"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Total Catch Volume (Tonnes)</w:t>
            </w:r>
          </w:p>
          <w:p w14:paraId="0162AAE5"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4142D235"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Number of Vessels</w:t>
            </w:r>
          </w:p>
          <w:p w14:paraId="3B870BE1"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46DF86C3"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CPUE (kg/hr)</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841C062"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Catch Composition:</w:t>
            </w:r>
            <w:r w:rsidRPr="00BD3E57">
              <w:rPr>
                <w:rFonts w:eastAsia="Google Sans Text"/>
                <w:color w:val="1F1F1F"/>
                <w:sz w:val="24"/>
                <w:szCs w:val="24"/>
              </w:rPr>
              <w:t xml:space="preserve"> Ratio of "Trash Fish" vs. Commercial Species</w:t>
            </w:r>
          </w:p>
          <w:p w14:paraId="5D7E2566"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4B6DA3EE"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Effort Control:</w:t>
            </w:r>
            <w:r w:rsidRPr="00BD3E57">
              <w:rPr>
                <w:rFonts w:eastAsia="Google Sans Text"/>
                <w:color w:val="1F1F1F"/>
                <w:sz w:val="24"/>
                <w:szCs w:val="24"/>
              </w:rPr>
              <w:t xml:space="preserve"> "Fishing Days" per vessel class</w:t>
            </w:r>
          </w:p>
          <w:p w14:paraId="4836AE30"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74C54146"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Stock Health:</w:t>
            </w:r>
            <w:r w:rsidRPr="00BD3E57">
              <w:rPr>
                <w:rFonts w:eastAsia="Google Sans Text"/>
                <w:color w:val="1F1F1F"/>
                <w:sz w:val="24"/>
                <w:szCs w:val="24"/>
              </w:rPr>
              <w:t xml:space="preserve"> Spawning Stock Biomass (SSB) trends</w:t>
            </w:r>
          </w:p>
        </w:tc>
      </w:tr>
      <w:tr w:rsidR="009A666A" w:rsidRPr="00BD3E57" w14:paraId="16BBEC84" w14:textId="77777777" w:rsidTr="00170FE0">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CDF389F" w14:textId="77777777" w:rsidR="009A666A" w:rsidRPr="00BD3E57" w:rsidRDefault="00000000" w:rsidP="00170FE0">
            <w:pPr>
              <w:pBdr>
                <w:top w:val="nil"/>
                <w:left w:val="nil"/>
                <w:bottom w:val="nil"/>
                <w:right w:val="nil"/>
                <w:between w:val="nil"/>
              </w:pBdr>
              <w:spacing w:line="275" w:lineRule="auto"/>
              <w:rPr>
                <w:rFonts w:eastAsia="Google Sans Text"/>
                <w:b/>
                <w:bCs/>
                <w:color w:val="1F1F1F"/>
                <w:sz w:val="24"/>
                <w:szCs w:val="24"/>
              </w:rPr>
            </w:pPr>
            <w:r w:rsidRPr="00BD3E57">
              <w:rPr>
                <w:rFonts w:eastAsia="Google Sans Text"/>
                <w:b/>
                <w:bCs/>
                <w:color w:val="1F1F1F"/>
                <w:sz w:val="24"/>
                <w:szCs w:val="24"/>
              </w:rPr>
              <w:t>Mangroves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A8BF9FC"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Total Forest Area (ha)</w:t>
            </w:r>
          </w:p>
          <w:p w14:paraId="47022AAA"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392B87BC"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Rate of Deforestation</w:t>
            </w:r>
          </w:p>
          <w:p w14:paraId="5603182E"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4FC3713B"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Charcoal/Timber Production</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7DBBA14"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Blue Carbon Stock:</w:t>
            </w:r>
            <w:r w:rsidRPr="00BD3E57">
              <w:rPr>
                <w:rFonts w:eastAsia="Google Sans Text"/>
                <w:color w:val="1F1F1F"/>
                <w:sz w:val="24"/>
                <w:szCs w:val="24"/>
              </w:rPr>
              <w:t xml:space="preserve"> Soil Organic Carbon (tonnes C/ha)</w:t>
            </w:r>
          </w:p>
          <w:p w14:paraId="637E5C58"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01A975F6"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Biodiversity:</w:t>
            </w:r>
            <w:r w:rsidRPr="00BD3E57">
              <w:rPr>
                <w:rFonts w:eastAsia="Google Sans Text"/>
                <w:color w:val="1F1F1F"/>
                <w:sz w:val="24"/>
                <w:szCs w:val="24"/>
              </w:rPr>
              <w:t xml:space="preserve"> Species Diversity Indices (Shannon-Wiener)</w:t>
            </w:r>
          </w:p>
          <w:p w14:paraId="5D1F179C"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0CD9B330"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Regeneration:</w:t>
            </w:r>
            <w:r w:rsidRPr="00BD3E57">
              <w:rPr>
                <w:rFonts w:eastAsia="Google Sans Text"/>
                <w:color w:val="1F1F1F"/>
                <w:sz w:val="24"/>
                <w:szCs w:val="24"/>
              </w:rPr>
              <w:t xml:space="preserve"> Seedling density and restoration success rate</w:t>
            </w:r>
          </w:p>
        </w:tc>
      </w:tr>
      <w:tr w:rsidR="009A666A" w:rsidRPr="00BD3E57" w14:paraId="14C68DD4" w14:textId="77777777" w:rsidTr="00170FE0">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26D40A5" w14:textId="77777777" w:rsidR="009A666A" w:rsidRPr="00BD3E57" w:rsidRDefault="00000000" w:rsidP="00170FE0">
            <w:pPr>
              <w:pBdr>
                <w:top w:val="nil"/>
                <w:left w:val="nil"/>
                <w:bottom w:val="nil"/>
                <w:right w:val="nil"/>
                <w:between w:val="nil"/>
              </w:pBdr>
              <w:spacing w:line="275" w:lineRule="auto"/>
              <w:rPr>
                <w:rFonts w:eastAsia="Google Sans Text"/>
                <w:b/>
                <w:bCs/>
                <w:color w:val="1F1F1F"/>
                <w:sz w:val="24"/>
                <w:szCs w:val="24"/>
              </w:rPr>
            </w:pPr>
            <w:r w:rsidRPr="00BD3E57">
              <w:rPr>
                <w:rFonts w:eastAsia="Google Sans Text"/>
                <w:b/>
                <w:bCs/>
                <w:color w:val="1F1F1F"/>
                <w:sz w:val="24"/>
                <w:szCs w:val="24"/>
              </w:rPr>
              <w:t>Coral Reefs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455D8B9"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Percentage of Dead Coral</w:t>
            </w:r>
          </w:p>
          <w:p w14:paraId="1C6828CC"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62F1C9B0"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Physical Damage (Dynamite/Anchors)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0D34BE3"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Live Coral Cover (%)</w:t>
            </w:r>
            <w:r w:rsidRPr="00BD3E57">
              <w:rPr>
                <w:rFonts w:eastAsia="Google Sans Text"/>
                <w:color w:val="1F1F1F"/>
                <w:sz w:val="24"/>
                <w:szCs w:val="24"/>
              </w:rPr>
              <w:t xml:space="preserve"> stratified by depth</w:t>
            </w:r>
          </w:p>
          <w:p w14:paraId="75133354"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7CA5250F"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Resilience:</w:t>
            </w:r>
            <w:r w:rsidRPr="00BD3E57">
              <w:rPr>
                <w:rFonts w:eastAsia="Google Sans Text"/>
                <w:color w:val="1F1F1F"/>
                <w:sz w:val="24"/>
                <w:szCs w:val="24"/>
              </w:rPr>
              <w:t xml:space="preserve"> Dominance of stress-tolerant forms (</w:t>
            </w:r>
            <w:r w:rsidRPr="00BD3E57">
              <w:rPr>
                <w:rFonts w:eastAsia="Google Sans Text"/>
                <w:i/>
                <w:iCs/>
                <w:color w:val="1F1F1F"/>
                <w:sz w:val="24"/>
                <w:szCs w:val="24"/>
              </w:rPr>
              <w:t>Porites</w:t>
            </w:r>
            <w:r w:rsidRPr="00BD3E57">
              <w:rPr>
                <w:rFonts w:eastAsia="Google Sans Text"/>
                <w:color w:val="1F1F1F"/>
                <w:sz w:val="24"/>
                <w:szCs w:val="24"/>
              </w:rPr>
              <w:t xml:space="preserve"> spp.)</w:t>
            </w:r>
          </w:p>
          <w:p w14:paraId="668BA0EA"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15A92393"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Bleaching Response:</w:t>
            </w:r>
            <w:r w:rsidRPr="00BD3E57">
              <w:rPr>
                <w:rFonts w:eastAsia="Google Sans Text"/>
                <w:color w:val="1F1F1F"/>
                <w:sz w:val="24"/>
                <w:szCs w:val="24"/>
              </w:rPr>
              <w:t xml:space="preserve"> Severity and recovery rates</w:t>
            </w:r>
          </w:p>
        </w:tc>
      </w:tr>
      <w:tr w:rsidR="009A666A" w:rsidRPr="00BD3E57" w14:paraId="17ACA021" w14:textId="77777777" w:rsidTr="00170FE0">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03BC62D" w14:textId="77777777" w:rsidR="009A666A" w:rsidRPr="00BD3E57" w:rsidRDefault="00000000" w:rsidP="00170FE0">
            <w:pPr>
              <w:pBdr>
                <w:top w:val="nil"/>
                <w:left w:val="nil"/>
                <w:bottom w:val="nil"/>
                <w:right w:val="nil"/>
                <w:between w:val="nil"/>
              </w:pBdr>
              <w:spacing w:line="275" w:lineRule="auto"/>
              <w:rPr>
                <w:rFonts w:eastAsia="Google Sans Text"/>
                <w:b/>
                <w:bCs/>
                <w:color w:val="1F1F1F"/>
                <w:sz w:val="24"/>
                <w:szCs w:val="24"/>
              </w:rPr>
            </w:pPr>
            <w:r w:rsidRPr="00BD3E57">
              <w:rPr>
                <w:rFonts w:eastAsia="Google Sans Text"/>
                <w:b/>
                <w:bCs/>
                <w:color w:val="1F1F1F"/>
                <w:sz w:val="24"/>
                <w:szCs w:val="24"/>
              </w:rPr>
              <w:lastRenderedPageBreak/>
              <w:t>Pollution</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02E5CC1"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BOD/COD Loads</w:t>
            </w:r>
          </w:p>
          <w:p w14:paraId="7DA918A0"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5B229B06"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Coliform Bacteria counts</w:t>
            </w:r>
          </w:p>
          <w:p w14:paraId="59A21A68"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3ADBF0D5"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Heavy Metals (Mercury/Lead)</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2B2E82F"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Nutrient Flux:</w:t>
            </w:r>
            <w:r w:rsidRPr="00BD3E57">
              <w:rPr>
                <w:rFonts w:eastAsia="Google Sans Text"/>
                <w:color w:val="1F1F1F"/>
                <w:sz w:val="24"/>
                <w:szCs w:val="24"/>
              </w:rPr>
              <w:t xml:space="preserve"> Nitrogen/Phosphorus loading estimates</w:t>
            </w:r>
          </w:p>
          <w:p w14:paraId="44820D85"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4C4D74DE"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Marine Debris:</w:t>
            </w:r>
            <w:r w:rsidRPr="00BD3E57">
              <w:rPr>
                <w:rFonts w:eastAsia="Google Sans Text"/>
                <w:color w:val="1F1F1F"/>
                <w:sz w:val="24"/>
                <w:szCs w:val="24"/>
              </w:rPr>
              <w:t xml:space="preserve"> Microplastic density (particles/m³) and composition</w:t>
            </w:r>
          </w:p>
          <w:p w14:paraId="52894269"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76C5A735"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xml:space="preserve">- </w:t>
            </w:r>
            <w:r w:rsidRPr="00BD3E57">
              <w:rPr>
                <w:rFonts w:eastAsia="Google Sans Text"/>
                <w:b/>
                <w:bCs/>
                <w:color w:val="1F1F1F"/>
                <w:sz w:val="24"/>
                <w:szCs w:val="24"/>
              </w:rPr>
              <w:t>Eutrophication Potential:</w:t>
            </w:r>
            <w:r w:rsidRPr="00BD3E57">
              <w:rPr>
                <w:rFonts w:eastAsia="Google Sans Text"/>
                <w:color w:val="1F1F1F"/>
                <w:sz w:val="24"/>
                <w:szCs w:val="24"/>
              </w:rPr>
              <w:t xml:space="preserve"> Frequency of Red Tides/Algal Blooms</w:t>
            </w:r>
          </w:p>
        </w:tc>
      </w:tr>
      <w:tr w:rsidR="009A666A" w:rsidRPr="00BD3E57" w14:paraId="729F9F7B" w14:textId="77777777" w:rsidTr="00170FE0">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487DFD6" w14:textId="77777777" w:rsidR="009A666A" w:rsidRPr="00BD3E57" w:rsidRDefault="00000000" w:rsidP="00170FE0">
            <w:pPr>
              <w:pBdr>
                <w:top w:val="nil"/>
                <w:left w:val="nil"/>
                <w:bottom w:val="nil"/>
                <w:right w:val="nil"/>
                <w:between w:val="nil"/>
              </w:pBdr>
              <w:spacing w:line="275" w:lineRule="auto"/>
              <w:rPr>
                <w:rFonts w:eastAsia="Google Sans Text"/>
                <w:b/>
                <w:bCs/>
                <w:color w:val="1F1F1F"/>
                <w:sz w:val="24"/>
                <w:szCs w:val="24"/>
              </w:rPr>
            </w:pPr>
            <w:r w:rsidRPr="00BD3E57">
              <w:rPr>
                <w:rFonts w:eastAsia="Google Sans Text"/>
                <w:b/>
                <w:bCs/>
                <w:color w:val="1F1F1F"/>
                <w:sz w:val="24"/>
                <w:szCs w:val="24"/>
              </w:rPr>
              <w:t>Socio-Economics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BA30A60"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Fishery Income</w:t>
            </w:r>
          </w:p>
          <w:p w14:paraId="38D20BD2" w14:textId="77777777" w:rsidR="009A666A" w:rsidRPr="00BD3E57" w:rsidRDefault="009A666A" w:rsidP="00170FE0">
            <w:pPr>
              <w:pBdr>
                <w:top w:val="nil"/>
                <w:left w:val="nil"/>
                <w:bottom w:val="nil"/>
                <w:right w:val="nil"/>
                <w:between w:val="nil"/>
              </w:pBdr>
              <w:spacing w:line="275" w:lineRule="auto"/>
              <w:ind w:firstLine="426"/>
              <w:rPr>
                <w:rFonts w:eastAsia="Google Sans Text"/>
                <w:color w:val="1F1F1F"/>
                <w:sz w:val="24"/>
                <w:szCs w:val="24"/>
              </w:rPr>
            </w:pPr>
          </w:p>
          <w:p w14:paraId="6D1C565F" w14:textId="77777777" w:rsidR="009A666A" w:rsidRPr="00BD3E57" w:rsidRDefault="00000000" w:rsidP="00170FE0">
            <w:pPr>
              <w:pBdr>
                <w:top w:val="nil"/>
                <w:left w:val="nil"/>
                <w:bottom w:val="nil"/>
                <w:right w:val="nil"/>
                <w:between w:val="nil"/>
              </w:pBdr>
              <w:spacing w:line="275" w:lineRule="auto"/>
              <w:rPr>
                <w:rFonts w:eastAsia="Google Sans Text"/>
                <w:color w:val="1F1F1F"/>
                <w:sz w:val="24"/>
                <w:szCs w:val="24"/>
              </w:rPr>
            </w:pPr>
            <w:r w:rsidRPr="00BD3E57">
              <w:rPr>
                <w:rFonts w:eastAsia="Google Sans Text"/>
                <w:color w:val="1F1F1F"/>
                <w:sz w:val="24"/>
                <w:szCs w:val="24"/>
              </w:rPr>
              <w:t>- Water Use Demand</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3B724BE" w14:textId="1A21B7D8" w:rsidR="00046003" w:rsidRDefault="00000000" w:rsidP="00170FE0">
            <w:pPr>
              <w:pBdr>
                <w:top w:val="nil"/>
                <w:left w:val="nil"/>
                <w:bottom w:val="nil"/>
                <w:right w:val="nil"/>
                <w:between w:val="nil"/>
              </w:pBdr>
              <w:spacing w:line="275" w:lineRule="auto"/>
              <w:rPr>
                <w:rFonts w:eastAsia="Google Sans Text" w:cs="Browallia New"/>
                <w:color w:val="1F1F1F"/>
                <w:sz w:val="24"/>
                <w:szCs w:val="30"/>
                <w:lang w:val="en-US"/>
              </w:rPr>
            </w:pPr>
            <w:r w:rsidRPr="00BD3E57">
              <w:rPr>
                <w:rFonts w:eastAsia="Google Sans Text"/>
                <w:color w:val="1F1F1F"/>
                <w:sz w:val="24"/>
                <w:szCs w:val="24"/>
              </w:rPr>
              <w:t xml:space="preserve">- </w:t>
            </w:r>
            <w:commentRangeStart w:id="3"/>
            <w:r w:rsidR="00046003">
              <w:rPr>
                <w:rFonts w:eastAsia="Google Sans Text" w:cs="Browallia New"/>
                <w:color w:val="1F1F1F"/>
                <w:sz w:val="24"/>
                <w:szCs w:val="30"/>
                <w:lang w:val="en-US"/>
              </w:rPr>
              <w:t>Demographics: Coastal population, population density</w:t>
            </w:r>
          </w:p>
          <w:p w14:paraId="4FFA896C" w14:textId="68F50187" w:rsidR="00046003" w:rsidRDefault="00046003" w:rsidP="00170FE0">
            <w:pPr>
              <w:pBdr>
                <w:top w:val="nil"/>
                <w:left w:val="nil"/>
                <w:bottom w:val="nil"/>
                <w:right w:val="nil"/>
                <w:between w:val="nil"/>
              </w:pBdr>
              <w:spacing w:line="275" w:lineRule="auto"/>
              <w:rPr>
                <w:rFonts w:eastAsia="Google Sans Text" w:cs="Browallia New"/>
                <w:color w:val="1F1F1F"/>
                <w:sz w:val="24"/>
                <w:szCs w:val="30"/>
                <w:lang w:val="en-US"/>
              </w:rPr>
            </w:pPr>
            <w:r>
              <w:rPr>
                <w:rFonts w:eastAsia="Google Sans Text" w:cs="Browallia New"/>
                <w:color w:val="1F1F1F"/>
                <w:sz w:val="24"/>
                <w:szCs w:val="30"/>
                <w:lang w:val="en-US"/>
              </w:rPr>
              <w:t>- Human wellbeing: Coastal poor, HDI</w:t>
            </w:r>
          </w:p>
          <w:p w14:paraId="7214A9AC" w14:textId="3F1BB1A2" w:rsidR="00046003" w:rsidRDefault="00046003" w:rsidP="00170FE0">
            <w:pPr>
              <w:pBdr>
                <w:top w:val="nil"/>
                <w:left w:val="nil"/>
                <w:bottom w:val="nil"/>
                <w:right w:val="nil"/>
                <w:between w:val="nil"/>
              </w:pBdr>
              <w:spacing w:line="275" w:lineRule="auto"/>
              <w:rPr>
                <w:rFonts w:eastAsia="Google Sans Text" w:cs="Browallia New"/>
                <w:color w:val="1F1F1F"/>
                <w:sz w:val="24"/>
                <w:szCs w:val="30"/>
                <w:lang w:val="en-US"/>
              </w:rPr>
            </w:pPr>
            <w:r>
              <w:rPr>
                <w:rFonts w:eastAsia="Google Sans Text" w:cs="Browallia New"/>
                <w:color w:val="1F1F1F"/>
                <w:sz w:val="24"/>
                <w:szCs w:val="30"/>
                <w:lang w:val="en-US"/>
              </w:rPr>
              <w:t>- Economic activities: GDP, fisheries contribution to GDP</w:t>
            </w:r>
          </w:p>
          <w:p w14:paraId="3F989920" w14:textId="28E11500" w:rsidR="00046003" w:rsidRDefault="00046003" w:rsidP="00170FE0">
            <w:pPr>
              <w:pBdr>
                <w:top w:val="nil"/>
                <w:left w:val="nil"/>
                <w:bottom w:val="nil"/>
                <w:right w:val="nil"/>
                <w:between w:val="nil"/>
              </w:pBdr>
              <w:spacing w:line="275" w:lineRule="auto"/>
              <w:rPr>
                <w:rFonts w:eastAsia="Google Sans Text" w:cs="Browallia New"/>
                <w:color w:val="1F1F1F"/>
                <w:sz w:val="24"/>
                <w:szCs w:val="30"/>
                <w:lang w:val="en-US"/>
              </w:rPr>
            </w:pPr>
            <w:r>
              <w:rPr>
                <w:rFonts w:eastAsia="Google Sans Text" w:cs="Browallia New"/>
                <w:color w:val="1F1F1F"/>
                <w:sz w:val="24"/>
                <w:szCs w:val="30"/>
                <w:lang w:val="en-US"/>
              </w:rPr>
              <w:t>- Climate related threats: Number of tropical cyclones per year, total damage</w:t>
            </w:r>
            <w:r w:rsidR="002B07DD">
              <w:rPr>
                <w:rFonts w:eastAsia="Google Sans Text" w:cs="Browallia New"/>
                <w:color w:val="1F1F1F"/>
                <w:sz w:val="24"/>
                <w:szCs w:val="30"/>
                <w:lang w:val="en-US"/>
              </w:rPr>
              <w:t xml:space="preserve"> due to tropical cyclones</w:t>
            </w:r>
            <w:commentRangeEnd w:id="3"/>
            <w:r w:rsidR="00D77906">
              <w:rPr>
                <w:rStyle w:val="CommentReference"/>
                <w:rFonts w:cs="Cordia New"/>
              </w:rPr>
              <w:commentReference w:id="3"/>
            </w:r>
          </w:p>
          <w:p w14:paraId="6BD201E5" w14:textId="15CBDE31" w:rsidR="009A666A" w:rsidRPr="00BD3E57" w:rsidRDefault="009A666A" w:rsidP="00170FE0">
            <w:pPr>
              <w:pBdr>
                <w:top w:val="nil"/>
                <w:left w:val="nil"/>
                <w:bottom w:val="nil"/>
                <w:right w:val="nil"/>
                <w:between w:val="nil"/>
              </w:pBdr>
              <w:spacing w:line="275" w:lineRule="auto"/>
              <w:rPr>
                <w:rFonts w:eastAsia="Google Sans Text"/>
                <w:color w:val="1F1F1F"/>
                <w:sz w:val="24"/>
                <w:szCs w:val="24"/>
              </w:rPr>
            </w:pPr>
          </w:p>
        </w:tc>
      </w:tr>
    </w:tbl>
    <w:p w14:paraId="70B62419" w14:textId="77777777" w:rsidR="009A666A" w:rsidRDefault="009A666A" w:rsidP="007B2406">
      <w:pPr>
        <w:pBdr>
          <w:top w:val="nil"/>
          <w:left w:val="nil"/>
          <w:bottom w:val="nil"/>
          <w:right w:val="nil"/>
          <w:between w:val="nil"/>
        </w:pBdr>
        <w:spacing w:line="275" w:lineRule="auto"/>
        <w:ind w:firstLine="426"/>
        <w:jc w:val="thaiDistribute"/>
        <w:rPr>
          <w:rFonts w:eastAsia="Google Sans Text"/>
          <w:color w:val="1F1F1F"/>
          <w:sz w:val="24"/>
          <w:szCs w:val="24"/>
          <w:lang w:val="en-US"/>
        </w:rPr>
      </w:pPr>
    </w:p>
    <w:p w14:paraId="548235C7" w14:textId="77777777" w:rsidR="005B745A" w:rsidRPr="00A97974" w:rsidRDefault="005B745A" w:rsidP="007B2406">
      <w:pPr>
        <w:pBdr>
          <w:top w:val="nil"/>
          <w:left w:val="nil"/>
          <w:bottom w:val="nil"/>
          <w:right w:val="nil"/>
          <w:between w:val="nil"/>
        </w:pBdr>
        <w:spacing w:line="275" w:lineRule="auto"/>
        <w:ind w:firstLine="426"/>
        <w:jc w:val="thaiDistribute"/>
        <w:rPr>
          <w:rFonts w:eastAsia="Google Sans Text" w:cstheme="minorBidi"/>
          <w:color w:val="1F1F1F"/>
          <w:sz w:val="24"/>
          <w:szCs w:val="24"/>
          <w:lang w:val="en-US"/>
        </w:rPr>
      </w:pPr>
    </w:p>
    <w:p w14:paraId="4FB80B38" w14:textId="77777777" w:rsidR="00170FE0" w:rsidRDefault="00170FE0" w:rsidP="00170FE0">
      <w:pPr>
        <w:pStyle w:val="Heading4"/>
        <w:spacing w:before="0" w:after="0" w:line="275" w:lineRule="auto"/>
        <w:ind w:firstLine="426"/>
        <w:jc w:val="thaiDistribute"/>
        <w:rPr>
          <w:rFonts w:eastAsia="Google Sans"/>
          <w:color w:val="1F1F1F"/>
        </w:rPr>
      </w:pPr>
    </w:p>
    <w:p w14:paraId="3C7A132B" w14:textId="5ACEEF1D" w:rsidR="009A666A" w:rsidRPr="00A97974" w:rsidRDefault="00000000" w:rsidP="00170FE0">
      <w:pPr>
        <w:pStyle w:val="Heading4"/>
        <w:spacing w:before="0" w:after="0" w:line="275" w:lineRule="auto"/>
        <w:ind w:firstLine="426"/>
        <w:jc w:val="thaiDistribute"/>
        <w:rPr>
          <w:rFonts w:eastAsia="Google Sans" w:cstheme="minorBidi"/>
          <w:color w:val="1F1F1F"/>
          <w:lang w:val="en-US"/>
        </w:rPr>
      </w:pPr>
      <w:commentRangeStart w:id="4"/>
      <w:r w:rsidRPr="00BD3E57">
        <w:rPr>
          <w:rFonts w:eastAsia="Google Sans"/>
          <w:color w:val="1F1F1F"/>
        </w:rPr>
        <w:t>1.4.4 Assessing Risks to Ecosystems, People, and Livelihoods</w:t>
      </w:r>
      <w:commentRangeEnd w:id="4"/>
      <w:r w:rsidR="00D77906">
        <w:rPr>
          <w:rStyle w:val="CommentReference"/>
          <w:rFonts w:cs="Cordia New"/>
          <w:b w:val="0"/>
          <w:bCs w:val="0"/>
        </w:rPr>
        <w:commentReference w:id="4"/>
      </w:r>
    </w:p>
    <w:p w14:paraId="323E317D" w14:textId="77777777" w:rsidR="009A666A" w:rsidRDefault="00000000" w:rsidP="007B2406">
      <w:pPr>
        <w:pBdr>
          <w:top w:val="nil"/>
          <w:left w:val="nil"/>
          <w:bottom w:val="nil"/>
          <w:right w:val="nil"/>
          <w:between w:val="nil"/>
        </w:pBdr>
        <w:spacing w:line="275" w:lineRule="auto"/>
        <w:ind w:firstLine="426"/>
        <w:jc w:val="thaiDistribute"/>
        <w:rPr>
          <w:rFonts w:eastAsia="Google Sans Text"/>
          <w:color w:val="1F1F1F"/>
          <w:sz w:val="24"/>
          <w:szCs w:val="24"/>
        </w:rPr>
      </w:pPr>
      <w:r w:rsidRPr="00BD3E57">
        <w:rPr>
          <w:rFonts w:eastAsia="Google Sans Text"/>
          <w:color w:val="1F1F1F"/>
          <w:sz w:val="24"/>
          <w:szCs w:val="24"/>
        </w:rPr>
        <w:t xml:space="preserve">The synthesis of these indicators reveals a landscape of compounded risks. The assessment determines risk levels by overlaying </w:t>
      </w:r>
      <w:r w:rsidRPr="00BD3E57">
        <w:rPr>
          <w:rFonts w:eastAsia="Google Sans Text"/>
          <w:b/>
          <w:bCs/>
          <w:color w:val="1F1F1F"/>
          <w:sz w:val="24"/>
          <w:szCs w:val="24"/>
        </w:rPr>
        <w:t>Hazard Exposure</w:t>
      </w:r>
      <w:r w:rsidRPr="00BD3E57">
        <w:rPr>
          <w:rFonts w:eastAsia="Google Sans Text"/>
          <w:color w:val="1F1F1F"/>
          <w:sz w:val="24"/>
          <w:szCs w:val="24"/>
        </w:rPr>
        <w:t xml:space="preserve"> (Pollution/Climate) with </w:t>
      </w:r>
      <w:r w:rsidRPr="00BD3E57">
        <w:rPr>
          <w:rFonts w:eastAsia="Google Sans Text"/>
          <w:b/>
          <w:bCs/>
          <w:color w:val="1F1F1F"/>
          <w:sz w:val="24"/>
          <w:szCs w:val="24"/>
        </w:rPr>
        <w:t>Vulnerability</w:t>
      </w:r>
      <w:r w:rsidRPr="00BD3E57">
        <w:rPr>
          <w:rFonts w:eastAsia="Google Sans Text"/>
          <w:color w:val="1F1F1F"/>
          <w:sz w:val="24"/>
          <w:szCs w:val="24"/>
        </w:rPr>
        <w:t xml:space="preserve"> (Ecosystem Sensitivity/Social Adaptive Capacity).</w:t>
      </w:r>
    </w:p>
    <w:p w14:paraId="16D635F2" w14:textId="77777777" w:rsidR="00170FE0" w:rsidRPr="00BD3E57" w:rsidRDefault="00170FE0" w:rsidP="007B2406">
      <w:pPr>
        <w:pBdr>
          <w:top w:val="nil"/>
          <w:left w:val="nil"/>
          <w:bottom w:val="nil"/>
          <w:right w:val="nil"/>
          <w:between w:val="nil"/>
        </w:pBdr>
        <w:spacing w:line="275" w:lineRule="auto"/>
        <w:ind w:firstLine="426"/>
        <w:jc w:val="thaiDistribute"/>
        <w:rPr>
          <w:rFonts w:eastAsia="Google Sans Text"/>
          <w:color w:val="1F1F1F"/>
          <w:sz w:val="24"/>
          <w:szCs w:val="24"/>
        </w:rPr>
      </w:pPr>
    </w:p>
    <w:p w14:paraId="16FD4C39" w14:textId="6513D194" w:rsidR="009A666A" w:rsidRPr="00170FE0" w:rsidRDefault="00000000" w:rsidP="00170FE0">
      <w:pPr>
        <w:pStyle w:val="ListParagraph"/>
        <w:numPr>
          <w:ilvl w:val="0"/>
          <w:numId w:val="20"/>
        </w:numPr>
        <w:pBdr>
          <w:top w:val="nil"/>
          <w:left w:val="nil"/>
          <w:bottom w:val="nil"/>
          <w:right w:val="nil"/>
          <w:between w:val="nil"/>
        </w:pBdr>
        <w:spacing w:line="275" w:lineRule="auto"/>
        <w:jc w:val="thaiDistribute"/>
        <w:rPr>
          <w:rFonts w:eastAsia="Google Sans Text"/>
          <w:b/>
          <w:bCs/>
          <w:color w:val="1F1F1F"/>
          <w:sz w:val="24"/>
          <w:szCs w:val="24"/>
        </w:rPr>
      </w:pPr>
      <w:r w:rsidRPr="00170FE0">
        <w:rPr>
          <w:rFonts w:eastAsia="Google Sans Text"/>
          <w:b/>
          <w:bCs/>
          <w:color w:val="1F1F1F"/>
          <w:sz w:val="24"/>
          <w:szCs w:val="24"/>
        </w:rPr>
        <w:t>Ecosystem Risk:</w:t>
      </w:r>
    </w:p>
    <w:p w14:paraId="0E61E8F2" w14:textId="32E04C9F" w:rsidR="009A666A" w:rsidRPr="00BD3E57" w:rsidRDefault="00000000" w:rsidP="007B2406">
      <w:pPr>
        <w:numPr>
          <w:ilvl w:val="0"/>
          <w:numId w:val="15"/>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High Risk:</w:t>
      </w:r>
      <w:r w:rsidRPr="00BD3E57">
        <w:rPr>
          <w:rFonts w:eastAsia="Google Sans Text"/>
          <w:color w:val="1F1F1F"/>
          <w:sz w:val="24"/>
          <w:szCs w:val="24"/>
        </w:rPr>
        <w:t xml:space="preserve"> Nearshore reefs in the Upper Gulf (e.g., Koh Si Chang) and estuaries in Samut Prakan. These areas face a "double burden" of acute land-based pollution (hypoxia, sedimentation) and thermal stress from climate change. The dominance of stress-tolerant species indicates low resilience to future shocks.</w:t>
      </w:r>
    </w:p>
    <w:p w14:paraId="5D325544" w14:textId="61E84315" w:rsidR="009A666A" w:rsidRPr="00BD3E57" w:rsidRDefault="00000000" w:rsidP="007B2406">
      <w:pPr>
        <w:numPr>
          <w:ilvl w:val="0"/>
          <w:numId w:val="15"/>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lastRenderedPageBreak/>
        <w:t>Moderate Risk:</w:t>
      </w:r>
      <w:r w:rsidRPr="00BD3E57">
        <w:rPr>
          <w:rFonts w:eastAsia="Google Sans Text"/>
          <w:color w:val="1F1F1F"/>
          <w:sz w:val="24"/>
          <w:szCs w:val="24"/>
        </w:rPr>
        <w:t xml:space="preserve"> Mangrove systems in Bandon Bay. While carbon stocks are high, the conversion pressure from aquaculture remains a latent threat, moderated by active community restoration.</w:t>
      </w:r>
    </w:p>
    <w:p w14:paraId="6EFE0B3C" w14:textId="297694EF" w:rsidR="009A666A" w:rsidRPr="00170FE0" w:rsidRDefault="00000000" w:rsidP="00170FE0">
      <w:pPr>
        <w:pStyle w:val="ListParagraph"/>
        <w:numPr>
          <w:ilvl w:val="0"/>
          <w:numId w:val="20"/>
        </w:numPr>
        <w:pBdr>
          <w:top w:val="nil"/>
          <w:left w:val="nil"/>
          <w:bottom w:val="nil"/>
          <w:right w:val="nil"/>
          <w:between w:val="nil"/>
        </w:pBdr>
        <w:spacing w:before="240" w:line="275" w:lineRule="auto"/>
        <w:jc w:val="thaiDistribute"/>
        <w:rPr>
          <w:rFonts w:eastAsia="Google Sans Text"/>
          <w:b/>
          <w:bCs/>
          <w:color w:val="1F1F1F"/>
          <w:sz w:val="24"/>
          <w:szCs w:val="24"/>
        </w:rPr>
      </w:pPr>
      <w:r w:rsidRPr="00170FE0">
        <w:rPr>
          <w:rFonts w:eastAsia="Google Sans Text"/>
          <w:b/>
          <w:bCs/>
          <w:color w:val="1F1F1F"/>
          <w:sz w:val="24"/>
          <w:szCs w:val="24"/>
        </w:rPr>
        <w:t>Socio-Economic and Livelihood Risk:</w:t>
      </w:r>
    </w:p>
    <w:p w14:paraId="2301EE77" w14:textId="7F5961D0" w:rsidR="009A666A" w:rsidRPr="00BD3E57" w:rsidRDefault="00000000" w:rsidP="007B2406">
      <w:pPr>
        <w:numPr>
          <w:ilvl w:val="0"/>
          <w:numId w:val="16"/>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Climate-Poverty Nexus:</w:t>
      </w:r>
      <w:r w:rsidRPr="00BD3E57">
        <w:rPr>
          <w:rFonts w:eastAsia="Google Sans Text"/>
          <w:color w:val="1F1F1F"/>
          <w:sz w:val="24"/>
          <w:szCs w:val="24"/>
        </w:rPr>
        <w:t xml:space="preserve"> The Deep South (Pattani/Narathiwat) is identified as a high-risk zone. High poverty rates (up to 23%) combined with reliance on climate-sensitive small-scale fisheries create a "poverty trap" where resource degradation directly exacerbates social deprivation.</w:t>
      </w:r>
    </w:p>
    <w:p w14:paraId="1C2613D7" w14:textId="5D708A39" w:rsidR="009A666A" w:rsidRPr="00BD3E57" w:rsidRDefault="00000000" w:rsidP="007B2406">
      <w:pPr>
        <w:numPr>
          <w:ilvl w:val="0"/>
          <w:numId w:val="16"/>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Economic Exposure:</w:t>
      </w:r>
      <w:r w:rsidRPr="00BD3E57">
        <w:rPr>
          <w:rFonts w:eastAsia="Google Sans Text"/>
          <w:color w:val="1F1F1F"/>
          <w:sz w:val="24"/>
          <w:szCs w:val="24"/>
        </w:rPr>
        <w:t xml:space="preserve"> The Eastern Economic Corridor (Rayong/Chonburi) faces high </w:t>
      </w:r>
      <w:r w:rsidRPr="00BD3E57">
        <w:rPr>
          <w:rFonts w:eastAsia="Google Sans Text"/>
          <w:i/>
          <w:iCs/>
          <w:color w:val="1F1F1F"/>
          <w:sz w:val="24"/>
          <w:szCs w:val="24"/>
        </w:rPr>
        <w:t>financial</w:t>
      </w:r>
      <w:r w:rsidRPr="00BD3E57">
        <w:rPr>
          <w:rFonts w:eastAsia="Google Sans Text"/>
          <w:color w:val="1F1F1F"/>
          <w:sz w:val="24"/>
          <w:szCs w:val="24"/>
        </w:rPr>
        <w:t xml:space="preserve"> risk. While adaptive capacity is high due to wealth, the sheer value of assets exposed to sea-level rise and storm surges (infrastructure, ports, tourism real estate) poses a significant liability to the national economy</w:t>
      </w:r>
      <w:r w:rsidR="009E08D8">
        <w:rPr>
          <w:rFonts w:eastAsia="Google Sans Text"/>
          <w:color w:val="1F1F1F"/>
          <w:sz w:val="24"/>
          <w:szCs w:val="24"/>
        </w:rPr>
        <w:t>.</w:t>
      </w:r>
    </w:p>
    <w:p w14:paraId="7BD3D2F4" w14:textId="77777777" w:rsidR="009A666A" w:rsidRPr="00BD3E57" w:rsidRDefault="00000000" w:rsidP="007B2406">
      <w:pPr>
        <w:pBdr>
          <w:top w:val="nil"/>
          <w:left w:val="nil"/>
          <w:bottom w:val="nil"/>
          <w:right w:val="nil"/>
          <w:between w:val="nil"/>
        </w:pBdr>
        <w:spacing w:before="240" w:line="275" w:lineRule="auto"/>
        <w:ind w:firstLine="426"/>
        <w:jc w:val="thaiDistribute"/>
        <w:rPr>
          <w:rFonts w:eastAsia="Google Sans Text"/>
          <w:b/>
          <w:bCs/>
          <w:sz w:val="24"/>
          <w:szCs w:val="24"/>
        </w:rPr>
      </w:pPr>
      <w:r w:rsidRPr="00BD3E57">
        <w:rPr>
          <w:rFonts w:eastAsia="Google Sans Text"/>
          <w:b/>
          <w:bCs/>
          <w:sz w:val="24"/>
          <w:szCs w:val="24"/>
        </w:rPr>
        <w:t>3. Integrated Governance Implication:</w:t>
      </w:r>
    </w:p>
    <w:p w14:paraId="0850CF28" w14:textId="0B2DD5CE" w:rsidR="009A666A" w:rsidRPr="00BD3E57" w:rsidRDefault="00000000" w:rsidP="007B2406">
      <w:pPr>
        <w:pBdr>
          <w:top w:val="nil"/>
          <w:left w:val="nil"/>
          <w:bottom w:val="nil"/>
          <w:right w:val="nil"/>
          <w:between w:val="nil"/>
        </w:pBdr>
        <w:spacing w:line="275" w:lineRule="auto"/>
        <w:ind w:firstLine="426"/>
        <w:jc w:val="thaiDistribute"/>
        <w:rPr>
          <w:rFonts w:eastAsia="Google Sans Text"/>
          <w:sz w:val="24"/>
          <w:szCs w:val="24"/>
        </w:rPr>
      </w:pPr>
      <w:r w:rsidRPr="00BD3E57">
        <w:rPr>
          <w:rFonts w:eastAsia="Google Sans Text"/>
          <w:sz w:val="24"/>
          <w:szCs w:val="24"/>
        </w:rPr>
        <w:t>This risk stratification underscores the need for differentiated governance.</w:t>
      </w:r>
    </w:p>
    <w:p w14:paraId="1F27F665" w14:textId="77777777" w:rsidR="009A666A" w:rsidRPr="00BD3E57" w:rsidRDefault="00000000" w:rsidP="007B2406">
      <w:pPr>
        <w:numPr>
          <w:ilvl w:val="0"/>
          <w:numId w:val="17"/>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For High-Risk Ecosystems (Upper Gulf):</w:t>
      </w:r>
      <w:r w:rsidRPr="00BD3E57">
        <w:rPr>
          <w:rFonts w:eastAsia="Google Sans Text"/>
          <w:color w:val="1F1F1F"/>
          <w:sz w:val="24"/>
          <w:szCs w:val="24"/>
        </w:rPr>
        <w:t xml:space="preserve"> Immediate, stringent pollution control (TMDL enforcement) and strict zoning are required to prevent collapse.</w:t>
      </w:r>
    </w:p>
    <w:p w14:paraId="5B243165" w14:textId="77777777" w:rsidR="009A666A" w:rsidRPr="00BD3E57" w:rsidRDefault="00000000" w:rsidP="007B2406">
      <w:pPr>
        <w:numPr>
          <w:ilvl w:val="0"/>
          <w:numId w:val="17"/>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For High-Risk Livelihoods (Deep South):</w:t>
      </w:r>
      <w:r w:rsidRPr="00BD3E57">
        <w:rPr>
          <w:rFonts w:eastAsia="Google Sans Text"/>
          <w:color w:val="1F1F1F"/>
          <w:sz w:val="24"/>
          <w:szCs w:val="24"/>
        </w:rPr>
        <w:t xml:space="preserve"> Interventions must focus on social safety nets, livelihood diversification, and community-based resource management rather than top-down regulation alone.</w:t>
      </w:r>
    </w:p>
    <w:p w14:paraId="1687CC15" w14:textId="41739BD3" w:rsidR="009A666A" w:rsidRPr="00BD3E57" w:rsidRDefault="00000000" w:rsidP="007B2406">
      <w:pPr>
        <w:numPr>
          <w:ilvl w:val="0"/>
          <w:numId w:val="17"/>
        </w:numPr>
        <w:pBdr>
          <w:top w:val="nil"/>
          <w:left w:val="nil"/>
          <w:bottom w:val="nil"/>
          <w:right w:val="nil"/>
          <w:between w:val="nil"/>
        </w:pBdr>
        <w:spacing w:line="275" w:lineRule="auto"/>
        <w:ind w:left="0" w:firstLine="426"/>
        <w:jc w:val="thaiDistribute"/>
        <w:rPr>
          <w:sz w:val="24"/>
          <w:szCs w:val="24"/>
        </w:rPr>
      </w:pPr>
      <w:r w:rsidRPr="00BD3E57">
        <w:rPr>
          <w:rFonts w:eastAsia="Google Sans Text"/>
          <w:b/>
          <w:bCs/>
          <w:color w:val="1F1F1F"/>
          <w:sz w:val="24"/>
          <w:szCs w:val="24"/>
        </w:rPr>
        <w:t>For Climate Adaptation:</w:t>
      </w:r>
      <w:r w:rsidRPr="00BD3E57">
        <w:rPr>
          <w:rFonts w:eastAsia="Google Sans Text"/>
          <w:color w:val="1F1F1F"/>
          <w:sz w:val="24"/>
          <w:szCs w:val="24"/>
        </w:rPr>
        <w:t xml:space="preserve"> "Blue Carbon" financing mechanisms must be prioritized to fund the restoration of buffers (mangroves/seagrass) that protect both the wealthy industrial zones and vulnerable coastal communities.</w:t>
      </w:r>
    </w:p>
    <w:p w14:paraId="72ACF3AE" w14:textId="77777777" w:rsidR="009A666A" w:rsidRPr="00BD3E57" w:rsidRDefault="009A666A" w:rsidP="00BD3E57">
      <w:pPr>
        <w:pBdr>
          <w:top w:val="nil"/>
          <w:left w:val="nil"/>
          <w:bottom w:val="nil"/>
          <w:right w:val="nil"/>
          <w:between w:val="nil"/>
        </w:pBdr>
        <w:spacing w:before="240" w:line="275" w:lineRule="auto"/>
        <w:jc w:val="thaiDistribute"/>
        <w:rPr>
          <w:rFonts w:eastAsia="Google Sans Text"/>
          <w:color w:val="1F1F1F"/>
          <w:sz w:val="24"/>
          <w:szCs w:val="24"/>
        </w:rPr>
      </w:pPr>
    </w:p>
    <w:p w14:paraId="700D40EF" w14:textId="1E62C22D" w:rsidR="009A666A" w:rsidRPr="00BD3E57" w:rsidRDefault="00000000" w:rsidP="00BD3E57">
      <w:pPr>
        <w:pStyle w:val="Heading2"/>
        <w:spacing w:before="0" w:after="0" w:line="275" w:lineRule="auto"/>
        <w:jc w:val="thaiDistribute"/>
        <w:rPr>
          <w:rFonts w:eastAsia="Google Sans"/>
          <w:color w:val="1F1F1F"/>
          <w:sz w:val="24"/>
          <w:szCs w:val="24"/>
        </w:rPr>
      </w:pPr>
      <w:r w:rsidRPr="00BD3E57">
        <w:rPr>
          <w:rFonts w:eastAsia="Google Sans"/>
          <w:color w:val="1F1F1F"/>
          <w:sz w:val="24"/>
          <w:szCs w:val="24"/>
        </w:rPr>
        <w:t>References</w:t>
      </w:r>
      <w:r w:rsidR="009E08D8">
        <w:rPr>
          <w:rFonts w:eastAsia="Google Sans"/>
          <w:color w:val="1F1F1F"/>
          <w:sz w:val="24"/>
          <w:szCs w:val="24"/>
        </w:rPr>
        <w:t>:</w:t>
      </w:r>
    </w:p>
    <w:p w14:paraId="4781123A" w14:textId="77777777" w:rsidR="009A666A" w:rsidRPr="00BD3E57" w:rsidRDefault="009A666A" w:rsidP="00BD3E57">
      <w:pPr>
        <w:pBdr>
          <w:top w:val="nil"/>
          <w:left w:val="nil"/>
          <w:bottom w:val="nil"/>
          <w:right w:val="nil"/>
          <w:between w:val="nil"/>
        </w:pBdr>
        <w:spacing w:line="275" w:lineRule="auto"/>
        <w:jc w:val="thaiDistribute"/>
        <w:rPr>
          <w:rFonts w:eastAsia="Google Sans"/>
          <w:color w:val="1F1F1F"/>
          <w:sz w:val="24"/>
          <w:szCs w:val="24"/>
        </w:rPr>
      </w:pPr>
    </w:p>
    <w:p w14:paraId="3DA50939" w14:textId="1CB88E1F" w:rsidR="009A666A" w:rsidRPr="00BD3E57" w:rsidRDefault="00000000" w:rsidP="00BD3E57">
      <w:pPr>
        <w:numPr>
          <w:ilvl w:val="0"/>
          <w:numId w:val="2"/>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Department of Fisheries (DOF).</w:t>
      </w:r>
      <w:r w:rsidRPr="00BD3E57">
        <w:rPr>
          <w:rFonts w:eastAsia="Google Sans Text"/>
          <w:color w:val="1F1F1F"/>
          <w:sz w:val="24"/>
          <w:szCs w:val="24"/>
        </w:rPr>
        <w:t xml:space="preserve"> (202</w:t>
      </w:r>
      <w:r w:rsidR="009E08D8">
        <w:rPr>
          <w:rFonts w:eastAsia="Google Sans Text"/>
          <w:color w:val="1F1F1F"/>
          <w:sz w:val="24"/>
          <w:szCs w:val="24"/>
        </w:rPr>
        <w:t>5</w:t>
      </w:r>
      <w:r w:rsidRPr="00BD3E57">
        <w:rPr>
          <w:rFonts w:eastAsia="Google Sans Text"/>
          <w:color w:val="1F1F1F"/>
          <w:sz w:val="24"/>
          <w:szCs w:val="24"/>
        </w:rPr>
        <w:t xml:space="preserve">). </w:t>
      </w:r>
      <w:r w:rsidRPr="00BD3E57">
        <w:rPr>
          <w:rFonts w:eastAsia="Google Sans Text"/>
          <w:i/>
          <w:iCs/>
          <w:color w:val="1F1F1F"/>
          <w:sz w:val="24"/>
          <w:szCs w:val="24"/>
        </w:rPr>
        <w:t>Current Status of Fisheries and Ecosystem Health in the Gulf of Thailand (Draft Report)</w:t>
      </w:r>
      <w:r w:rsidRPr="00BD3E57">
        <w:rPr>
          <w:rFonts w:eastAsia="Google Sans Text"/>
          <w:color w:val="1F1F1F"/>
          <w:sz w:val="24"/>
          <w:szCs w:val="24"/>
        </w:rPr>
        <w:t>. Ministry of Agriculture and Cooperatives.</w:t>
      </w:r>
    </w:p>
    <w:p w14:paraId="7F5F947D" w14:textId="5638F362" w:rsidR="009A666A" w:rsidRPr="00BD3E57" w:rsidRDefault="00000000" w:rsidP="00BD3E57">
      <w:pPr>
        <w:numPr>
          <w:ilvl w:val="0"/>
          <w:numId w:val="2"/>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Pollution Control Department (PCD).</w:t>
      </w:r>
      <w:r w:rsidRPr="00BD3E57">
        <w:rPr>
          <w:rFonts w:eastAsia="Google Sans Text"/>
          <w:color w:val="1F1F1F"/>
          <w:sz w:val="24"/>
          <w:szCs w:val="24"/>
        </w:rPr>
        <w:t xml:space="preserve"> (202</w:t>
      </w:r>
      <w:r w:rsidR="009E08D8">
        <w:rPr>
          <w:rFonts w:eastAsia="Google Sans Text"/>
          <w:color w:val="1F1F1F"/>
          <w:sz w:val="24"/>
          <w:szCs w:val="24"/>
        </w:rPr>
        <w:t>5</w:t>
      </w:r>
      <w:r w:rsidRPr="00BD3E57">
        <w:rPr>
          <w:rFonts w:eastAsia="Google Sans Text"/>
          <w:color w:val="1F1F1F"/>
          <w:sz w:val="24"/>
          <w:szCs w:val="24"/>
        </w:rPr>
        <w:t xml:space="preserve">). </w:t>
      </w:r>
      <w:r w:rsidRPr="00BD3E57">
        <w:rPr>
          <w:rFonts w:eastAsia="Google Sans Text"/>
          <w:i/>
          <w:iCs/>
          <w:color w:val="1F1F1F"/>
          <w:sz w:val="24"/>
          <w:szCs w:val="24"/>
        </w:rPr>
        <w:t>National TDA of Land-based Pollution and Marine Pollution Assessment — Thailand (Draft</w:t>
      </w:r>
      <w:r w:rsidR="009E08D8">
        <w:rPr>
          <w:rFonts w:eastAsia="Google Sans Text"/>
          <w:i/>
          <w:iCs/>
          <w:color w:val="1F1F1F"/>
          <w:sz w:val="24"/>
          <w:szCs w:val="24"/>
        </w:rPr>
        <w:t xml:space="preserve"> Report</w:t>
      </w:r>
      <w:r w:rsidRPr="00BD3E57">
        <w:rPr>
          <w:rFonts w:eastAsia="Google Sans Text"/>
          <w:i/>
          <w:iCs/>
          <w:color w:val="1F1F1F"/>
          <w:sz w:val="24"/>
          <w:szCs w:val="24"/>
        </w:rPr>
        <w:t>)</w:t>
      </w:r>
      <w:r w:rsidRPr="00BD3E57">
        <w:rPr>
          <w:rFonts w:eastAsia="Google Sans Text"/>
          <w:color w:val="1F1F1F"/>
          <w:sz w:val="24"/>
          <w:szCs w:val="24"/>
        </w:rPr>
        <w:t>. Ministry of Natural Resources and Environment.</w:t>
      </w:r>
    </w:p>
    <w:p w14:paraId="10D075E0" w14:textId="32DF2874" w:rsidR="009A666A" w:rsidRPr="00BD3E57" w:rsidRDefault="00000000" w:rsidP="00BD3E57">
      <w:pPr>
        <w:numPr>
          <w:ilvl w:val="0"/>
          <w:numId w:val="2"/>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Department of Marine and Coastal Resources (DMCR).</w:t>
      </w:r>
      <w:r w:rsidRPr="00BD3E57">
        <w:rPr>
          <w:rFonts w:eastAsia="Google Sans Text"/>
          <w:color w:val="1F1F1F"/>
          <w:sz w:val="24"/>
          <w:szCs w:val="24"/>
        </w:rPr>
        <w:t xml:space="preserve"> (2025). </w:t>
      </w:r>
      <w:r w:rsidRPr="00BD3E57">
        <w:rPr>
          <w:rFonts w:eastAsia="Google Sans Text"/>
          <w:i/>
          <w:iCs/>
          <w:color w:val="1F1F1F"/>
          <w:sz w:val="24"/>
          <w:szCs w:val="24"/>
        </w:rPr>
        <w:t>National TDA Governance Profile and Analysis (Draft</w:t>
      </w:r>
      <w:r w:rsidR="009E08D8">
        <w:rPr>
          <w:rFonts w:eastAsia="Google Sans Text"/>
          <w:i/>
          <w:iCs/>
          <w:color w:val="1F1F1F"/>
          <w:sz w:val="24"/>
          <w:szCs w:val="24"/>
        </w:rPr>
        <w:t xml:space="preserve"> Report</w:t>
      </w:r>
      <w:r w:rsidRPr="00BD3E57">
        <w:rPr>
          <w:rFonts w:eastAsia="Google Sans Text"/>
          <w:i/>
          <w:iCs/>
          <w:color w:val="1F1F1F"/>
          <w:sz w:val="24"/>
          <w:szCs w:val="24"/>
        </w:rPr>
        <w:t>)</w:t>
      </w:r>
      <w:r w:rsidRPr="00BD3E57">
        <w:rPr>
          <w:rFonts w:eastAsia="Google Sans Text"/>
          <w:color w:val="1F1F1F"/>
          <w:sz w:val="24"/>
          <w:szCs w:val="24"/>
        </w:rPr>
        <w:t>. Ministry of Natural Resources and Environment.</w:t>
      </w:r>
    </w:p>
    <w:p w14:paraId="2846CC99" w14:textId="31E4D57F" w:rsidR="009A666A" w:rsidRPr="00BD3E57" w:rsidRDefault="009E08D8" w:rsidP="00BD3E57">
      <w:pPr>
        <w:numPr>
          <w:ilvl w:val="0"/>
          <w:numId w:val="2"/>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Department of Marine and Coastal Resources (DMCR).</w:t>
      </w:r>
      <w:r w:rsidRPr="00BD3E57">
        <w:rPr>
          <w:rFonts w:eastAsia="Google Sans Text"/>
          <w:color w:val="1F1F1F"/>
          <w:sz w:val="24"/>
          <w:szCs w:val="24"/>
        </w:rPr>
        <w:t xml:space="preserve"> (2025). </w:t>
      </w:r>
      <w:r w:rsidRPr="00BD3E57">
        <w:rPr>
          <w:rFonts w:eastAsia="Google Sans Text"/>
          <w:i/>
          <w:iCs/>
          <w:color w:val="1F1F1F"/>
          <w:sz w:val="24"/>
          <w:szCs w:val="24"/>
        </w:rPr>
        <w:t>The National TDA report - Socioeconomics and Climate-related threats</w:t>
      </w:r>
      <w:r>
        <w:rPr>
          <w:rFonts w:eastAsia="Google Sans Text"/>
          <w:i/>
          <w:iCs/>
          <w:color w:val="1F1F1F"/>
          <w:sz w:val="24"/>
          <w:szCs w:val="24"/>
        </w:rPr>
        <w:t xml:space="preserve"> </w:t>
      </w:r>
      <w:r w:rsidRPr="00BD3E57">
        <w:rPr>
          <w:rFonts w:eastAsia="Google Sans Text"/>
          <w:i/>
          <w:iCs/>
          <w:color w:val="1F1F1F"/>
          <w:sz w:val="24"/>
          <w:szCs w:val="24"/>
        </w:rPr>
        <w:t>(Draft</w:t>
      </w:r>
      <w:r>
        <w:rPr>
          <w:rFonts w:eastAsia="Google Sans Text"/>
          <w:i/>
          <w:iCs/>
          <w:color w:val="1F1F1F"/>
          <w:sz w:val="24"/>
          <w:szCs w:val="24"/>
        </w:rPr>
        <w:t xml:space="preserve"> Report).</w:t>
      </w:r>
    </w:p>
    <w:p w14:paraId="3F23C23A" w14:textId="1D63F2B5" w:rsidR="009A666A" w:rsidRPr="00BD3E57" w:rsidRDefault="00000000" w:rsidP="00BD3E57">
      <w:pPr>
        <w:numPr>
          <w:ilvl w:val="0"/>
          <w:numId w:val="2"/>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t>Department of Marine and Coastal Resources (DMCR).</w:t>
      </w:r>
      <w:r w:rsidRPr="00BD3E57">
        <w:rPr>
          <w:rFonts w:eastAsia="Google Sans Text"/>
          <w:color w:val="1F1F1F"/>
          <w:sz w:val="24"/>
          <w:szCs w:val="24"/>
        </w:rPr>
        <w:t xml:space="preserve"> (2025). </w:t>
      </w:r>
      <w:r w:rsidRPr="00BD3E57">
        <w:rPr>
          <w:rFonts w:eastAsia="Google Sans Text"/>
          <w:i/>
          <w:iCs/>
          <w:color w:val="1F1F1F"/>
          <w:sz w:val="24"/>
          <w:szCs w:val="24"/>
        </w:rPr>
        <w:t>Draft of National TDA Report (</w:t>
      </w:r>
      <w:r w:rsidR="009E08D8">
        <w:rPr>
          <w:rFonts w:eastAsia="Google Sans Text"/>
          <w:i/>
          <w:iCs/>
          <w:color w:val="1F1F1F"/>
          <w:sz w:val="24"/>
          <w:szCs w:val="24"/>
        </w:rPr>
        <w:t>Ecosystems</w:t>
      </w:r>
      <w:r w:rsidRPr="00BD3E57">
        <w:rPr>
          <w:rFonts w:eastAsia="Google Sans Text"/>
          <w:i/>
          <w:iCs/>
          <w:color w:val="1F1F1F"/>
          <w:sz w:val="24"/>
          <w:szCs w:val="24"/>
        </w:rPr>
        <w:t>)</w:t>
      </w:r>
      <w:r w:rsidR="009E08D8">
        <w:rPr>
          <w:rFonts w:eastAsia="Google Sans Text"/>
          <w:i/>
          <w:iCs/>
          <w:color w:val="1F1F1F"/>
          <w:sz w:val="24"/>
          <w:szCs w:val="24"/>
        </w:rPr>
        <w:t>.</w:t>
      </w:r>
    </w:p>
    <w:p w14:paraId="59DF1132" w14:textId="77777777" w:rsidR="009A666A" w:rsidRPr="00BD3E57" w:rsidRDefault="00000000" w:rsidP="00BD3E57">
      <w:pPr>
        <w:numPr>
          <w:ilvl w:val="0"/>
          <w:numId w:val="2"/>
        </w:numPr>
        <w:pBdr>
          <w:top w:val="nil"/>
          <w:left w:val="nil"/>
          <w:bottom w:val="nil"/>
          <w:right w:val="nil"/>
          <w:between w:val="nil"/>
        </w:pBdr>
        <w:spacing w:line="275" w:lineRule="auto"/>
        <w:jc w:val="thaiDistribute"/>
        <w:rPr>
          <w:sz w:val="24"/>
          <w:szCs w:val="24"/>
        </w:rPr>
      </w:pPr>
      <w:r w:rsidRPr="00BD3E57">
        <w:rPr>
          <w:rFonts w:eastAsia="Google Sans Text"/>
          <w:b/>
          <w:bCs/>
          <w:color w:val="1F1F1F"/>
          <w:sz w:val="24"/>
          <w:szCs w:val="24"/>
        </w:rPr>
        <w:lastRenderedPageBreak/>
        <w:t>UNEP/GEF.</w:t>
      </w:r>
      <w:r w:rsidRPr="00BD3E57">
        <w:rPr>
          <w:rFonts w:eastAsia="Google Sans Text"/>
          <w:color w:val="1F1F1F"/>
          <w:sz w:val="24"/>
          <w:szCs w:val="24"/>
        </w:rPr>
        <w:t xml:space="preserve"> (2000). </w:t>
      </w:r>
      <w:r w:rsidRPr="00BD3E57">
        <w:rPr>
          <w:rFonts w:eastAsia="Google Sans Text"/>
          <w:i/>
          <w:iCs/>
          <w:color w:val="1F1F1F"/>
          <w:sz w:val="24"/>
          <w:szCs w:val="24"/>
        </w:rPr>
        <w:t>National Report of Thailand on the Formulation of a Transboundary Diagnostic Analysis</w:t>
      </w:r>
      <w:r w:rsidRPr="00BD3E57">
        <w:rPr>
          <w:rFonts w:eastAsia="Google Sans Text"/>
          <w:color w:val="1F1F1F"/>
          <w:sz w:val="24"/>
          <w:szCs w:val="24"/>
        </w:rPr>
        <w:t>.</w:t>
      </w:r>
    </w:p>
    <w:p w14:paraId="688242E2" w14:textId="5DAC9505" w:rsidR="009A666A" w:rsidRPr="00BD3E57" w:rsidRDefault="009A666A" w:rsidP="00BD3E57">
      <w:pPr>
        <w:pBdr>
          <w:top w:val="nil"/>
          <w:left w:val="nil"/>
          <w:bottom w:val="nil"/>
          <w:right w:val="nil"/>
          <w:between w:val="nil"/>
        </w:pBdr>
        <w:jc w:val="thaiDistribute"/>
        <w:rPr>
          <w:sz w:val="24"/>
          <w:szCs w:val="24"/>
        </w:rPr>
      </w:pPr>
    </w:p>
    <w:sectPr w:rsidR="009A666A" w:rsidRPr="00BD3E57">
      <w:pgSz w:w="12240" w:h="15840"/>
      <w:pgMar w:top="1440" w:right="1440" w:bottom="1440" w:left="1440" w:header="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M" w:date="2025-11-29T12:42:00Z" w:initials="M">
    <w:p w14:paraId="50388F31" w14:textId="77777777" w:rsidR="00046003" w:rsidRDefault="00046003" w:rsidP="00046003">
      <w:pPr>
        <w:pStyle w:val="CommentText"/>
      </w:pPr>
      <w:r>
        <w:rPr>
          <w:rStyle w:val="CommentReference"/>
        </w:rPr>
        <w:annotationRef/>
      </w:r>
      <w:r>
        <w:rPr>
          <w:cs/>
          <w:lang w:val="th-TH"/>
        </w:rPr>
        <w:t>งานส่วนศก.สังคมเป็นการรายงานระดับจังหวัดและระดับประเทศ และบางตัวชี้วัดมีแค่ระดับประเทศ</w:t>
      </w:r>
    </w:p>
  </w:comment>
  <w:comment w:id="1" w:author="M" w:date="2025-11-29T12:45:00Z" w:initials="M">
    <w:p w14:paraId="34B945FA" w14:textId="77777777" w:rsidR="00046003" w:rsidRDefault="00046003" w:rsidP="00046003">
      <w:pPr>
        <w:pStyle w:val="CommentText"/>
      </w:pPr>
      <w:r>
        <w:rPr>
          <w:rStyle w:val="CommentReference"/>
        </w:rPr>
        <w:annotationRef/>
      </w:r>
      <w:r>
        <w:rPr>
          <w:cs/>
          <w:lang w:val="th-TH"/>
        </w:rPr>
        <w:t>รายงานทุกบทจัดกลุ่มจังหวัดตามนี้เหมือนกันไหมคะ ส่วนศก.สังคมไม่ได้จัดกลุ่มจังหวัดตามนี้ค่ะ</w:t>
      </w:r>
    </w:p>
  </w:comment>
  <w:comment w:id="2" w:author="M" w:date="2025-11-29T13:05:00Z" w:initials="M">
    <w:p w14:paraId="6CFC5C0A" w14:textId="77777777" w:rsidR="00D77906" w:rsidRDefault="00D77906" w:rsidP="00D77906">
      <w:pPr>
        <w:pStyle w:val="CommentText"/>
      </w:pPr>
      <w:r>
        <w:rPr>
          <w:rStyle w:val="CommentReference"/>
        </w:rPr>
        <w:annotationRef/>
      </w:r>
      <w:r>
        <w:rPr>
          <w:cs/>
          <w:lang w:val="th-TH"/>
        </w:rPr>
        <w:t>ให้ระบุตัวชี้วัดที่ใช้ในงานครั้งนี้ แต่ไม่แน่ใจว่าต้องระบุทั้งหมด หรือระบุบางส่วน ถ้าระบุทั้งหมดก็สามารถดึงตัวชี้วัดมาจากไฟล์ตัวชี้วัดของแต่ละบทได้เลยค่ะ (ซึ่งเยอะมาก)</w:t>
      </w:r>
    </w:p>
  </w:comment>
  <w:comment w:id="3" w:author="M" w:date="2025-11-29T13:07:00Z" w:initials="M">
    <w:p w14:paraId="5D92D2EC" w14:textId="77777777" w:rsidR="00D77906" w:rsidRDefault="00D77906" w:rsidP="00D77906">
      <w:pPr>
        <w:pStyle w:val="CommentText"/>
      </w:pPr>
      <w:r>
        <w:rPr>
          <w:rStyle w:val="CommentReference"/>
        </w:rPr>
        <w:annotationRef/>
      </w:r>
      <w:r>
        <w:rPr>
          <w:cs/>
          <w:lang w:val="th-TH"/>
        </w:rPr>
        <w:t>ตัวชี้วัดส่วน ศก.สังคม แบ่งเป็น 4 กลุ่ม และยกตัวอย่างตชว.ของแต่ละกลุ่มไว้ตามนี้ค่ะ</w:t>
      </w:r>
    </w:p>
  </w:comment>
  <w:comment w:id="4" w:author="M" w:date="2025-11-29T13:14:00Z" w:initials="M">
    <w:p w14:paraId="329277CF" w14:textId="77777777" w:rsidR="00A92D68" w:rsidRDefault="00D77906" w:rsidP="00A92D68">
      <w:pPr>
        <w:pStyle w:val="CommentText"/>
      </w:pPr>
      <w:r>
        <w:rPr>
          <w:rStyle w:val="CommentReference"/>
        </w:rPr>
        <w:annotationRef/>
      </w:r>
      <w:r w:rsidR="00A92D68">
        <w:rPr>
          <w:cs/>
          <w:lang w:val="th-TH"/>
        </w:rPr>
        <w:t xml:space="preserve">หัวข้อนี้ คือ ให้ระบุว่าแต่ละบทจะประเมินความเสี่ยงอย่างไร (ทุกบทมีหัวข้อ </w:t>
      </w:r>
      <w:r w:rsidR="00A92D68">
        <w:t xml:space="preserve">Risk assessment) </w:t>
      </w:r>
      <w:r w:rsidR="00A92D68">
        <w:rPr>
          <w:cs/>
          <w:lang w:val="th-TH"/>
        </w:rPr>
        <w:t xml:space="preserve">เช่น ในบทศก.สังคมต้องอธิบายว่าจะนำตชว.มาใช้ในการประเมินความเสี่ยงอย่างไร เพื่อสุดท้ายจะใช้เป็นฐานสำหรับการจัดการแบบบูรณาการทั้งหมด (ในแต่ละบทจะมีหัวข้อ </w:t>
      </w:r>
      <w:r w:rsidR="00A92D68">
        <w:t>methodology</w:t>
      </w:r>
      <w:r w:rsidR="00A92D68">
        <w:rPr>
          <w:cs/>
          <w:lang w:val="th-TH"/>
        </w:rPr>
        <w:t xml:space="preserve"> อยู่แล้ว ซึ่งในบทศก.สังคมก็ได้อธิบายการประเมินความเสี่ยงไว้ด้วย เลยไม่แน่ใจว่าจะซ้ำซ้อนกับหัวข้อนี้หรือไม่ค่ะ) หัวข้อนี้ไม่ได้ให้ระบุผลการศึกษาค่ะ</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0388F31" w15:done="0"/>
  <w15:commentEx w15:paraId="34B945FA" w15:done="0"/>
  <w15:commentEx w15:paraId="6CFC5C0A" w15:done="0"/>
  <w15:commentEx w15:paraId="5D92D2EC" w15:done="0"/>
  <w15:commentEx w15:paraId="329277C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85DE53B" w16cex:dateUtc="2025-11-29T05:42:00Z"/>
  <w16cex:commentExtensible w16cex:durableId="6C87BE61" w16cex:dateUtc="2025-11-29T05:45:00Z"/>
  <w16cex:commentExtensible w16cex:durableId="589C6F29" w16cex:dateUtc="2025-11-29T06:05:00Z"/>
  <w16cex:commentExtensible w16cex:durableId="551B12B9" w16cex:dateUtc="2025-11-29T06:07:00Z">
    <w16cex:extLst>
      <w16:ext w16:uri="{CE6994B0-6A32-4C9F-8C6B-6E91EDA988CE}">
        <cr:reactions xmlns:cr="http://schemas.microsoft.com/office/comments/2020/reactions">
          <cr:reaction reactionType="1">
            <cr:reactionInfo dateUtc="2025-12-06T07:16:47Z">
              <cr:user userId="b05b3aa345f6f76f" userProvider="Windows Live" userName="Suwimol Sereepaowong"/>
            </cr:reactionInfo>
          </cr:reaction>
        </cr:reactions>
      </w16:ext>
    </w16cex:extLst>
  </w16cex:commentExtensible>
  <w16cex:commentExtensible w16cex:durableId="7C4D12FE" w16cex:dateUtc="2025-11-29T06: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0388F31" w16cid:durableId="785DE53B"/>
  <w16cid:commentId w16cid:paraId="34B945FA" w16cid:durableId="6C87BE61"/>
  <w16cid:commentId w16cid:paraId="6CFC5C0A" w16cid:durableId="589C6F29"/>
  <w16cid:commentId w16cid:paraId="5D92D2EC" w16cid:durableId="551B12B9"/>
  <w16cid:commentId w16cid:paraId="329277CF" w16cid:durableId="7C4D12F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embedRegular r:id="rId1" w:fontKey="{4653CF92-AE3A-BF40-964F-E06325C19985}"/>
    <w:embedBold r:id="rId2" w:fontKey="{73266629-F332-5C4E-B887-B5D2E2B37815}"/>
    <w:embedItalic r:id="rId3" w:fontKey="{F073E324-567F-1149-9A3A-CCA3A36A9D3A}"/>
  </w:font>
  <w:font w:name="Symbol">
    <w:panose1 w:val="05050102010706020507"/>
    <w:charset w:val="02"/>
    <w:family w:val="decorative"/>
    <w:pitch w:val="variable"/>
    <w:sig w:usb0="00000003" w:usb1="10000000" w:usb2="00000000" w:usb3="00000000" w:csb0="80000001" w:csb1="00000000"/>
    <w:embedRegular r:id="rId4" w:fontKey="{6E2FB315-D837-3249-9072-8803FB50E7D9}"/>
  </w:font>
  <w:font w:name="Times New Roman">
    <w:panose1 w:val="02020603050405020304"/>
    <w:charset w:val="00"/>
    <w:family w:val="roman"/>
    <w:pitch w:val="variable"/>
    <w:sig w:usb0="E0002EFF" w:usb1="C000785B" w:usb2="00000009" w:usb3="00000000" w:csb0="000001FF" w:csb1="00000000"/>
    <w:embedRegular r:id="rId5" w:fontKey="{46CB93AC-5AA2-EF4F-BB29-2E0591DDEAC3}"/>
    <w:embedBold r:id="rId6" w:fontKey="{D733E44E-D79E-AC4C-8676-1AD22CCB2026}"/>
  </w:font>
  <w:font w:name="Courier New">
    <w:panose1 w:val="02070309020205020404"/>
    <w:charset w:val="00"/>
    <w:family w:val="modern"/>
    <w:pitch w:val="fixed"/>
    <w:sig w:usb0="E0002AFF" w:usb1="C0007843" w:usb2="00000009" w:usb3="00000000" w:csb0="000001FF" w:csb1="00000000"/>
    <w:embedRegular r:id="rId7" w:fontKey="{6074EA1F-F5DF-4346-B539-3043268DF851}"/>
  </w:font>
  <w:font w:name="Wingdings">
    <w:panose1 w:val="05000000000000000000"/>
    <w:charset w:val="4D"/>
    <w:family w:val="decorative"/>
    <w:pitch w:val="variable"/>
    <w:sig w:usb0="00000003" w:usb1="00000000" w:usb2="00000000" w:usb3="00000000" w:csb0="80000001" w:csb1="00000000"/>
    <w:embedRegular r:id="rId8" w:fontKey="{12944DAD-DF58-E648-8325-566DD78AE7B2}"/>
  </w:font>
  <w:font w:name="Google Sans Text">
    <w:altName w:val="Calibri"/>
    <w:panose1 w:val="020B0604020202020204"/>
    <w:charset w:val="00"/>
    <w:family w:val="auto"/>
    <w:pitch w:val="default"/>
    <w:embedRegular r:id="rId9" w:fontKey="{AF555104-671A-3D41-895C-934927AB3376}"/>
    <w:embedBold r:id="rId10" w:fontKey="{B1F66CCF-A43B-5244-9440-CC4377E196B1}"/>
    <w:embedItalic r:id="rId11" w:fontKey="{E5A73EF6-55AD-CA46-A1CF-2F5E00E4E483}"/>
  </w:font>
  <w:font w:name="Georgia">
    <w:panose1 w:val="02040502050405020303"/>
    <w:charset w:val="00"/>
    <w:family w:val="roman"/>
    <w:pitch w:val="variable"/>
    <w:sig w:usb0="00000287" w:usb1="00000000" w:usb2="00000000" w:usb3="00000000" w:csb0="0000009F" w:csb1="00000000"/>
    <w:embedItalic r:id="rId12" w:fontKey="{0DA0345C-F52D-C344-87C5-33C201093D03}"/>
  </w:font>
  <w:font w:name="Cordia New">
    <w:panose1 w:val="020B0304020202020204"/>
    <w:charset w:val="DE"/>
    <w:family w:val="swiss"/>
    <w:pitch w:val="variable"/>
    <w:sig w:usb0="81000003" w:usb1="00000000" w:usb2="00000000" w:usb3="00000000" w:csb0="00010001" w:csb1="00000000"/>
    <w:embedRegular r:id="rId13" w:fontKey="{14EAF792-F807-1647-A352-CE7C1FF12981}"/>
    <w:embedBold r:id="rId14" w:fontKey="{7F93B148-FBB9-6F4A-BA45-BFFAA36EA6CB}"/>
    <w:embedItalic r:id="rId15" w:fontKey="{DD570A28-4A22-EA46-AE31-F5721522372F}"/>
  </w:font>
  <w:font w:name="Google Sans">
    <w:altName w:val="Calibri"/>
    <w:panose1 w:val="020B0604020202020204"/>
    <w:charset w:val="00"/>
    <w:family w:val="auto"/>
    <w:pitch w:val="default"/>
    <w:embedRegular r:id="rId16" w:fontKey="{462C6F60-0A63-3749-81BE-23B099F608EC}"/>
    <w:embedBold r:id="rId17" w:fontKey="{610240F7-63DD-754A-BFB2-59216033522F}"/>
  </w:font>
  <w:font w:name="Browallia New">
    <w:panose1 w:val="020B0604020202020204"/>
    <w:charset w:val="DE"/>
    <w:family w:val="swiss"/>
    <w:pitch w:val="variable"/>
    <w:sig w:usb0="81000003" w:usb1="00000000" w:usb2="00000000" w:usb3="00000000" w:csb0="00010001" w:csb1="00000000"/>
    <w:embedRegular r:id="rId18" w:fontKey="{2C1124EF-AA3C-444F-8464-89AD5EB5EB98}"/>
  </w:font>
  <w:font w:name="Calibri">
    <w:panose1 w:val="020F0502020204030204"/>
    <w:charset w:val="00"/>
    <w:family w:val="swiss"/>
    <w:pitch w:val="variable"/>
    <w:sig w:usb0="E0002AFF" w:usb1="C000247B" w:usb2="00000009" w:usb3="00000000" w:csb0="000001FF" w:csb1="00000000"/>
    <w:embedRegular r:id="rId19" w:fontKey="{A29CD6C3-920F-7D47-91DB-B331A2937D31}"/>
  </w:font>
  <w:font w:name="Angsana New">
    <w:panose1 w:val="02020603050405020304"/>
    <w:charset w:val="DE"/>
    <w:family w:val="roman"/>
    <w:pitch w:val="variable"/>
    <w:sig w:usb0="81000003" w:usb1="00000000" w:usb2="00000000" w:usb3="00000000" w:csb0="00010001" w:csb1="00000000"/>
    <w:embedRegular r:id="rId20" w:fontKey="{6CA1FECE-C3E1-CE43-A68C-8B02D23FAC9D}"/>
  </w:font>
  <w:font w:name="Cambria">
    <w:panose1 w:val="02040503050406030204"/>
    <w:charset w:val="00"/>
    <w:family w:val="roman"/>
    <w:pitch w:val="variable"/>
    <w:sig w:usb0="E00002FF" w:usb1="400004FF" w:usb2="00000000" w:usb3="00000000" w:csb0="0000019F" w:csb1="00000000"/>
    <w:embedRegular r:id="rId21" w:fontKey="{1591C949-FCFD-C241-ABF1-EC5B15AA2FA5}"/>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C4570"/>
    <w:multiLevelType w:val="multilevel"/>
    <w:tmpl w:val="17BCD66E"/>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 w15:restartNumberingAfterBreak="0">
    <w:nsid w:val="0AB74891"/>
    <w:multiLevelType w:val="multilevel"/>
    <w:tmpl w:val="39BE8E9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 w15:restartNumberingAfterBreak="0">
    <w:nsid w:val="10FF3577"/>
    <w:multiLevelType w:val="hybridMultilevel"/>
    <w:tmpl w:val="7DBAC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BC6B64"/>
    <w:multiLevelType w:val="multilevel"/>
    <w:tmpl w:val="4DBC7774"/>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 w15:restartNumberingAfterBreak="0">
    <w:nsid w:val="26913EDE"/>
    <w:multiLevelType w:val="hybridMultilevel"/>
    <w:tmpl w:val="AE3A8D84"/>
    <w:lvl w:ilvl="0" w:tplc="63FE93A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 w15:restartNumberingAfterBreak="0">
    <w:nsid w:val="26A421DB"/>
    <w:multiLevelType w:val="multilevel"/>
    <w:tmpl w:val="1DC2F426"/>
    <w:lvl w:ilvl="0">
      <w:start w:val="1"/>
      <w:numFmt w:val="decimal"/>
      <w:lvlText w:val="%1."/>
      <w:lvlJc w:val="left"/>
      <w:pPr>
        <w:ind w:left="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 w15:restartNumberingAfterBreak="0">
    <w:nsid w:val="2AC32D3D"/>
    <w:multiLevelType w:val="multilevel"/>
    <w:tmpl w:val="63F65B5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 w15:restartNumberingAfterBreak="0">
    <w:nsid w:val="33E8000F"/>
    <w:multiLevelType w:val="multilevel"/>
    <w:tmpl w:val="70AA9B82"/>
    <w:lvl w:ilvl="0">
      <w:start w:val="1"/>
      <w:numFmt w:val="decimal"/>
      <w:lvlText w:val="%1)"/>
      <w:lvlJc w:val="left"/>
      <w:pPr>
        <w:ind w:left="840" w:hanging="360"/>
      </w:pPr>
      <w:rPr>
        <w:rFonts w:ascii="Arial" w:eastAsia="Google Sans Text"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8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 w15:restartNumberingAfterBreak="0">
    <w:nsid w:val="35303724"/>
    <w:multiLevelType w:val="multilevel"/>
    <w:tmpl w:val="64D6C62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decimal"/>
      <w:lvlText w:val="%2)"/>
      <w:lvlJc w:val="left"/>
      <w:pPr>
        <w:ind w:left="885" w:hanging="360"/>
      </w:p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9" w15:restartNumberingAfterBreak="0">
    <w:nsid w:val="38350010"/>
    <w:multiLevelType w:val="multilevel"/>
    <w:tmpl w:val="257C8018"/>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0" w15:restartNumberingAfterBreak="0">
    <w:nsid w:val="39360634"/>
    <w:multiLevelType w:val="multilevel"/>
    <w:tmpl w:val="42482D2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1" w15:restartNumberingAfterBreak="0">
    <w:nsid w:val="3AAF16AE"/>
    <w:multiLevelType w:val="multilevel"/>
    <w:tmpl w:val="730AE224"/>
    <w:lvl w:ilvl="0">
      <w:start w:val="1"/>
      <w:numFmt w:val="bullet"/>
      <w:lvlText w:val="●"/>
      <w:lvlJc w:val="left"/>
      <w:pPr>
        <w:ind w:left="3447"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442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514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586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658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730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802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874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9462"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2" w15:restartNumberingAfterBreak="0">
    <w:nsid w:val="3BF7403F"/>
    <w:multiLevelType w:val="multilevel"/>
    <w:tmpl w:val="EF1A761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3" w15:restartNumberingAfterBreak="0">
    <w:nsid w:val="5D100B42"/>
    <w:multiLevelType w:val="multilevel"/>
    <w:tmpl w:val="3A3CA21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4" w15:restartNumberingAfterBreak="0">
    <w:nsid w:val="674D3F15"/>
    <w:multiLevelType w:val="multilevel"/>
    <w:tmpl w:val="B1103908"/>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5" w15:restartNumberingAfterBreak="0">
    <w:nsid w:val="67C71A66"/>
    <w:multiLevelType w:val="multilevel"/>
    <w:tmpl w:val="49A00FD8"/>
    <w:lvl w:ilvl="0">
      <w:start w:val="1"/>
      <w:numFmt w:val="decimal"/>
      <w:lvlText w:val="%1)"/>
      <w:lvlJc w:val="left"/>
      <w:pPr>
        <w:ind w:left="786" w:hanging="360"/>
      </w:pPr>
      <w:rPr>
        <w:rFonts w:ascii="Arial" w:eastAsia="Google Sans Text"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74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46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18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90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62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34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06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786"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6" w15:restartNumberingAfterBreak="0">
    <w:nsid w:val="691762A7"/>
    <w:multiLevelType w:val="multilevel"/>
    <w:tmpl w:val="E42E63AE"/>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7" w15:restartNumberingAfterBreak="0">
    <w:nsid w:val="79494172"/>
    <w:multiLevelType w:val="multilevel"/>
    <w:tmpl w:val="C450B21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8" w15:restartNumberingAfterBreak="0">
    <w:nsid w:val="7BDB4BDA"/>
    <w:multiLevelType w:val="hybridMultilevel"/>
    <w:tmpl w:val="BF88545E"/>
    <w:lvl w:ilvl="0" w:tplc="3F089FB0">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15:restartNumberingAfterBreak="0">
    <w:nsid w:val="7F246899"/>
    <w:multiLevelType w:val="multilevel"/>
    <w:tmpl w:val="02EEBC52"/>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decimal"/>
      <w:lvlText w:val="%2."/>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num w:numId="1" w16cid:durableId="1773940038">
    <w:abstractNumId w:val="7"/>
  </w:num>
  <w:num w:numId="2" w16cid:durableId="1371759553">
    <w:abstractNumId w:val="3"/>
  </w:num>
  <w:num w:numId="3" w16cid:durableId="483394557">
    <w:abstractNumId w:val="5"/>
  </w:num>
  <w:num w:numId="4" w16cid:durableId="1421559341">
    <w:abstractNumId w:val="13"/>
  </w:num>
  <w:num w:numId="5" w16cid:durableId="356469631">
    <w:abstractNumId w:val="0"/>
  </w:num>
  <w:num w:numId="6" w16cid:durableId="959336681">
    <w:abstractNumId w:val="12"/>
  </w:num>
  <w:num w:numId="7" w16cid:durableId="1804076340">
    <w:abstractNumId w:val="6"/>
  </w:num>
  <w:num w:numId="8" w16cid:durableId="1799371015">
    <w:abstractNumId w:val="16"/>
  </w:num>
  <w:num w:numId="9" w16cid:durableId="1574386598">
    <w:abstractNumId w:val="1"/>
  </w:num>
  <w:num w:numId="10" w16cid:durableId="252711699">
    <w:abstractNumId w:val="17"/>
  </w:num>
  <w:num w:numId="11" w16cid:durableId="1166049170">
    <w:abstractNumId w:val="14"/>
  </w:num>
  <w:num w:numId="12" w16cid:durableId="1225683408">
    <w:abstractNumId w:val="15"/>
  </w:num>
  <w:num w:numId="13" w16cid:durableId="1064833861">
    <w:abstractNumId w:val="19"/>
  </w:num>
  <w:num w:numId="14" w16cid:durableId="1855145089">
    <w:abstractNumId w:val="8"/>
  </w:num>
  <w:num w:numId="15" w16cid:durableId="806246227">
    <w:abstractNumId w:val="11"/>
  </w:num>
  <w:num w:numId="16" w16cid:durableId="1374770828">
    <w:abstractNumId w:val="10"/>
  </w:num>
  <w:num w:numId="17" w16cid:durableId="707610980">
    <w:abstractNumId w:val="9"/>
  </w:num>
  <w:num w:numId="18" w16cid:durableId="1220899804">
    <w:abstractNumId w:val="18"/>
  </w:num>
  <w:num w:numId="19" w16cid:durableId="764115032">
    <w:abstractNumId w:val="2"/>
  </w:num>
  <w:num w:numId="20" w16cid:durableId="2041778688">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
    <w15:presenceInfo w15:providerId="None" w15:userId="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666A"/>
    <w:rsid w:val="00046003"/>
    <w:rsid w:val="00170FE0"/>
    <w:rsid w:val="00197F6A"/>
    <w:rsid w:val="002B07DD"/>
    <w:rsid w:val="005B745A"/>
    <w:rsid w:val="00680915"/>
    <w:rsid w:val="006B2BDC"/>
    <w:rsid w:val="007B2406"/>
    <w:rsid w:val="00891326"/>
    <w:rsid w:val="008C6C22"/>
    <w:rsid w:val="009A666A"/>
    <w:rsid w:val="009E08D8"/>
    <w:rsid w:val="00A92D68"/>
    <w:rsid w:val="00A97974"/>
    <w:rsid w:val="00BD2F56"/>
    <w:rsid w:val="00BD3E57"/>
    <w:rsid w:val="00D247C4"/>
    <w:rsid w:val="00D77906"/>
    <w:rsid w:val="00E57AE4"/>
    <w:rsid w:val="00EF73E7"/>
    <w:rsid w:val="00F10EE1"/>
  </w:rsids>
  <m:mathPr>
    <m:mathFont m:val="Cambria Math"/>
    <m:brkBin m:val="before"/>
    <m:brkBinSub m:val="--"/>
    <m:smallFrac m:val="0"/>
    <m:dispDef/>
    <m:lMargin m:val="0"/>
    <m:rMargin m:val="0"/>
    <m:defJc m:val="centerGroup"/>
    <m:wrapIndent m:val="1440"/>
    <m:intLim m:val="subSup"/>
    <m:naryLim m:val="undOvr"/>
  </m:mathPr>
  <w:themeFontLang w:val="en-TH"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EFEC55"/>
  <w15:docId w15:val="{A1B9982E-A5ED-7745-981B-C367740D2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TH" w:eastAsia="en-US" w:bidi="th-TH"/>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pBdr>
        <w:top w:val="nil"/>
        <w:left w:val="nil"/>
        <w:bottom w:val="nil"/>
        <w:right w:val="nil"/>
        <w:between w:val="nil"/>
      </w:pBdr>
      <w:spacing w:before="240" w:after="240"/>
      <w:outlineLvl w:val="0"/>
    </w:pPr>
    <w:rPr>
      <w:b/>
      <w:bCs/>
      <w:sz w:val="48"/>
      <w:szCs w:val="48"/>
    </w:rPr>
  </w:style>
  <w:style w:type="paragraph" w:styleId="Heading2">
    <w:name w:val="heading 2"/>
    <w:basedOn w:val="Normal"/>
    <w:next w:val="Normal"/>
    <w:uiPriority w:val="9"/>
    <w:unhideWhenUsed/>
    <w:qFormat/>
    <w:pPr>
      <w:pBdr>
        <w:top w:val="nil"/>
        <w:left w:val="nil"/>
        <w:bottom w:val="nil"/>
        <w:right w:val="nil"/>
        <w:between w:val="nil"/>
      </w:pBdr>
      <w:spacing w:before="225" w:after="225"/>
      <w:outlineLvl w:val="1"/>
    </w:pPr>
    <w:rPr>
      <w:b/>
      <w:bCs/>
      <w:sz w:val="36"/>
      <w:szCs w:val="36"/>
    </w:rPr>
  </w:style>
  <w:style w:type="paragraph" w:styleId="Heading3">
    <w:name w:val="heading 3"/>
    <w:basedOn w:val="Normal"/>
    <w:next w:val="Normal"/>
    <w:uiPriority w:val="9"/>
    <w:unhideWhenUsed/>
    <w:qFormat/>
    <w:pPr>
      <w:pBdr>
        <w:top w:val="nil"/>
        <w:left w:val="nil"/>
        <w:bottom w:val="nil"/>
        <w:right w:val="nil"/>
        <w:between w:val="nil"/>
      </w:pBdr>
      <w:spacing w:before="240" w:after="240"/>
      <w:outlineLvl w:val="2"/>
    </w:pPr>
    <w:rPr>
      <w:b/>
      <w:bCs/>
      <w:sz w:val="28"/>
      <w:szCs w:val="28"/>
    </w:rPr>
  </w:style>
  <w:style w:type="paragraph" w:styleId="Heading4">
    <w:name w:val="heading 4"/>
    <w:basedOn w:val="Normal"/>
    <w:next w:val="Normal"/>
    <w:uiPriority w:val="9"/>
    <w:unhideWhenUsed/>
    <w:qFormat/>
    <w:pPr>
      <w:pBdr>
        <w:top w:val="nil"/>
        <w:left w:val="nil"/>
        <w:bottom w:val="nil"/>
        <w:right w:val="nil"/>
        <w:between w:val="nil"/>
      </w:pBdr>
      <w:spacing w:before="255" w:after="255"/>
      <w:outlineLvl w:val="3"/>
    </w:pPr>
    <w:rPr>
      <w:b/>
      <w:bCs/>
      <w:sz w:val="24"/>
      <w:szCs w:val="24"/>
    </w:rPr>
  </w:style>
  <w:style w:type="paragraph" w:styleId="Heading5">
    <w:name w:val="heading 5"/>
    <w:basedOn w:val="Normal"/>
    <w:next w:val="Normal"/>
    <w:uiPriority w:val="9"/>
    <w:semiHidden/>
    <w:unhideWhenUsed/>
    <w:qFormat/>
    <w:pPr>
      <w:pBdr>
        <w:top w:val="nil"/>
        <w:left w:val="nil"/>
        <w:bottom w:val="nil"/>
        <w:right w:val="nil"/>
        <w:between w:val="nil"/>
      </w:pBdr>
      <w:spacing w:before="255" w:after="255"/>
      <w:outlineLvl w:val="4"/>
    </w:pPr>
    <w:rPr>
      <w:b/>
      <w:bCs/>
      <w:sz w:val="18"/>
      <w:szCs w:val="18"/>
    </w:rPr>
  </w:style>
  <w:style w:type="paragraph" w:styleId="Heading6">
    <w:name w:val="heading 6"/>
    <w:basedOn w:val="Normal"/>
    <w:next w:val="Normal"/>
    <w:uiPriority w:val="9"/>
    <w:semiHidden/>
    <w:unhideWhenUsed/>
    <w:qFormat/>
    <w:pPr>
      <w:pBdr>
        <w:top w:val="nil"/>
        <w:left w:val="nil"/>
        <w:bottom w:val="nil"/>
        <w:right w:val="nil"/>
        <w:between w:val="nil"/>
      </w:pBdr>
      <w:spacing w:before="360" w:after="360"/>
      <w:outlineLvl w:val="5"/>
    </w:pPr>
    <w:rPr>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paragraph" w:styleId="ListParagraph">
    <w:name w:val="List Paragraph"/>
    <w:basedOn w:val="Normal"/>
    <w:uiPriority w:val="34"/>
    <w:qFormat/>
    <w:rsid w:val="00BD3E57"/>
    <w:pPr>
      <w:ind w:left="720"/>
      <w:contextualSpacing/>
    </w:pPr>
    <w:rPr>
      <w:rFonts w:cs="Cordia New"/>
      <w:szCs w:val="28"/>
    </w:rPr>
  </w:style>
  <w:style w:type="paragraph" w:styleId="NormalWeb">
    <w:name w:val="Normal (Web)"/>
    <w:basedOn w:val="Normal"/>
    <w:uiPriority w:val="99"/>
    <w:unhideWhenUsed/>
    <w:rsid w:val="00680915"/>
    <w:pPr>
      <w:widowControl/>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rsid w:val="00EF73E7"/>
    <w:pPr>
      <w:widowControl/>
    </w:pPr>
    <w:rPr>
      <w:rFonts w:cs="Cordia New"/>
      <w:szCs w:val="28"/>
    </w:rPr>
  </w:style>
  <w:style w:type="character" w:styleId="CommentReference">
    <w:name w:val="annotation reference"/>
    <w:basedOn w:val="DefaultParagraphFont"/>
    <w:uiPriority w:val="99"/>
    <w:semiHidden/>
    <w:unhideWhenUsed/>
    <w:rsid w:val="00E57AE4"/>
    <w:rPr>
      <w:sz w:val="16"/>
      <w:szCs w:val="16"/>
    </w:rPr>
  </w:style>
  <w:style w:type="paragraph" w:styleId="CommentText">
    <w:name w:val="annotation text"/>
    <w:basedOn w:val="Normal"/>
    <w:link w:val="CommentTextChar"/>
    <w:uiPriority w:val="99"/>
    <w:unhideWhenUsed/>
    <w:rsid w:val="00E57AE4"/>
    <w:rPr>
      <w:rFonts w:cs="Cordia New"/>
      <w:sz w:val="20"/>
      <w:szCs w:val="25"/>
    </w:rPr>
  </w:style>
  <w:style w:type="character" w:customStyle="1" w:styleId="CommentTextChar">
    <w:name w:val="Comment Text Char"/>
    <w:basedOn w:val="DefaultParagraphFont"/>
    <w:link w:val="CommentText"/>
    <w:uiPriority w:val="99"/>
    <w:rsid w:val="00E57AE4"/>
    <w:rPr>
      <w:rFonts w:cs="Cordia New"/>
      <w:sz w:val="20"/>
      <w:szCs w:val="25"/>
    </w:rPr>
  </w:style>
  <w:style w:type="paragraph" w:styleId="CommentSubject">
    <w:name w:val="annotation subject"/>
    <w:basedOn w:val="CommentText"/>
    <w:next w:val="CommentText"/>
    <w:link w:val="CommentSubjectChar"/>
    <w:uiPriority w:val="99"/>
    <w:semiHidden/>
    <w:unhideWhenUsed/>
    <w:rsid w:val="00E57AE4"/>
    <w:rPr>
      <w:b/>
      <w:bCs/>
    </w:rPr>
  </w:style>
  <w:style w:type="character" w:customStyle="1" w:styleId="CommentSubjectChar">
    <w:name w:val="Comment Subject Char"/>
    <w:basedOn w:val="CommentTextChar"/>
    <w:link w:val="CommentSubject"/>
    <w:uiPriority w:val="99"/>
    <w:semiHidden/>
    <w:rsid w:val="00E57AE4"/>
    <w:rPr>
      <w:rFonts w:cs="Cordia New"/>
      <w:b/>
      <w:bCs/>
      <w:sz w:val="20"/>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TotalTime>
  <Pages>12</Pages>
  <Words>3135</Words>
  <Characters>19469</Characters>
  <Application>Microsoft Office Word</Application>
  <DocSecurity>0</DocSecurity>
  <Lines>309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Suwimol Sereepaowong</cp:lastModifiedBy>
  <cp:revision>15</cp:revision>
  <dcterms:created xsi:type="dcterms:W3CDTF">2025-11-27T07:47:00Z</dcterms:created>
  <dcterms:modified xsi:type="dcterms:W3CDTF">2025-12-07T08:00:00Z</dcterms:modified>
</cp:coreProperties>
</file>