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E94A4D" w14:textId="7D23CF33" w:rsidR="00E75A83" w:rsidRPr="00B97B69" w:rsidRDefault="00EE2ECC" w:rsidP="00710A62">
      <w:pPr>
        <w:pBdr>
          <w:top w:val="nil"/>
          <w:left w:val="nil"/>
          <w:bottom w:val="nil"/>
          <w:right w:val="nil"/>
          <w:between w:val="nil"/>
        </w:pBdr>
        <w:spacing w:after="0" w:line="360" w:lineRule="auto"/>
        <w:contextualSpacing/>
        <w:jc w:val="center"/>
        <w:rPr>
          <w:rFonts w:ascii="Arial" w:hAnsi="Arial" w:cs="Arial"/>
          <w:b/>
          <w:bCs/>
          <w:color w:val="000000" w:themeColor="text1"/>
          <w:sz w:val="24"/>
          <w:szCs w:val="24"/>
        </w:rPr>
      </w:pPr>
      <w:r>
        <w:rPr>
          <w:rFonts w:ascii="Arial" w:hAnsi="Arial" w:cs="Arial"/>
          <w:b/>
          <w:bCs/>
          <w:color w:val="000000" w:themeColor="text1"/>
          <w:sz w:val="24"/>
          <w:szCs w:val="24"/>
        </w:rPr>
        <w:t>2.</w:t>
      </w:r>
      <w:r w:rsidR="00E75A83" w:rsidRPr="00B97B69">
        <w:rPr>
          <w:rFonts w:ascii="Arial" w:hAnsi="Arial" w:cs="Arial"/>
          <w:b/>
          <w:bCs/>
          <w:color w:val="000000" w:themeColor="text1"/>
          <w:sz w:val="24"/>
          <w:szCs w:val="24"/>
        </w:rPr>
        <w:t xml:space="preserve"> Socioeconomics and Climate-related threats</w:t>
      </w:r>
    </w:p>
    <w:p w14:paraId="1FD45FAA" w14:textId="77777777" w:rsidR="00E75A83" w:rsidRPr="004032CD" w:rsidRDefault="00E75A83" w:rsidP="00710A62">
      <w:pPr>
        <w:pBdr>
          <w:top w:val="nil"/>
          <w:left w:val="nil"/>
          <w:bottom w:val="nil"/>
          <w:right w:val="nil"/>
          <w:between w:val="nil"/>
        </w:pBdr>
        <w:spacing w:after="0" w:line="360" w:lineRule="auto"/>
        <w:contextualSpacing/>
        <w:jc w:val="center"/>
        <w:rPr>
          <w:rFonts w:ascii="Arial" w:hAnsi="Arial"/>
          <w:b/>
          <w:bCs/>
          <w:color w:val="000000" w:themeColor="text1"/>
          <w:sz w:val="24"/>
          <w:szCs w:val="24"/>
          <w:cs/>
        </w:rPr>
      </w:pPr>
    </w:p>
    <w:p w14:paraId="3166C19E" w14:textId="478FA18E" w:rsidR="00E75A83" w:rsidRPr="00B97B69" w:rsidRDefault="00E75A83" w:rsidP="00710A62">
      <w:pPr>
        <w:pBdr>
          <w:top w:val="nil"/>
          <w:left w:val="nil"/>
          <w:bottom w:val="nil"/>
          <w:right w:val="nil"/>
          <w:between w:val="nil"/>
        </w:pBdr>
        <w:spacing w:after="0" w:line="360" w:lineRule="auto"/>
        <w:contextualSpacing/>
        <w:rPr>
          <w:rFonts w:ascii="Arial" w:hAnsi="Arial"/>
          <w:b/>
          <w:bCs/>
          <w:color w:val="000000" w:themeColor="text1"/>
          <w:sz w:val="24"/>
          <w:szCs w:val="24"/>
        </w:rPr>
      </w:pPr>
      <w:r w:rsidRPr="00B97B69">
        <w:rPr>
          <w:rFonts w:ascii="Arial" w:hAnsi="Arial" w:cs="Arial"/>
          <w:b/>
          <w:bCs/>
          <w:color w:val="000000" w:themeColor="text1"/>
          <w:sz w:val="24"/>
          <w:szCs w:val="24"/>
        </w:rPr>
        <w:t xml:space="preserve">2.1 Key </w:t>
      </w:r>
      <w:r w:rsidR="00F12DDF">
        <w:rPr>
          <w:rFonts w:ascii="Arial" w:hAnsi="Arial" w:cs="Arial"/>
          <w:b/>
          <w:bCs/>
          <w:color w:val="000000" w:themeColor="text1"/>
          <w:sz w:val="24"/>
          <w:szCs w:val="24"/>
        </w:rPr>
        <w:t>f</w:t>
      </w:r>
      <w:r w:rsidRPr="00B97B69">
        <w:rPr>
          <w:rFonts w:ascii="Arial" w:hAnsi="Arial" w:cs="Arial"/>
          <w:b/>
          <w:bCs/>
          <w:color w:val="000000" w:themeColor="text1"/>
          <w:sz w:val="24"/>
          <w:szCs w:val="24"/>
        </w:rPr>
        <w:t>indings</w:t>
      </w:r>
    </w:p>
    <w:p w14:paraId="08252E9F" w14:textId="0E73EB7B" w:rsidR="00E75A83" w:rsidRDefault="00E16C63" w:rsidP="00710A62">
      <w:pPr>
        <w:pBdr>
          <w:top w:val="nil"/>
          <w:left w:val="nil"/>
          <w:bottom w:val="nil"/>
          <w:right w:val="nil"/>
          <w:between w:val="nil"/>
        </w:pBdr>
        <w:spacing w:after="0" w:line="360" w:lineRule="auto"/>
        <w:contextualSpacing/>
        <w:jc w:val="thaiDistribute"/>
        <w:rPr>
          <w:rFonts w:ascii="Arial" w:hAnsi="Arial"/>
          <w:color w:val="000000" w:themeColor="text1"/>
          <w:sz w:val="24"/>
          <w:szCs w:val="24"/>
        </w:rPr>
      </w:pPr>
      <w:r w:rsidRPr="00E16C63">
        <w:rPr>
          <w:rFonts w:ascii="Arial" w:hAnsi="Arial"/>
          <w:color w:val="000000" w:themeColor="text1"/>
          <w:sz w:val="24"/>
          <w:szCs w:val="24"/>
        </w:rPr>
        <w:t>This National TDA report assesses Thailand's current vulnerabilities by analyzing socioeconomic risks, climate hazards, and the policy landscape. The synthesis yields the following key findings:</w:t>
      </w:r>
    </w:p>
    <w:p w14:paraId="51B87F4A" w14:textId="77777777" w:rsidR="00E16C63" w:rsidRPr="00B97B69" w:rsidRDefault="00E16C63" w:rsidP="00710A62">
      <w:pPr>
        <w:pBdr>
          <w:top w:val="nil"/>
          <w:left w:val="nil"/>
          <w:bottom w:val="nil"/>
          <w:right w:val="nil"/>
          <w:between w:val="nil"/>
        </w:pBdr>
        <w:spacing w:after="0" w:line="360" w:lineRule="auto"/>
        <w:contextualSpacing/>
        <w:jc w:val="thaiDistribute"/>
        <w:rPr>
          <w:rFonts w:ascii="Arial" w:hAnsi="Arial"/>
          <w:color w:val="000000" w:themeColor="text1"/>
          <w:sz w:val="24"/>
          <w:szCs w:val="24"/>
        </w:rPr>
      </w:pPr>
    </w:p>
    <w:p w14:paraId="720C8C84" w14:textId="77777777" w:rsidR="008D5CC2" w:rsidRDefault="00E75A83" w:rsidP="008D5CC2">
      <w:pPr>
        <w:pBdr>
          <w:top w:val="nil"/>
          <w:left w:val="nil"/>
          <w:bottom w:val="nil"/>
          <w:right w:val="nil"/>
          <w:between w:val="nil"/>
        </w:pBdr>
        <w:spacing w:after="0" w:line="360" w:lineRule="auto"/>
        <w:ind w:firstLine="720"/>
        <w:contextualSpacing/>
        <w:jc w:val="thaiDistribute"/>
        <w:rPr>
          <w:rFonts w:ascii="Arial" w:hAnsi="Arial" w:cs="Arial"/>
          <w:color w:val="000000" w:themeColor="text1"/>
          <w:sz w:val="24"/>
          <w:szCs w:val="24"/>
        </w:rPr>
      </w:pPr>
      <w:r w:rsidRPr="00B97B69">
        <w:rPr>
          <w:rFonts w:ascii="Arial" w:hAnsi="Arial"/>
          <w:color w:val="000000" w:themeColor="text1"/>
          <w:sz w:val="24"/>
          <w:szCs w:val="24"/>
        </w:rPr>
        <w:t>1.</w:t>
      </w:r>
      <w:r w:rsidRPr="00B97B69">
        <w:rPr>
          <w:rFonts w:ascii="Arial" w:hAnsi="Arial" w:cs="Arial"/>
          <w:color w:val="000000" w:themeColor="text1"/>
          <w:sz w:val="24"/>
          <w:szCs w:val="24"/>
        </w:rPr>
        <w:t xml:space="preserve"> </w:t>
      </w:r>
      <w:r w:rsidR="008D5CC2" w:rsidRPr="008D5CC2">
        <w:rPr>
          <w:rFonts w:ascii="Arial" w:hAnsi="Arial" w:cs="Arial"/>
          <w:color w:val="000000" w:themeColor="text1"/>
          <w:sz w:val="24"/>
          <w:szCs w:val="24"/>
        </w:rPr>
        <w:t>Distinct socioeconomic risk profiles</w:t>
      </w:r>
      <w:r w:rsidR="008D5CC2" w:rsidRPr="008D5CC2">
        <w:rPr>
          <w:rFonts w:ascii="Arial" w:hAnsi="Arial" w:cs="Arial"/>
          <w:b/>
          <w:bCs/>
          <w:color w:val="000000" w:themeColor="text1"/>
          <w:sz w:val="24"/>
          <w:szCs w:val="24"/>
        </w:rPr>
        <w:t>:</w:t>
      </w:r>
      <w:r w:rsidR="008D5CC2" w:rsidRPr="008D5CC2">
        <w:rPr>
          <w:rFonts w:ascii="Arial" w:hAnsi="Arial" w:cs="Arial"/>
          <w:color w:val="000000" w:themeColor="text1"/>
          <w:sz w:val="24"/>
          <w:szCs w:val="24"/>
        </w:rPr>
        <w:t xml:space="preserve"> The Composite Risk Index classifies coastal provinces into three priority groups. The 'Pure intensity risk' group covers economic hubs like Bangkok that need targeted spatial management. The 'Pure magnitude risk' group includes large provinces like Surat Thani requiring broad resource planning. Finally, the 'Hybrid risk' group ranks high in both metrics and demands the most integrated policy response.</w:t>
      </w:r>
    </w:p>
    <w:p w14:paraId="2B7BEF43" w14:textId="77777777" w:rsidR="008D5CC2" w:rsidRDefault="008D5CC2" w:rsidP="008D5CC2">
      <w:pPr>
        <w:pBdr>
          <w:top w:val="nil"/>
          <w:left w:val="nil"/>
          <w:bottom w:val="nil"/>
          <w:right w:val="nil"/>
          <w:between w:val="nil"/>
        </w:pBdr>
        <w:spacing w:after="0" w:line="360" w:lineRule="auto"/>
        <w:ind w:firstLine="720"/>
        <w:contextualSpacing/>
        <w:jc w:val="thaiDistribute"/>
        <w:rPr>
          <w:rFonts w:ascii="Arial" w:hAnsi="Arial" w:cs="Arial"/>
          <w:color w:val="000000" w:themeColor="text1"/>
          <w:sz w:val="24"/>
          <w:szCs w:val="24"/>
        </w:rPr>
      </w:pPr>
      <w:r w:rsidRPr="008D5CC2">
        <w:rPr>
          <w:rFonts w:ascii="Arial" w:hAnsi="Arial" w:cs="Arial"/>
          <w:color w:val="000000" w:themeColor="text1"/>
          <w:sz w:val="24"/>
          <w:szCs w:val="24"/>
        </w:rPr>
        <w:t>2. Climate hazards as risk multipliers: Physical threats act as a multiplier that intensifies existing socioeconomic vulnerabilities. National data confirms that hydrometeorological hazards, such as cyclones and erosion, significantly amplify the risks facing coastal provinces.</w:t>
      </w:r>
    </w:p>
    <w:p w14:paraId="26A0852E" w14:textId="6A72544F" w:rsidR="008D5CC2" w:rsidRDefault="008D5CC2" w:rsidP="008D5CC2">
      <w:pPr>
        <w:pBdr>
          <w:top w:val="nil"/>
          <w:left w:val="nil"/>
          <w:bottom w:val="nil"/>
          <w:right w:val="nil"/>
          <w:between w:val="nil"/>
        </w:pBdr>
        <w:spacing w:after="0" w:line="360" w:lineRule="auto"/>
        <w:ind w:firstLine="720"/>
        <w:contextualSpacing/>
        <w:jc w:val="thaiDistribute"/>
        <w:rPr>
          <w:rFonts w:ascii="Arial" w:hAnsi="Arial" w:cs="Arial"/>
          <w:color w:val="000000" w:themeColor="text1"/>
          <w:sz w:val="24"/>
          <w:szCs w:val="24"/>
        </w:rPr>
      </w:pPr>
      <w:r w:rsidRPr="008D5CC2">
        <w:rPr>
          <w:rFonts w:ascii="Arial" w:hAnsi="Arial" w:cs="Arial"/>
          <w:color w:val="000000" w:themeColor="text1"/>
          <w:sz w:val="24"/>
          <w:szCs w:val="24"/>
        </w:rPr>
        <w:t xml:space="preserve">3. Established policy architecture: Thailand </w:t>
      </w:r>
      <w:r>
        <w:rPr>
          <w:rFonts w:ascii="Arial" w:hAnsi="Arial" w:cs="Browallia New"/>
          <w:color w:val="000000" w:themeColor="text1"/>
          <w:sz w:val="24"/>
          <w:szCs w:val="30"/>
        </w:rPr>
        <w:t>has established</w:t>
      </w:r>
      <w:r w:rsidRPr="008D5CC2">
        <w:rPr>
          <w:rFonts w:ascii="Arial" w:hAnsi="Arial" w:cs="Arial"/>
          <w:color w:val="000000" w:themeColor="text1"/>
          <w:sz w:val="24"/>
          <w:szCs w:val="24"/>
        </w:rPr>
        <w:t xml:space="preserve"> a comprehensive multi-level framework to address these challenges. This hierarchy spans from the Level 1 National Strategy (2018-2037) to the Level 2 13th National Economic and Social Development Plan, specifically Milestone 11. It is then operationalized through Level 3 agency-specific frameworks, such as the Action Plans of the Department of Climate Change and Environment.</w:t>
      </w:r>
    </w:p>
    <w:p w14:paraId="05C3F4C6" w14:textId="54A618E2" w:rsidR="005F612F" w:rsidRDefault="00E75A83" w:rsidP="008D5CC2">
      <w:pPr>
        <w:pBdr>
          <w:top w:val="nil"/>
          <w:left w:val="nil"/>
          <w:bottom w:val="nil"/>
          <w:right w:val="nil"/>
          <w:between w:val="nil"/>
        </w:pBdr>
        <w:spacing w:after="0" w:line="360" w:lineRule="auto"/>
        <w:ind w:firstLine="720"/>
        <w:contextualSpacing/>
        <w:jc w:val="thaiDistribute"/>
        <w:rPr>
          <w:rFonts w:ascii="Arial" w:hAnsi="Arial"/>
          <w:color w:val="000000" w:themeColor="text1"/>
          <w:sz w:val="24"/>
          <w:szCs w:val="24"/>
        </w:rPr>
      </w:pPr>
      <w:r w:rsidRPr="008D5CC2">
        <w:rPr>
          <w:rFonts w:ascii="Arial" w:hAnsi="Arial" w:cs="Arial"/>
          <w:color w:val="000000" w:themeColor="text1"/>
          <w:sz w:val="24"/>
          <w:szCs w:val="24"/>
        </w:rPr>
        <w:t xml:space="preserve">4. </w:t>
      </w:r>
      <w:bookmarkStart w:id="0" w:name="_Hlk214007446"/>
      <w:r w:rsidR="008D5CC2" w:rsidRPr="008D5CC2">
        <w:rPr>
          <w:rFonts w:ascii="Arial" w:hAnsi="Arial" w:cs="Arial"/>
          <w:color w:val="000000" w:themeColor="text1"/>
          <w:sz w:val="24"/>
          <w:szCs w:val="24"/>
        </w:rPr>
        <w:t xml:space="preserve">Critical implementation gaps: Despite good planning, four deficiencies hinder progress. Strategic gaps arise from a lack of coordination between economic and climate policies. Technical gaps </w:t>
      </w:r>
      <w:r w:rsidR="008D5CC2">
        <w:rPr>
          <w:rFonts w:ascii="Arial" w:hAnsi="Arial" w:cs="Arial"/>
          <w:color w:val="000000" w:themeColor="text1"/>
          <w:sz w:val="24"/>
          <w:szCs w:val="24"/>
        </w:rPr>
        <w:t>arise</w:t>
      </w:r>
      <w:r w:rsidR="008D5CC2" w:rsidRPr="008D5CC2">
        <w:rPr>
          <w:rFonts w:ascii="Arial" w:hAnsi="Arial" w:cs="Arial"/>
          <w:color w:val="000000" w:themeColor="text1"/>
          <w:sz w:val="24"/>
          <w:szCs w:val="24"/>
        </w:rPr>
        <w:t xml:space="preserve"> from scientific uncertainty about specific climate impacts. Operational gaps involve resource constraints where agencies like the DCCE face expanded mandates without sufficient budget or staff. Systemic gaps persist due to a budgeting preference for reactive relief over proactive mitigation.</w:t>
      </w:r>
    </w:p>
    <w:p w14:paraId="1A4F16ED" w14:textId="7070841B" w:rsidR="00A44135" w:rsidRDefault="00BE25A9" w:rsidP="000443F6">
      <w:pPr>
        <w:pBdr>
          <w:top w:val="nil"/>
          <w:left w:val="nil"/>
          <w:bottom w:val="nil"/>
          <w:right w:val="nil"/>
          <w:between w:val="nil"/>
        </w:pBdr>
        <w:spacing w:after="0" w:line="360" w:lineRule="auto"/>
        <w:ind w:firstLine="720"/>
        <w:contextualSpacing/>
        <w:jc w:val="thaiDistribute"/>
        <w:rPr>
          <w:rFonts w:ascii="Arial" w:hAnsi="Arial"/>
          <w:color w:val="000000" w:themeColor="text1"/>
          <w:sz w:val="24"/>
          <w:szCs w:val="24"/>
        </w:rPr>
      </w:pPr>
      <w:r w:rsidRPr="000443F6">
        <w:rPr>
          <w:rFonts w:ascii="Arial" w:hAnsi="Arial"/>
          <w:color w:val="000000" w:themeColor="text1"/>
          <w:sz w:val="24"/>
          <w:szCs w:val="24"/>
        </w:rPr>
        <w:t xml:space="preserve">5. </w:t>
      </w:r>
      <w:r w:rsidR="000443F6" w:rsidRPr="000443F6">
        <w:rPr>
          <w:rFonts w:ascii="Arial" w:hAnsi="Arial" w:cs="Arial"/>
          <w:color w:val="000000" w:themeColor="text1"/>
          <w:sz w:val="24"/>
          <w:szCs w:val="24"/>
        </w:rPr>
        <w:t xml:space="preserve">Priority actions to transition from reactive to proactive governance: A shift to proactive governance requires three key steps. First, the budget structure must change to prioritize prevention, supported by data from applied risk assessment models. Second, the government needs to implement differentiated, area-based </w:t>
      </w:r>
      <w:r w:rsidR="000443F6" w:rsidRPr="000443F6">
        <w:rPr>
          <w:rFonts w:ascii="Arial" w:hAnsi="Arial" w:cs="Arial"/>
          <w:color w:val="000000" w:themeColor="text1"/>
          <w:sz w:val="24"/>
          <w:szCs w:val="24"/>
        </w:rPr>
        <w:lastRenderedPageBreak/>
        <w:t>adaptation. This means tailoring responses to specific needs, such as infrastructure resilience for 'Intensity-risk' groups, ecosystem restoration for 'Magnitude-risk' groups, and comprehensive planning for 'Hybrid-risk' areas. Third, regional cooperation must be strengthened to manage shared threats. Essential measures include upgrading early warning systems, managing marine pollution and oil spills collaboratively, and formulating joint strategies for climate finance</w:t>
      </w:r>
      <w:r w:rsidR="004E597C">
        <w:rPr>
          <w:rFonts w:ascii="Arial" w:hAnsi="Arial" w:cs="Arial"/>
          <w:color w:val="000000" w:themeColor="text1"/>
          <w:sz w:val="24"/>
          <w:szCs w:val="24"/>
        </w:rPr>
        <w:t>.</w:t>
      </w:r>
    </w:p>
    <w:p w14:paraId="620A1906" w14:textId="77777777" w:rsidR="000443F6" w:rsidRPr="000443F6" w:rsidRDefault="000443F6" w:rsidP="000443F6">
      <w:pPr>
        <w:pBdr>
          <w:top w:val="nil"/>
          <w:left w:val="nil"/>
          <w:bottom w:val="nil"/>
          <w:right w:val="nil"/>
          <w:between w:val="nil"/>
        </w:pBdr>
        <w:spacing w:after="0" w:line="360" w:lineRule="auto"/>
        <w:ind w:firstLine="720"/>
        <w:contextualSpacing/>
        <w:jc w:val="thaiDistribute"/>
        <w:rPr>
          <w:rFonts w:ascii="Arial" w:hAnsi="Arial"/>
          <w:color w:val="000000" w:themeColor="text1"/>
          <w:sz w:val="24"/>
          <w:szCs w:val="24"/>
        </w:rPr>
      </w:pPr>
    </w:p>
    <w:bookmarkEnd w:id="0"/>
    <w:p w14:paraId="39F3E7B3" w14:textId="400C475E" w:rsidR="00E75A83" w:rsidRPr="00B97B69" w:rsidRDefault="00E75A83" w:rsidP="00710A62">
      <w:pPr>
        <w:pBdr>
          <w:top w:val="nil"/>
          <w:left w:val="nil"/>
          <w:bottom w:val="nil"/>
          <w:right w:val="nil"/>
          <w:between w:val="nil"/>
        </w:pBd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2.2 Current </w:t>
      </w:r>
      <w:r w:rsidR="00F12DDF">
        <w:rPr>
          <w:rFonts w:ascii="Arial" w:hAnsi="Arial" w:cs="Arial"/>
          <w:b/>
          <w:bCs/>
          <w:color w:val="000000" w:themeColor="text1"/>
          <w:sz w:val="24"/>
          <w:szCs w:val="24"/>
        </w:rPr>
        <w:t>s</w:t>
      </w:r>
      <w:r w:rsidRPr="00B97B69">
        <w:rPr>
          <w:rFonts w:ascii="Arial" w:hAnsi="Arial" w:cs="Arial"/>
          <w:b/>
          <w:bCs/>
          <w:color w:val="000000" w:themeColor="text1"/>
          <w:sz w:val="24"/>
          <w:szCs w:val="24"/>
        </w:rPr>
        <w:t xml:space="preserve">tatus by </w:t>
      </w:r>
      <w:r w:rsidR="00F12DDF">
        <w:rPr>
          <w:rFonts w:ascii="Arial" w:hAnsi="Arial" w:cs="Arial"/>
          <w:b/>
          <w:bCs/>
          <w:color w:val="000000" w:themeColor="text1"/>
          <w:sz w:val="24"/>
          <w:szCs w:val="24"/>
        </w:rPr>
        <w:t>i</w:t>
      </w:r>
      <w:r w:rsidRPr="00B97B69">
        <w:rPr>
          <w:rFonts w:ascii="Arial" w:hAnsi="Arial" w:cs="Arial"/>
          <w:b/>
          <w:bCs/>
          <w:color w:val="000000" w:themeColor="text1"/>
          <w:sz w:val="24"/>
          <w:szCs w:val="24"/>
        </w:rPr>
        <w:t xml:space="preserve">ndicator </w:t>
      </w:r>
      <w:r w:rsidR="00F12DDF">
        <w:rPr>
          <w:rFonts w:ascii="Arial" w:hAnsi="Arial" w:cs="Arial"/>
          <w:b/>
          <w:bCs/>
          <w:color w:val="000000" w:themeColor="text1"/>
          <w:sz w:val="24"/>
          <w:szCs w:val="24"/>
        </w:rPr>
        <w:t>g</w:t>
      </w:r>
      <w:r w:rsidRPr="00B97B69">
        <w:rPr>
          <w:rFonts w:ascii="Arial" w:hAnsi="Arial" w:cs="Arial"/>
          <w:b/>
          <w:bCs/>
          <w:color w:val="000000" w:themeColor="text1"/>
          <w:sz w:val="24"/>
          <w:szCs w:val="24"/>
        </w:rPr>
        <w:t>roup</w:t>
      </w:r>
    </w:p>
    <w:p w14:paraId="5D0C8E0D"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b/>
          <w:bCs/>
          <w:color w:val="000000" w:themeColor="text1"/>
          <w:sz w:val="24"/>
          <w:szCs w:val="24"/>
        </w:rPr>
      </w:pPr>
    </w:p>
    <w:p w14:paraId="45B26243"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B97B69">
        <w:rPr>
          <w:rFonts w:ascii="Arial" w:hAnsi="Arial" w:cs="Arial"/>
          <w:b/>
          <w:bCs/>
          <w:color w:val="000000" w:themeColor="text1"/>
          <w:sz w:val="24"/>
          <w:szCs w:val="24"/>
        </w:rPr>
        <w:t>2.2.1 Demographic patterns</w:t>
      </w:r>
      <w:r w:rsidRPr="00B97B69">
        <w:rPr>
          <w:rFonts w:ascii="Arial" w:hAnsi="Arial" w:cs="Arial"/>
          <w:color w:val="000000" w:themeColor="text1"/>
          <w:sz w:val="24"/>
          <w:szCs w:val="24"/>
        </w:rPr>
        <w:t xml:space="preserve"> </w:t>
      </w:r>
    </w:p>
    <w:p w14:paraId="67708080"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p>
    <w:p w14:paraId="61FE985F" w14:textId="77777777" w:rsidR="00E75A83" w:rsidRPr="008A2EAE"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cs/>
        </w:rPr>
      </w:pPr>
      <w:r w:rsidRPr="00B97B69">
        <w:rPr>
          <w:rFonts w:ascii="Arial" w:hAnsi="Arial" w:cs="Arial"/>
          <w:color w:val="000000" w:themeColor="text1"/>
          <w:sz w:val="24"/>
          <w:szCs w:val="24"/>
        </w:rPr>
        <w:t>Thailand has 23 coastal provinces,</w:t>
      </w:r>
      <w:r w:rsidRPr="00B97B69">
        <w:rPr>
          <w:rFonts w:ascii="Arial" w:hAnsi="Arial" w:cs="Arial"/>
          <w:color w:val="000000" w:themeColor="text1"/>
          <w:sz w:val="24"/>
          <w:szCs w:val="24"/>
          <w:cs/>
        </w:rPr>
        <w:t xml:space="preserve"> </w:t>
      </w:r>
      <w:r w:rsidRPr="00B97B69">
        <w:rPr>
          <w:rFonts w:ascii="Arial" w:hAnsi="Arial" w:cs="Arial"/>
          <w:color w:val="000000" w:themeColor="text1"/>
          <w:sz w:val="24"/>
          <w:szCs w:val="24"/>
        </w:rPr>
        <w:t xml:space="preserve">including Bangkok, stretching along both the Gulf of Thailand and the Andaman Sea, covering a diverse range of ecological, economic, and geographic characteristics </w:t>
      </w:r>
      <w:r w:rsidRPr="00B97B69">
        <w:rPr>
          <w:rFonts w:ascii="Arial" w:hAnsi="Arial" w:cs="Arial"/>
          <w:b/>
          <w:bCs/>
          <w:color w:val="000000" w:themeColor="text1"/>
          <w:sz w:val="24"/>
          <w:szCs w:val="24"/>
        </w:rPr>
        <w:t>(Figure 2.1)</w:t>
      </w:r>
      <w:r w:rsidRPr="00B97B69">
        <w:rPr>
          <w:rFonts w:ascii="Arial" w:hAnsi="Arial" w:cs="Arial"/>
          <w:color w:val="000000" w:themeColor="text1"/>
          <w:sz w:val="24"/>
          <w:szCs w:val="24"/>
        </w:rPr>
        <w:t>. Of these, six provinces are situated along the Andaman coast, namely Ranong, Phang-</w:t>
      </w:r>
      <w:proofErr w:type="spellStart"/>
      <w:r w:rsidRPr="00B97B69">
        <w:rPr>
          <w:rFonts w:ascii="Arial" w:hAnsi="Arial" w:cs="Arial"/>
          <w:color w:val="000000" w:themeColor="text1"/>
          <w:sz w:val="24"/>
          <w:szCs w:val="24"/>
        </w:rPr>
        <w:t>nga</w:t>
      </w:r>
      <w:proofErr w:type="spellEnd"/>
      <w:r w:rsidRPr="00B97B69">
        <w:rPr>
          <w:rFonts w:ascii="Arial" w:hAnsi="Arial" w:cs="Arial"/>
          <w:color w:val="000000" w:themeColor="text1"/>
          <w:sz w:val="24"/>
          <w:szCs w:val="24"/>
        </w:rPr>
        <w:t>, Phuket, Krabi, Trang, and Satun, while seventeen provinces lie along the Gulf of Thailand, including Trat, Chanthaburi, Rayong, Chon Buri, Samut Prakan, Samut Sakhon, Samut Songkhram, Bangkok, Chachoengsao, Phetchaburi, Prachuap Khiri Khan, Chumphon, Surat Thani, Nakhon Si Thammarat, Songkhla, Pattani, and Narathiwat.</w:t>
      </w:r>
      <w:r w:rsidRPr="00B97B69">
        <w:rPr>
          <w:rFonts w:ascii="Arial" w:hAnsi="Arial" w:hint="cs"/>
          <w:color w:val="000000" w:themeColor="text1"/>
          <w:sz w:val="24"/>
          <w:szCs w:val="24"/>
          <w:cs/>
        </w:rPr>
        <w:t xml:space="preserve"> </w:t>
      </w:r>
      <w:r w:rsidRPr="00B97B69">
        <w:rPr>
          <w:rFonts w:ascii="Arial" w:hAnsi="Arial" w:cs="Arial"/>
          <w:color w:val="000000" w:themeColor="text1"/>
          <w:sz w:val="24"/>
          <w:szCs w:val="24"/>
        </w:rPr>
        <w:t>The province with the longest coastline is Chumphon, extending approximately 248.33 kilometers, whereas Bangkok has the shortest coastline, measuring only 7.11 kilometers.</w:t>
      </w:r>
    </w:p>
    <w:p w14:paraId="7F286799"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B97B69">
        <w:rPr>
          <w:rFonts w:ascii="Arial" w:hAnsi="Arial" w:cs="Arial"/>
          <w:noProof/>
          <w:color w:val="000000" w:themeColor="text1"/>
          <w:sz w:val="24"/>
          <w:szCs w:val="24"/>
        </w:rPr>
        <mc:AlternateContent>
          <mc:Choice Requires="wpi">
            <w:drawing>
              <wp:anchor distT="0" distB="0" distL="114300" distR="114300" simplePos="0" relativeHeight="251659264" behindDoc="0" locked="0" layoutInCell="1" allowOverlap="1" wp14:anchorId="5AE0D249" wp14:editId="7DF023B7">
                <wp:simplePos x="0" y="0"/>
                <wp:positionH relativeFrom="column">
                  <wp:posOffset>2914650</wp:posOffset>
                </wp:positionH>
                <wp:positionV relativeFrom="paragraph">
                  <wp:posOffset>76110</wp:posOffset>
                </wp:positionV>
                <wp:extent cx="360" cy="360"/>
                <wp:effectExtent l="57150" t="57150" r="57150" b="57150"/>
                <wp:wrapNone/>
                <wp:docPr id="2110964685" name="Ink 44"/>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310AF25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4" o:spid="_x0000_s1026" type="#_x0000_t75" style="position:absolute;margin-left:228.8pt;margin-top:5.3pt;width:1.45pt;height:1.4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">
                <v:imagedata r:id="rId9" o:titl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7"/>
      </w:tblGrid>
      <w:tr w:rsidR="00B7322E" w:rsidRPr="00B97B69" w14:paraId="5029E8C4" w14:textId="77777777" w:rsidTr="0031702B">
        <w:tc>
          <w:tcPr>
            <w:tcW w:w="9017" w:type="dxa"/>
          </w:tcPr>
          <w:p w14:paraId="4C1B58C9" w14:textId="44937B5D" w:rsidR="004B420C" w:rsidRPr="004B420C" w:rsidRDefault="00E75A83" w:rsidP="004B420C">
            <w:pPr>
              <w:spacing w:line="360" w:lineRule="auto"/>
              <w:contextualSpacing/>
              <w:jc w:val="center"/>
              <w:rPr>
                <w:rFonts w:ascii="Arial" w:hAnsi="Arial" w:hint="cs"/>
                <w:color w:val="000000" w:themeColor="text1"/>
                <w:sz w:val="24"/>
                <w:szCs w:val="24"/>
              </w:rPr>
            </w:pPr>
            <w:r w:rsidRPr="00B97B69">
              <w:rPr>
                <w:rFonts w:ascii="Arial" w:hAnsi="Arial" w:cs="Arial"/>
                <w:noProof/>
                <w:color w:val="000000" w:themeColor="text1"/>
                <w:sz w:val="24"/>
                <w:szCs w:val="24"/>
              </w:rPr>
              <w:lastRenderedPageBreak/>
              <w:drawing>
                <wp:inline distT="0" distB="0" distL="0" distR="0" wp14:anchorId="00972496" wp14:editId="416340C5">
                  <wp:extent cx="3520745" cy="4976291"/>
                  <wp:effectExtent l="19050" t="19050" r="22860" b="15240"/>
                  <wp:docPr id="2847056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705668" name=""/>
                          <pic:cNvPicPr/>
                        </pic:nvPicPr>
                        <pic:blipFill>
                          <a:blip r:embed="rId10"/>
                          <a:stretch>
                            <a:fillRect/>
                          </a:stretch>
                        </pic:blipFill>
                        <pic:spPr>
                          <a:xfrm>
                            <a:off x="0" y="0"/>
                            <a:ext cx="3520745" cy="4976291"/>
                          </a:xfrm>
                          <a:prstGeom prst="rect">
                            <a:avLst/>
                          </a:prstGeom>
                          <a:ln w="12700">
                            <a:solidFill>
                              <a:schemeClr val="bg1">
                                <a:lumMod val="65000"/>
                              </a:schemeClr>
                            </a:solidFill>
                          </a:ln>
                        </pic:spPr>
                      </pic:pic>
                    </a:graphicData>
                  </a:graphic>
                </wp:inline>
              </w:drawing>
            </w:r>
          </w:p>
        </w:tc>
      </w:tr>
      <w:tr w:rsidR="00B7322E" w:rsidRPr="00B97B69" w14:paraId="3804696B" w14:textId="77777777" w:rsidTr="0031702B">
        <w:tc>
          <w:tcPr>
            <w:tcW w:w="9017" w:type="dxa"/>
          </w:tcPr>
          <w:p w14:paraId="72D3878F" w14:textId="77777777" w:rsidR="00E75A83" w:rsidRPr="00B97B69" w:rsidRDefault="00E75A83" w:rsidP="00710A62">
            <w:pPr>
              <w:spacing w:line="360" w:lineRule="auto"/>
              <w:contextualSpacing/>
              <w:jc w:val="both"/>
              <w:rPr>
                <w:rFonts w:ascii="Arial" w:hAnsi="Arial" w:cs="Arial"/>
                <w:color w:val="000000" w:themeColor="text1"/>
                <w:sz w:val="24"/>
                <w:szCs w:val="24"/>
              </w:rPr>
            </w:pPr>
          </w:p>
        </w:tc>
      </w:tr>
      <w:tr w:rsidR="00E75A83" w:rsidRPr="00B97B69" w14:paraId="50227A53" w14:textId="77777777" w:rsidTr="0031702B">
        <w:tc>
          <w:tcPr>
            <w:tcW w:w="9017" w:type="dxa"/>
          </w:tcPr>
          <w:p w14:paraId="1C4CFA13"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2.1</w:t>
            </w:r>
            <w:r w:rsidRPr="00B97B69">
              <w:rPr>
                <w:rFonts w:ascii="Arial" w:hAnsi="Arial" w:cs="Arial"/>
                <w:color w:val="000000" w:themeColor="text1"/>
                <w:sz w:val="24"/>
                <w:szCs w:val="24"/>
              </w:rPr>
              <w:t xml:space="preserve"> The coastal provinces of Thailand</w:t>
            </w:r>
          </w:p>
        </w:tc>
      </w:tr>
    </w:tbl>
    <w:p w14:paraId="55BBB0AC"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64B8B720" w14:textId="63C19B04" w:rsidR="00E75A83" w:rsidRPr="00B97B69" w:rsidRDefault="00767928"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767928">
        <w:rPr>
          <w:rFonts w:ascii="Arial" w:hAnsi="Arial" w:cs="Arial"/>
          <w:color w:val="000000" w:themeColor="text1"/>
          <w:sz w:val="24"/>
          <w:szCs w:val="24"/>
        </w:rPr>
        <w:t>Co</w:t>
      </w:r>
      <w:r>
        <w:rPr>
          <w:rFonts w:ascii="Arial" w:hAnsi="Arial" w:cs="Browallia New"/>
          <w:color w:val="000000" w:themeColor="text1"/>
          <w:sz w:val="24"/>
          <w:szCs w:val="30"/>
        </w:rPr>
        <w:t>mbined</w:t>
      </w:r>
      <w:r w:rsidRPr="00767928">
        <w:rPr>
          <w:rFonts w:ascii="Arial" w:hAnsi="Arial" w:cs="Arial"/>
          <w:color w:val="000000" w:themeColor="text1"/>
          <w:sz w:val="24"/>
          <w:szCs w:val="24"/>
        </w:rPr>
        <w:t xml:space="preserve"> covering 101,647 km² as of 2020, the coastal provinces along the Gulf of Thailand account for 19.8% of the national land area. Provincial sizes vary significantly, ranging from extensive territories like Surat Thani (12,891.5 km², 2.5% of the national total) and Nakhon Si Thammarat (9,942.5 km², 1.9%) to smaller entities such as Samut Songkhram, which occupies only 416.7 km² or 0.08% of the country's total area </w:t>
      </w:r>
      <w:r w:rsidRPr="00606413">
        <w:rPr>
          <w:rFonts w:ascii="Arial" w:hAnsi="Arial" w:cs="Arial"/>
          <w:b/>
          <w:bCs/>
          <w:color w:val="000000" w:themeColor="text1"/>
          <w:sz w:val="24"/>
          <w:szCs w:val="24"/>
        </w:rPr>
        <w:t>(Figure 2.2)</w:t>
      </w:r>
      <w:r w:rsidRPr="00767928">
        <w:rPr>
          <w:rFonts w:ascii="Arial" w:hAnsi="Arial" w:cs="Arial"/>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0E6A0CE9" w14:textId="77777777" w:rsidTr="0031702B">
        <w:tc>
          <w:tcPr>
            <w:tcW w:w="9350" w:type="dxa"/>
          </w:tcPr>
          <w:p w14:paraId="1D562F87"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lastRenderedPageBreak/>
              <w:drawing>
                <wp:inline distT="0" distB="0" distL="0" distR="0" wp14:anchorId="17B89AD7" wp14:editId="2018DDCF">
                  <wp:extent cx="5775036" cy="2340000"/>
                  <wp:effectExtent l="0" t="0" r="0" b="3175"/>
                  <wp:docPr id="532678447"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75036" cy="2340000"/>
                          </a:xfrm>
                          <a:prstGeom prst="rect">
                            <a:avLst/>
                          </a:prstGeom>
                          <a:noFill/>
                        </pic:spPr>
                      </pic:pic>
                    </a:graphicData>
                  </a:graphic>
                </wp:inline>
              </w:drawing>
            </w:r>
          </w:p>
        </w:tc>
      </w:tr>
      <w:tr w:rsidR="00E75A83" w:rsidRPr="00B97B69" w14:paraId="615DCA04" w14:textId="77777777" w:rsidTr="0031702B">
        <w:tc>
          <w:tcPr>
            <w:tcW w:w="9350" w:type="dxa"/>
          </w:tcPr>
          <w:p w14:paraId="157E0955" w14:textId="77777777" w:rsidR="00E75A83" w:rsidRPr="00B97B69" w:rsidRDefault="00E75A83" w:rsidP="00710A62">
            <w:pPr>
              <w:pBdr>
                <w:top w:val="nil"/>
                <w:left w:val="nil"/>
                <w:bottom w:val="nil"/>
                <w:right w:val="nil"/>
                <w:between w:val="nil"/>
              </w:pBdr>
              <w:spacing w:line="360" w:lineRule="auto"/>
              <w:contextualSpacing/>
              <w:jc w:val="center"/>
              <w:rPr>
                <w:rFonts w:ascii="Arial" w:hAnsi="Arial"/>
                <w:color w:val="000000" w:themeColor="text1"/>
                <w:sz w:val="24"/>
                <w:szCs w:val="24"/>
              </w:rPr>
            </w:pPr>
            <w:r w:rsidRPr="00B97B69">
              <w:rPr>
                <w:rFonts w:ascii="Arial" w:hAnsi="Arial" w:cs="Arial"/>
                <w:b/>
                <w:bCs/>
                <w:color w:val="000000" w:themeColor="text1"/>
                <w:sz w:val="24"/>
                <w:szCs w:val="24"/>
              </w:rPr>
              <w:t>Figure 2.2</w:t>
            </w:r>
            <w:r w:rsidRPr="00B97B69">
              <w:rPr>
                <w:rFonts w:ascii="Arial" w:hAnsi="Arial" w:cs="Arial"/>
                <w:color w:val="000000" w:themeColor="text1"/>
                <w:sz w:val="24"/>
                <w:szCs w:val="24"/>
              </w:rPr>
              <w:t xml:space="preserve"> Land area and national share of coastal provinces along the Gulf of Thailand (2020)</w:t>
            </w:r>
          </w:p>
          <w:p w14:paraId="1F38CEAF" w14:textId="77777777" w:rsidR="00E75A83" w:rsidRPr="00B97B69" w:rsidRDefault="00E75A83" w:rsidP="00710A62">
            <w:pPr>
              <w:pBdr>
                <w:top w:val="nil"/>
                <w:left w:val="nil"/>
                <w:bottom w:val="nil"/>
                <w:right w:val="nil"/>
                <w:between w:val="nil"/>
              </w:pBdr>
              <w:spacing w:line="360" w:lineRule="auto"/>
              <w:contextualSpacing/>
              <w:jc w:val="center"/>
              <w:rPr>
                <w:rFonts w:ascii="Arial" w:hAnsi="Arial" w:cs="Arial"/>
                <w:color w:val="000000" w:themeColor="text1"/>
                <w:sz w:val="24"/>
                <w:szCs w:val="24"/>
                <w:cs/>
              </w:rPr>
            </w:pPr>
            <w:r w:rsidRPr="00B97B69">
              <w:rPr>
                <w:rFonts w:ascii="Arial" w:hAnsi="Arial" w:cs="Arial"/>
                <w:color w:val="000000" w:themeColor="text1"/>
                <w:sz w:val="20"/>
                <w:szCs w:val="20"/>
              </w:rPr>
              <w:t xml:space="preserve">Source: Department of Provincial Administration. 2025. Official statistics registration systems. </w:t>
            </w:r>
            <w:hyperlink r:id="rId12"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tc>
      </w:tr>
    </w:tbl>
    <w:p w14:paraId="661BEF5D"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cs/>
        </w:rPr>
      </w:pPr>
    </w:p>
    <w:p w14:paraId="44C072E1" w14:textId="16DCA7C3" w:rsidR="00E75A83" w:rsidRPr="00B97B69" w:rsidRDefault="0060641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606413">
        <w:rPr>
          <w:rFonts w:ascii="Arial" w:hAnsi="Arial" w:cs="Arial"/>
          <w:color w:val="000000" w:themeColor="text1"/>
          <w:sz w:val="24"/>
          <w:szCs w:val="24"/>
        </w:rPr>
        <w:t xml:space="preserve">Between 2000 and 2020, Thailand’s total population increased from 61.9 million to 66.2 million, reflecting a gradual national growth, with the 17 coastal provinces along the Gulf of Thailand accounting for approximately 18.6 million people in 2020. This population consists of nearly equal proportions of males and females, although the share of females increased to 51.7% </w:t>
      </w:r>
      <w:r w:rsidRPr="00606413">
        <w:rPr>
          <w:rFonts w:ascii="Arial" w:hAnsi="Arial" w:cs="Arial"/>
          <w:b/>
          <w:bCs/>
          <w:color w:val="000000" w:themeColor="text1"/>
          <w:sz w:val="24"/>
          <w:szCs w:val="24"/>
        </w:rPr>
        <w:t>(Figure 2.3)</w:t>
      </w:r>
      <w:r w:rsidRPr="00606413">
        <w:rPr>
          <w:rFonts w:ascii="Arial" w:hAnsi="Arial" w:cs="Arial"/>
          <w:color w:val="000000" w:themeColor="text1"/>
          <w:sz w:val="24"/>
          <w:szCs w:val="24"/>
        </w:rPr>
        <w:t xml:space="preserve"> alongside a steady rise in the number of households due to smaller household sizes and urban migration. Provinces with the largest coastal populations include Nakhon Si Thammarat, Chon Buri, Songkhla, Samut Prakan, and notably Bangkok, which stands out as the most populous province with over 5.5 million residents and a predominance of females. In contrast, smaller provinces such as Samut Songkhram and Trat maintained populations below 300,000 </w:t>
      </w:r>
      <w:r w:rsidRPr="00606413">
        <w:rPr>
          <w:rFonts w:ascii="Arial" w:hAnsi="Arial" w:cs="Arial"/>
          <w:b/>
          <w:bCs/>
          <w:color w:val="000000" w:themeColor="text1"/>
          <w:sz w:val="24"/>
          <w:szCs w:val="24"/>
        </w:rPr>
        <w:t>(Figure 2.4)</w:t>
      </w:r>
      <w:r w:rsidRPr="00606413">
        <w:rPr>
          <w:rFonts w:ascii="Arial" w:hAnsi="Arial" w:cs="Arial"/>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02D9E2CD" w14:textId="77777777" w:rsidTr="0031702B">
        <w:tc>
          <w:tcPr>
            <w:tcW w:w="9017" w:type="dxa"/>
          </w:tcPr>
          <w:p w14:paraId="26040253"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noProof/>
                <w:color w:val="000000" w:themeColor="text1"/>
                <w:sz w:val="24"/>
                <w:szCs w:val="24"/>
              </w:rPr>
              <w:drawing>
                <wp:inline distT="0" distB="0" distL="0" distR="0" wp14:anchorId="75020E69" wp14:editId="6AEFC588">
                  <wp:extent cx="5781600" cy="1855409"/>
                  <wp:effectExtent l="0" t="0" r="0" b="0"/>
                  <wp:docPr id="1283184047"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81600" cy="1855409"/>
                          </a:xfrm>
                          <a:prstGeom prst="rect">
                            <a:avLst/>
                          </a:prstGeom>
                          <a:noFill/>
                        </pic:spPr>
                      </pic:pic>
                    </a:graphicData>
                  </a:graphic>
                </wp:inline>
              </w:drawing>
            </w:r>
          </w:p>
        </w:tc>
      </w:tr>
      <w:tr w:rsidR="00B7322E" w:rsidRPr="00B97B69" w14:paraId="249CF7BE" w14:textId="77777777" w:rsidTr="0031702B">
        <w:tc>
          <w:tcPr>
            <w:tcW w:w="9017" w:type="dxa"/>
          </w:tcPr>
          <w:p w14:paraId="7BDE923C" w14:textId="77777777" w:rsidR="00E75A83" w:rsidRPr="00B97B69" w:rsidRDefault="00E75A83" w:rsidP="00710A62">
            <w:pPr>
              <w:spacing w:line="360" w:lineRule="auto"/>
              <w:contextualSpacing/>
              <w:rPr>
                <w:rFonts w:ascii="Arial" w:hAnsi="Arial" w:cs="Arial"/>
                <w:b/>
                <w:bCs/>
                <w:noProof/>
                <w:color w:val="000000" w:themeColor="text1"/>
                <w:sz w:val="24"/>
                <w:szCs w:val="24"/>
              </w:rPr>
            </w:pPr>
          </w:p>
        </w:tc>
      </w:tr>
      <w:tr w:rsidR="00B7322E" w:rsidRPr="00B97B69" w14:paraId="05CD6AC5" w14:textId="77777777" w:rsidTr="0031702B">
        <w:tc>
          <w:tcPr>
            <w:tcW w:w="9017" w:type="dxa"/>
          </w:tcPr>
          <w:p w14:paraId="34D90CD1" w14:textId="77777777" w:rsidR="00E75A83" w:rsidRPr="00B97B69" w:rsidRDefault="00E75A83" w:rsidP="00710A62">
            <w:pPr>
              <w:spacing w:line="360" w:lineRule="auto"/>
              <w:contextualSpacing/>
              <w:rPr>
                <w:rFonts w:ascii="Arial" w:hAnsi="Arial" w:cs="Arial"/>
                <w:b/>
                <w:bCs/>
                <w:noProof/>
                <w:color w:val="000000" w:themeColor="text1"/>
                <w:sz w:val="24"/>
                <w:szCs w:val="24"/>
              </w:rPr>
            </w:pPr>
            <w:r w:rsidRPr="00B97B69">
              <w:rPr>
                <w:rFonts w:ascii="Arial" w:hAnsi="Arial" w:cs="Arial"/>
                <w:b/>
                <w:bCs/>
                <w:noProof/>
                <w:color w:val="000000" w:themeColor="text1"/>
                <w:sz w:val="24"/>
                <w:szCs w:val="24"/>
              </w:rPr>
              <w:lastRenderedPageBreak/>
              <w:drawing>
                <wp:inline distT="0" distB="0" distL="0" distR="0" wp14:anchorId="0B79E81F" wp14:editId="5ECAAE86">
                  <wp:extent cx="5782022" cy="1800000"/>
                  <wp:effectExtent l="0" t="0" r="0" b="0"/>
                  <wp:docPr id="1330345089"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82022" cy="1800000"/>
                          </a:xfrm>
                          <a:prstGeom prst="rect">
                            <a:avLst/>
                          </a:prstGeom>
                          <a:noFill/>
                        </pic:spPr>
                      </pic:pic>
                    </a:graphicData>
                  </a:graphic>
                </wp:inline>
              </w:drawing>
            </w:r>
          </w:p>
        </w:tc>
      </w:tr>
      <w:tr w:rsidR="00B7322E" w:rsidRPr="00B97B69" w14:paraId="0C39C615" w14:textId="77777777" w:rsidTr="0031702B">
        <w:tc>
          <w:tcPr>
            <w:tcW w:w="9017" w:type="dxa"/>
          </w:tcPr>
          <w:p w14:paraId="3485CDED" w14:textId="77777777" w:rsidR="00E75A83" w:rsidRPr="00B97B69" w:rsidRDefault="00E75A83" w:rsidP="00710A62">
            <w:pPr>
              <w:spacing w:line="360" w:lineRule="auto"/>
              <w:contextualSpacing/>
              <w:rPr>
                <w:rFonts w:ascii="Arial" w:hAnsi="Arial" w:cs="Arial"/>
                <w:b/>
                <w:bCs/>
                <w:noProof/>
                <w:color w:val="000000" w:themeColor="text1"/>
                <w:sz w:val="24"/>
                <w:szCs w:val="24"/>
              </w:rPr>
            </w:pPr>
          </w:p>
        </w:tc>
      </w:tr>
      <w:tr w:rsidR="00E75A83" w:rsidRPr="00B97B69" w14:paraId="44F770AA" w14:textId="77777777" w:rsidTr="0031702B">
        <w:tc>
          <w:tcPr>
            <w:tcW w:w="9017" w:type="dxa"/>
          </w:tcPr>
          <w:p w14:paraId="1F70C3F6" w14:textId="77777777" w:rsidR="00E75A83" w:rsidRPr="00B97B69" w:rsidRDefault="00E75A83" w:rsidP="00710A62">
            <w:pPr>
              <w:spacing w:line="360" w:lineRule="auto"/>
              <w:contextualSpacing/>
              <w:jc w:val="center"/>
              <w:rPr>
                <w:rFonts w:ascii="Arial" w:hAnsi="Arial"/>
                <w:color w:val="000000" w:themeColor="text1"/>
                <w:sz w:val="24"/>
                <w:szCs w:val="24"/>
              </w:rPr>
            </w:pPr>
            <w:r w:rsidRPr="00B97B69">
              <w:rPr>
                <w:rFonts w:ascii="Arial" w:hAnsi="Arial" w:cs="Arial"/>
                <w:b/>
                <w:bCs/>
                <w:color w:val="000000" w:themeColor="text1"/>
                <w:sz w:val="24"/>
                <w:szCs w:val="24"/>
              </w:rPr>
              <w:t xml:space="preserve">Figure </w:t>
            </w:r>
            <w:r w:rsidRPr="00B97B69">
              <w:rPr>
                <w:rFonts w:ascii="Arial" w:hAnsi="Arial" w:cs="Arial"/>
                <w:b/>
                <w:bCs/>
                <w:color w:val="000000" w:themeColor="text1"/>
                <w:sz w:val="24"/>
                <w:szCs w:val="24"/>
                <w:cs/>
              </w:rPr>
              <w:t>2</w:t>
            </w:r>
            <w:r w:rsidRPr="00B97B69">
              <w:rPr>
                <w:rFonts w:ascii="Arial" w:hAnsi="Arial" w:cs="Arial"/>
                <w:b/>
                <w:bCs/>
                <w:color w:val="000000" w:themeColor="text1"/>
                <w:sz w:val="24"/>
                <w:szCs w:val="24"/>
              </w:rPr>
              <w:t xml:space="preserve">.3 </w:t>
            </w:r>
            <w:r w:rsidRPr="00B97B69">
              <w:rPr>
                <w:rFonts w:ascii="Arial" w:hAnsi="Arial" w:cs="Arial"/>
                <w:color w:val="000000" w:themeColor="text1"/>
                <w:sz w:val="24"/>
                <w:szCs w:val="24"/>
              </w:rPr>
              <w:t>Population and Household Trends in Thailand (above) and Coastal Provinces along the Gulf of Thailand (below): 2000, 2005, 2010, 2020</w:t>
            </w:r>
          </w:p>
          <w:p w14:paraId="441A6DEA"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0"/>
                <w:szCs w:val="20"/>
              </w:rPr>
              <w:t xml:space="preserve">Source: Department of Provincial Administration. 2025. Official statistics registration systems. </w:t>
            </w:r>
            <w:hyperlink r:id="rId15"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tc>
      </w:tr>
    </w:tbl>
    <w:p w14:paraId="63AA0E9C"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233BE366" w14:textId="77777777" w:rsidTr="0031702B">
        <w:trPr>
          <w:jc w:val="center"/>
        </w:trPr>
        <w:tc>
          <w:tcPr>
            <w:tcW w:w="9027" w:type="dxa"/>
          </w:tcPr>
          <w:p w14:paraId="198F22EF"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20962C8A" wp14:editId="3C376627">
                  <wp:extent cx="5760000" cy="1153041"/>
                  <wp:effectExtent l="0" t="0" r="0" b="9525"/>
                  <wp:docPr id="4219098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000" cy="1153041"/>
                          </a:xfrm>
                          <a:prstGeom prst="rect">
                            <a:avLst/>
                          </a:prstGeom>
                          <a:noFill/>
                        </pic:spPr>
                      </pic:pic>
                    </a:graphicData>
                  </a:graphic>
                </wp:inline>
              </w:drawing>
            </w:r>
          </w:p>
        </w:tc>
      </w:tr>
      <w:tr w:rsidR="00B7322E" w:rsidRPr="00B97B69" w14:paraId="5A1C10E5" w14:textId="77777777" w:rsidTr="0031702B">
        <w:trPr>
          <w:jc w:val="center"/>
        </w:trPr>
        <w:tc>
          <w:tcPr>
            <w:tcW w:w="9027" w:type="dxa"/>
          </w:tcPr>
          <w:p w14:paraId="4B8F78DA"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657EFBA7" w14:textId="77777777" w:rsidTr="0031702B">
        <w:trPr>
          <w:jc w:val="center"/>
        </w:trPr>
        <w:tc>
          <w:tcPr>
            <w:tcW w:w="9027" w:type="dxa"/>
          </w:tcPr>
          <w:p w14:paraId="01C108E5"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3456AC9A" wp14:editId="7C285FE4">
                  <wp:extent cx="5760000" cy="1153041"/>
                  <wp:effectExtent l="0" t="0" r="0" b="9525"/>
                  <wp:docPr id="7303476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000" cy="1153041"/>
                          </a:xfrm>
                          <a:prstGeom prst="rect">
                            <a:avLst/>
                          </a:prstGeom>
                          <a:noFill/>
                        </pic:spPr>
                      </pic:pic>
                    </a:graphicData>
                  </a:graphic>
                </wp:inline>
              </w:drawing>
            </w:r>
          </w:p>
        </w:tc>
      </w:tr>
      <w:tr w:rsidR="00B7322E" w:rsidRPr="00B97B69" w14:paraId="4CCE6F45" w14:textId="77777777" w:rsidTr="0031702B">
        <w:trPr>
          <w:jc w:val="center"/>
        </w:trPr>
        <w:tc>
          <w:tcPr>
            <w:tcW w:w="9027" w:type="dxa"/>
          </w:tcPr>
          <w:p w14:paraId="538913EE"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6D259189" w14:textId="77777777" w:rsidTr="0031702B">
        <w:trPr>
          <w:jc w:val="center"/>
        </w:trPr>
        <w:tc>
          <w:tcPr>
            <w:tcW w:w="9027" w:type="dxa"/>
          </w:tcPr>
          <w:p w14:paraId="268F93CB"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33F3A6C3" wp14:editId="25516746">
                  <wp:extent cx="5760000" cy="1181329"/>
                  <wp:effectExtent l="0" t="0" r="0" b="0"/>
                  <wp:docPr id="697917562"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60000" cy="1181329"/>
                          </a:xfrm>
                          <a:prstGeom prst="rect">
                            <a:avLst/>
                          </a:prstGeom>
                          <a:noFill/>
                        </pic:spPr>
                      </pic:pic>
                    </a:graphicData>
                  </a:graphic>
                </wp:inline>
              </w:drawing>
            </w:r>
          </w:p>
        </w:tc>
      </w:tr>
      <w:tr w:rsidR="00B7322E" w:rsidRPr="00B97B69" w14:paraId="09727A32" w14:textId="77777777" w:rsidTr="0031702B">
        <w:trPr>
          <w:jc w:val="center"/>
        </w:trPr>
        <w:tc>
          <w:tcPr>
            <w:tcW w:w="9027" w:type="dxa"/>
          </w:tcPr>
          <w:p w14:paraId="554D16DA"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67BD44D7" w14:textId="77777777" w:rsidTr="0031702B">
        <w:trPr>
          <w:jc w:val="center"/>
        </w:trPr>
        <w:tc>
          <w:tcPr>
            <w:tcW w:w="9027" w:type="dxa"/>
          </w:tcPr>
          <w:p w14:paraId="07C69135"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Figure 2.4 </w:t>
            </w:r>
            <w:r w:rsidRPr="00B97B69">
              <w:rPr>
                <w:rFonts w:ascii="Arial" w:hAnsi="Arial" w:cs="Arial"/>
                <w:color w:val="000000" w:themeColor="text1"/>
                <w:sz w:val="24"/>
                <w:szCs w:val="24"/>
              </w:rPr>
              <w:t>Population</w:t>
            </w:r>
            <w:r w:rsidRPr="00B97B69">
              <w:rPr>
                <w:rFonts w:ascii="Arial" w:hAnsi="Arial" w:cs="Arial"/>
                <w:color w:val="000000" w:themeColor="text1"/>
                <w:sz w:val="24"/>
                <w:szCs w:val="24"/>
                <w:cs/>
              </w:rPr>
              <w:t xml:space="preserve"> </w:t>
            </w:r>
            <w:r w:rsidRPr="00B97B69">
              <w:rPr>
                <w:rFonts w:ascii="Arial" w:hAnsi="Arial" w:cs="Arial"/>
                <w:color w:val="000000" w:themeColor="text1"/>
                <w:sz w:val="24"/>
                <w:szCs w:val="24"/>
              </w:rPr>
              <w:t>and household trends in Thailand’s coastal provinces along the Gulf of Thailand (2000, 2005, 2010, 2020)</w:t>
            </w:r>
          </w:p>
        </w:tc>
      </w:tr>
    </w:tbl>
    <w:p w14:paraId="6306DAD9" w14:textId="77777777" w:rsidR="00E75A83" w:rsidRPr="00B97B69" w:rsidRDefault="00E75A83" w:rsidP="00710A62">
      <w:pPr>
        <w:pBdr>
          <w:top w:val="nil"/>
          <w:left w:val="nil"/>
          <w:bottom w:val="nil"/>
          <w:right w:val="nil"/>
          <w:between w:val="nil"/>
        </w:pBd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Department of Provincial Administration. 2025. Official statistics registration systems. </w:t>
      </w:r>
      <w:hyperlink r:id="rId19"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p w14:paraId="2E950961" w14:textId="74DD5A2C" w:rsidR="00E75A83"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B97B69">
        <w:rPr>
          <w:rFonts w:ascii="Arial" w:hAnsi="Arial" w:cs="Arial"/>
          <w:color w:val="000000" w:themeColor="text1"/>
          <w:sz w:val="24"/>
          <w:szCs w:val="24"/>
        </w:rPr>
        <w:lastRenderedPageBreak/>
        <w:t xml:space="preserve">Between 2000 and 2020, the population of Thailand’s coastal provinces along the Gulf of Thailand grew at an average annual rate of 0.6–0.9% when excluding Bangkok, compared to 0.4–0.7% when Bangkok is included </w:t>
      </w:r>
      <w:r w:rsidRPr="00B97B69">
        <w:rPr>
          <w:rFonts w:ascii="Arial" w:hAnsi="Arial" w:cs="Arial"/>
          <w:b/>
          <w:bCs/>
          <w:color w:val="000000" w:themeColor="text1"/>
          <w:sz w:val="24"/>
          <w:szCs w:val="24"/>
        </w:rPr>
        <w:t>(Table 2.</w:t>
      </w:r>
      <w:r w:rsidRPr="00B97B69">
        <w:rPr>
          <w:rFonts w:ascii="Arial" w:hAnsi="Arial"/>
          <w:b/>
          <w:bCs/>
          <w:color w:val="000000" w:themeColor="text1"/>
          <w:sz w:val="24"/>
          <w:szCs w:val="24"/>
        </w:rPr>
        <w:t>1</w:t>
      </w:r>
      <w:r w:rsidRPr="00B97B69">
        <w:rPr>
          <w:rFonts w:ascii="Arial" w:hAnsi="Arial" w:cs="Arial"/>
          <w:b/>
          <w:bCs/>
          <w:color w:val="000000" w:themeColor="text1"/>
          <w:sz w:val="24"/>
          <w:szCs w:val="24"/>
        </w:rPr>
        <w:t>)</w:t>
      </w:r>
      <w:r w:rsidRPr="00B97B69">
        <w:rPr>
          <w:rFonts w:ascii="Arial" w:hAnsi="Arial" w:cs="Arial"/>
          <w:color w:val="000000" w:themeColor="text1"/>
          <w:sz w:val="24"/>
          <w:szCs w:val="24"/>
        </w:rPr>
        <w:t xml:space="preserve">, which is considered a moderate level of growth by global demographic standards. </w:t>
      </w:r>
    </w:p>
    <w:p w14:paraId="269591E7"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b/>
          <w:bCs/>
          <w:color w:val="000000" w:themeColor="text1"/>
          <w:sz w:val="24"/>
          <w:szCs w:val="24"/>
        </w:rPr>
      </w:pPr>
    </w:p>
    <w:p w14:paraId="530AFF38"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Table 2.1 </w:t>
      </w:r>
      <w:r w:rsidRPr="00B97B69">
        <w:rPr>
          <w:rFonts w:ascii="Arial" w:hAnsi="Arial" w:cs="Arial"/>
          <w:color w:val="000000" w:themeColor="text1"/>
          <w:sz w:val="24"/>
          <w:szCs w:val="24"/>
        </w:rPr>
        <w:t>Population growth rate (%) and household growth rate (%) of coastal provinces along the Gulf of Thailand (2000-2020)</w:t>
      </w:r>
    </w:p>
    <w:p w14:paraId="67EDD8F0"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b/>
          <w:bCs/>
          <w:color w:val="000000" w:themeColor="text1"/>
          <w:sz w:val="24"/>
          <w:szCs w:val="24"/>
        </w:rPr>
      </w:pPr>
    </w:p>
    <w:tbl>
      <w:tblPr>
        <w:tblStyle w:val="TableGrid"/>
        <w:tblW w:w="921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2126"/>
        <w:gridCol w:w="1701"/>
        <w:gridCol w:w="2126"/>
        <w:gridCol w:w="1843"/>
      </w:tblGrid>
      <w:tr w:rsidR="00B7322E" w:rsidRPr="00B97B69" w14:paraId="7B66847A" w14:textId="77777777" w:rsidTr="001155BA">
        <w:trPr>
          <w:trHeight w:val="397"/>
        </w:trPr>
        <w:tc>
          <w:tcPr>
            <w:tcW w:w="1418" w:type="dxa"/>
            <w:vMerge w:val="restart"/>
            <w:tcBorders>
              <w:top w:val="single" w:sz="4" w:space="0" w:color="auto"/>
              <w:bottom w:val="nil"/>
            </w:tcBorders>
            <w:vAlign w:val="center"/>
          </w:tcPr>
          <w:p w14:paraId="2AA867F9"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Year</w:t>
            </w:r>
          </w:p>
        </w:tc>
        <w:tc>
          <w:tcPr>
            <w:tcW w:w="3827" w:type="dxa"/>
            <w:gridSpan w:val="2"/>
            <w:tcBorders>
              <w:top w:val="single" w:sz="4" w:space="0" w:color="auto"/>
              <w:bottom w:val="single" w:sz="4" w:space="0" w:color="auto"/>
            </w:tcBorders>
            <w:vAlign w:val="center"/>
          </w:tcPr>
          <w:p w14:paraId="19A98DCE"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Population growth rate (%)</w:t>
            </w:r>
          </w:p>
        </w:tc>
        <w:tc>
          <w:tcPr>
            <w:tcW w:w="3969" w:type="dxa"/>
            <w:gridSpan w:val="2"/>
            <w:tcBorders>
              <w:top w:val="single" w:sz="4" w:space="0" w:color="auto"/>
              <w:bottom w:val="single" w:sz="4" w:space="0" w:color="auto"/>
            </w:tcBorders>
            <w:vAlign w:val="center"/>
          </w:tcPr>
          <w:p w14:paraId="18B1E337"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Household growth rate (%)</w:t>
            </w:r>
          </w:p>
        </w:tc>
      </w:tr>
      <w:tr w:rsidR="00B7322E" w:rsidRPr="00B97B69" w14:paraId="3ECC0571" w14:textId="77777777" w:rsidTr="001155BA">
        <w:trPr>
          <w:trHeight w:val="397"/>
        </w:trPr>
        <w:tc>
          <w:tcPr>
            <w:tcW w:w="1418" w:type="dxa"/>
            <w:vMerge/>
            <w:tcBorders>
              <w:top w:val="nil"/>
              <w:bottom w:val="single" w:sz="4" w:space="0" w:color="auto"/>
            </w:tcBorders>
            <w:vAlign w:val="center"/>
          </w:tcPr>
          <w:p w14:paraId="26F531CF" w14:textId="77777777" w:rsidR="00E75A83" w:rsidRPr="00B97B69" w:rsidRDefault="00E75A83" w:rsidP="00710A62">
            <w:pPr>
              <w:spacing w:line="360" w:lineRule="auto"/>
              <w:contextualSpacing/>
              <w:rPr>
                <w:rFonts w:ascii="Arial" w:hAnsi="Arial" w:cs="Arial"/>
                <w:b/>
                <w:bCs/>
                <w:color w:val="000000" w:themeColor="text1"/>
                <w:sz w:val="24"/>
                <w:szCs w:val="24"/>
              </w:rPr>
            </w:pPr>
          </w:p>
        </w:tc>
        <w:tc>
          <w:tcPr>
            <w:tcW w:w="2126" w:type="dxa"/>
            <w:tcBorders>
              <w:top w:val="single" w:sz="4" w:space="0" w:color="auto"/>
              <w:bottom w:val="single" w:sz="4" w:space="0" w:color="auto"/>
            </w:tcBorders>
            <w:vAlign w:val="center"/>
          </w:tcPr>
          <w:p w14:paraId="2784A4D9" w14:textId="0EA25804" w:rsidR="00E75A83" w:rsidRPr="001155BA" w:rsidRDefault="00E75A83" w:rsidP="00710A62">
            <w:pPr>
              <w:spacing w:line="360" w:lineRule="auto"/>
              <w:contextualSpacing/>
              <w:jc w:val="center"/>
              <w:rPr>
                <w:rFonts w:ascii="Arial" w:hAnsi="Arial" w:cs="Arial"/>
                <w:b/>
                <w:bCs/>
                <w:color w:val="000000" w:themeColor="text1"/>
                <w:szCs w:val="22"/>
              </w:rPr>
            </w:pPr>
            <w:r w:rsidRPr="001155BA">
              <w:rPr>
                <w:rFonts w:ascii="Arial" w:hAnsi="Arial" w:cs="Arial"/>
                <w:b/>
                <w:bCs/>
                <w:color w:val="000000" w:themeColor="text1"/>
                <w:szCs w:val="22"/>
              </w:rPr>
              <w:t>Without B</w:t>
            </w:r>
            <w:r w:rsidR="001155BA" w:rsidRPr="001155BA">
              <w:rPr>
                <w:rFonts w:ascii="Arial" w:hAnsi="Arial" w:cs="Arial"/>
                <w:b/>
                <w:bCs/>
                <w:color w:val="000000" w:themeColor="text1"/>
                <w:szCs w:val="22"/>
              </w:rPr>
              <w:t>angkok</w:t>
            </w:r>
          </w:p>
        </w:tc>
        <w:tc>
          <w:tcPr>
            <w:tcW w:w="1701" w:type="dxa"/>
            <w:tcBorders>
              <w:top w:val="single" w:sz="4" w:space="0" w:color="auto"/>
              <w:bottom w:val="single" w:sz="4" w:space="0" w:color="auto"/>
            </w:tcBorders>
            <w:vAlign w:val="center"/>
          </w:tcPr>
          <w:p w14:paraId="26B4D9B9" w14:textId="65A395E4" w:rsidR="00E75A83" w:rsidRPr="001155BA" w:rsidRDefault="00E75A83" w:rsidP="00710A62">
            <w:pPr>
              <w:spacing w:line="360" w:lineRule="auto"/>
              <w:contextualSpacing/>
              <w:jc w:val="center"/>
              <w:rPr>
                <w:rFonts w:ascii="Arial" w:hAnsi="Arial" w:cs="Arial"/>
                <w:b/>
                <w:bCs/>
                <w:color w:val="000000" w:themeColor="text1"/>
                <w:szCs w:val="22"/>
              </w:rPr>
            </w:pPr>
            <w:r w:rsidRPr="001155BA">
              <w:rPr>
                <w:rFonts w:ascii="Arial" w:hAnsi="Arial" w:cs="Arial"/>
                <w:b/>
                <w:bCs/>
                <w:color w:val="000000" w:themeColor="text1"/>
                <w:szCs w:val="22"/>
              </w:rPr>
              <w:t>With B</w:t>
            </w:r>
            <w:r w:rsidR="001155BA" w:rsidRPr="001155BA">
              <w:rPr>
                <w:rFonts w:ascii="Arial" w:hAnsi="Arial" w:cs="Arial"/>
                <w:b/>
                <w:bCs/>
                <w:color w:val="000000" w:themeColor="text1"/>
                <w:szCs w:val="22"/>
              </w:rPr>
              <w:t>angkok</w:t>
            </w:r>
          </w:p>
        </w:tc>
        <w:tc>
          <w:tcPr>
            <w:tcW w:w="2126" w:type="dxa"/>
            <w:tcBorders>
              <w:top w:val="single" w:sz="4" w:space="0" w:color="auto"/>
              <w:bottom w:val="single" w:sz="4" w:space="0" w:color="auto"/>
            </w:tcBorders>
            <w:vAlign w:val="center"/>
          </w:tcPr>
          <w:p w14:paraId="03114D3A" w14:textId="503F6C11" w:rsidR="00E75A83" w:rsidRPr="001155BA" w:rsidRDefault="00E75A83" w:rsidP="00710A62">
            <w:pPr>
              <w:spacing w:line="360" w:lineRule="auto"/>
              <w:contextualSpacing/>
              <w:jc w:val="center"/>
              <w:rPr>
                <w:rFonts w:ascii="Arial" w:hAnsi="Arial" w:cs="Arial"/>
                <w:b/>
                <w:bCs/>
                <w:color w:val="000000" w:themeColor="text1"/>
                <w:szCs w:val="22"/>
              </w:rPr>
            </w:pPr>
            <w:r w:rsidRPr="001155BA">
              <w:rPr>
                <w:rFonts w:ascii="Arial" w:hAnsi="Arial" w:cs="Arial"/>
                <w:b/>
                <w:bCs/>
                <w:color w:val="000000" w:themeColor="text1"/>
                <w:szCs w:val="22"/>
              </w:rPr>
              <w:t>Without B</w:t>
            </w:r>
            <w:r w:rsidR="001155BA" w:rsidRPr="001155BA">
              <w:rPr>
                <w:rFonts w:ascii="Arial" w:hAnsi="Arial" w:cs="Arial"/>
                <w:b/>
                <w:bCs/>
                <w:color w:val="000000" w:themeColor="text1"/>
                <w:szCs w:val="22"/>
              </w:rPr>
              <w:t>angkok</w:t>
            </w:r>
          </w:p>
        </w:tc>
        <w:tc>
          <w:tcPr>
            <w:tcW w:w="1843" w:type="dxa"/>
            <w:tcBorders>
              <w:top w:val="single" w:sz="4" w:space="0" w:color="auto"/>
              <w:bottom w:val="single" w:sz="4" w:space="0" w:color="auto"/>
            </w:tcBorders>
            <w:vAlign w:val="center"/>
          </w:tcPr>
          <w:p w14:paraId="49CC5454" w14:textId="6BD18BBD" w:rsidR="00E75A83" w:rsidRPr="001155BA" w:rsidRDefault="00E75A83" w:rsidP="00710A62">
            <w:pPr>
              <w:spacing w:line="360" w:lineRule="auto"/>
              <w:contextualSpacing/>
              <w:jc w:val="center"/>
              <w:rPr>
                <w:rFonts w:ascii="Arial" w:hAnsi="Arial" w:cs="Arial"/>
                <w:b/>
                <w:bCs/>
                <w:color w:val="000000" w:themeColor="text1"/>
                <w:szCs w:val="22"/>
              </w:rPr>
            </w:pPr>
            <w:r w:rsidRPr="001155BA">
              <w:rPr>
                <w:rFonts w:ascii="Arial" w:hAnsi="Arial" w:cs="Arial"/>
                <w:b/>
                <w:bCs/>
                <w:color w:val="000000" w:themeColor="text1"/>
                <w:szCs w:val="22"/>
              </w:rPr>
              <w:t xml:space="preserve">With </w:t>
            </w:r>
            <w:r w:rsidR="001155BA" w:rsidRPr="001155BA">
              <w:rPr>
                <w:rFonts w:ascii="Arial" w:hAnsi="Arial" w:cs="Arial"/>
                <w:b/>
                <w:bCs/>
                <w:color w:val="000000" w:themeColor="text1"/>
                <w:szCs w:val="22"/>
              </w:rPr>
              <w:t>Bangkok</w:t>
            </w:r>
          </w:p>
        </w:tc>
      </w:tr>
      <w:tr w:rsidR="00B7322E" w:rsidRPr="00B97B69" w14:paraId="6CAC34A0" w14:textId="77777777" w:rsidTr="001155BA">
        <w:trPr>
          <w:trHeight w:val="397"/>
        </w:trPr>
        <w:tc>
          <w:tcPr>
            <w:tcW w:w="1418" w:type="dxa"/>
            <w:tcBorders>
              <w:top w:val="single" w:sz="4" w:space="0" w:color="auto"/>
            </w:tcBorders>
            <w:vAlign w:val="center"/>
          </w:tcPr>
          <w:p w14:paraId="33F99240"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2000-2005</w:t>
            </w:r>
          </w:p>
        </w:tc>
        <w:tc>
          <w:tcPr>
            <w:tcW w:w="2126" w:type="dxa"/>
            <w:tcBorders>
              <w:top w:val="single" w:sz="4" w:space="0" w:color="auto"/>
            </w:tcBorders>
            <w:vAlign w:val="center"/>
          </w:tcPr>
          <w:p w14:paraId="086C5EB2"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0.6</w:t>
            </w:r>
          </w:p>
        </w:tc>
        <w:tc>
          <w:tcPr>
            <w:tcW w:w="1701" w:type="dxa"/>
            <w:tcBorders>
              <w:top w:val="single" w:sz="4" w:space="0" w:color="auto"/>
            </w:tcBorders>
            <w:vAlign w:val="center"/>
          </w:tcPr>
          <w:p w14:paraId="4079840B"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0.4</w:t>
            </w:r>
          </w:p>
        </w:tc>
        <w:tc>
          <w:tcPr>
            <w:tcW w:w="2126" w:type="dxa"/>
            <w:tcBorders>
              <w:top w:val="single" w:sz="4" w:space="0" w:color="auto"/>
            </w:tcBorders>
            <w:vAlign w:val="center"/>
          </w:tcPr>
          <w:p w14:paraId="10CB6860"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3.4</w:t>
            </w:r>
          </w:p>
        </w:tc>
        <w:tc>
          <w:tcPr>
            <w:tcW w:w="1843" w:type="dxa"/>
            <w:tcBorders>
              <w:top w:val="single" w:sz="4" w:space="0" w:color="auto"/>
            </w:tcBorders>
            <w:vAlign w:val="center"/>
          </w:tcPr>
          <w:p w14:paraId="666FDE33"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2.7</w:t>
            </w:r>
          </w:p>
        </w:tc>
      </w:tr>
      <w:tr w:rsidR="00B7322E" w:rsidRPr="00B97B69" w14:paraId="4E3CAE50" w14:textId="77777777" w:rsidTr="001155BA">
        <w:trPr>
          <w:trHeight w:val="397"/>
        </w:trPr>
        <w:tc>
          <w:tcPr>
            <w:tcW w:w="1418" w:type="dxa"/>
            <w:vAlign w:val="center"/>
          </w:tcPr>
          <w:p w14:paraId="256BBFC2"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2005-2010</w:t>
            </w:r>
          </w:p>
        </w:tc>
        <w:tc>
          <w:tcPr>
            <w:tcW w:w="2126" w:type="dxa"/>
            <w:vAlign w:val="center"/>
          </w:tcPr>
          <w:p w14:paraId="31A84307"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0.9</w:t>
            </w:r>
          </w:p>
        </w:tc>
        <w:tc>
          <w:tcPr>
            <w:tcW w:w="1701" w:type="dxa"/>
            <w:vAlign w:val="center"/>
          </w:tcPr>
          <w:p w14:paraId="1F203D4F"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0.7</w:t>
            </w:r>
          </w:p>
        </w:tc>
        <w:tc>
          <w:tcPr>
            <w:tcW w:w="2126" w:type="dxa"/>
            <w:vAlign w:val="center"/>
          </w:tcPr>
          <w:p w14:paraId="32DCCA67"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3.2</w:t>
            </w:r>
          </w:p>
        </w:tc>
        <w:tc>
          <w:tcPr>
            <w:tcW w:w="1843" w:type="dxa"/>
            <w:vAlign w:val="center"/>
          </w:tcPr>
          <w:p w14:paraId="5B4DAEED"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2.9</w:t>
            </w:r>
          </w:p>
        </w:tc>
      </w:tr>
      <w:tr w:rsidR="00E75A83" w:rsidRPr="00B97B69" w14:paraId="6028B133" w14:textId="77777777" w:rsidTr="001155BA">
        <w:trPr>
          <w:trHeight w:val="397"/>
        </w:trPr>
        <w:tc>
          <w:tcPr>
            <w:tcW w:w="1418" w:type="dxa"/>
            <w:vAlign w:val="center"/>
          </w:tcPr>
          <w:p w14:paraId="08F80257"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2010-2020</w:t>
            </w:r>
          </w:p>
        </w:tc>
        <w:tc>
          <w:tcPr>
            <w:tcW w:w="2126" w:type="dxa"/>
            <w:vAlign w:val="center"/>
          </w:tcPr>
          <w:p w14:paraId="2D7E7DD4"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0.8</w:t>
            </w:r>
          </w:p>
        </w:tc>
        <w:tc>
          <w:tcPr>
            <w:tcW w:w="1701" w:type="dxa"/>
            <w:vAlign w:val="center"/>
          </w:tcPr>
          <w:p w14:paraId="68ADE6A9"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0.5</w:t>
            </w:r>
          </w:p>
        </w:tc>
        <w:tc>
          <w:tcPr>
            <w:tcW w:w="2126" w:type="dxa"/>
            <w:vAlign w:val="center"/>
          </w:tcPr>
          <w:p w14:paraId="7276C785" w14:textId="77777777" w:rsidR="00E75A83" w:rsidRPr="00B97B69" w:rsidRDefault="00E75A83" w:rsidP="00710A62">
            <w:pPr>
              <w:spacing w:line="360" w:lineRule="auto"/>
              <w:contextualSpacing/>
              <w:jc w:val="center"/>
              <w:rPr>
                <w:rFonts w:ascii="Arial" w:hAnsi="Arial"/>
                <w:color w:val="000000" w:themeColor="text1"/>
                <w:sz w:val="24"/>
                <w:szCs w:val="24"/>
                <w:cs/>
              </w:rPr>
            </w:pPr>
            <w:r w:rsidRPr="00B97B69">
              <w:rPr>
                <w:rFonts w:ascii="Arial" w:hAnsi="Arial" w:cs="Arial"/>
                <w:color w:val="000000" w:themeColor="text1"/>
                <w:sz w:val="24"/>
                <w:szCs w:val="24"/>
              </w:rPr>
              <w:t>3.1</w:t>
            </w:r>
          </w:p>
        </w:tc>
        <w:tc>
          <w:tcPr>
            <w:tcW w:w="1843" w:type="dxa"/>
            <w:vAlign w:val="center"/>
          </w:tcPr>
          <w:p w14:paraId="51D12942"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2.9</w:t>
            </w:r>
          </w:p>
        </w:tc>
      </w:tr>
    </w:tbl>
    <w:p w14:paraId="1422E4C5"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b/>
          <w:bCs/>
          <w:color w:val="000000" w:themeColor="text1"/>
          <w:sz w:val="24"/>
          <w:szCs w:val="24"/>
        </w:rPr>
      </w:pPr>
    </w:p>
    <w:p w14:paraId="424C5A9B" w14:textId="66AC1836" w:rsidR="00E75A83" w:rsidRDefault="00EB30C0"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EB30C0">
        <w:rPr>
          <w:rFonts w:ascii="Arial" w:hAnsi="Arial" w:cs="Arial"/>
          <w:color w:val="000000" w:themeColor="text1"/>
          <w:sz w:val="24"/>
          <w:szCs w:val="24"/>
        </w:rPr>
        <w:t xml:space="preserve">When considering the rate of change between 2000 and 2020, the annual household growth in coastal provinces excluding Bangkok declined from 3.4% to 3.1%, yet remains high. </w:t>
      </w:r>
      <w:r w:rsidR="00423710" w:rsidRPr="0023488C">
        <w:rPr>
          <w:rFonts w:ascii="Arial" w:hAnsi="Arial" w:cs="Arial"/>
          <w:color w:val="000000" w:themeColor="text1"/>
          <w:sz w:val="24"/>
          <w:szCs w:val="24"/>
        </w:rPr>
        <w:t>In contrast, the trend for coastal provinces including Bangkok diverges, with household growth stabilizing around 2.7–2.9% despite modest population growth of 0.4–0.7%</w:t>
      </w:r>
      <w:r w:rsidR="00423710" w:rsidRPr="00EB30C0">
        <w:rPr>
          <w:rFonts w:ascii="Arial" w:hAnsi="Arial" w:cs="Arial"/>
          <w:color w:val="000000" w:themeColor="text1"/>
          <w:sz w:val="24"/>
          <w:szCs w:val="24"/>
        </w:rPr>
        <w:t xml:space="preserve">. </w:t>
      </w:r>
      <w:r w:rsidRPr="00EB30C0">
        <w:rPr>
          <w:rFonts w:ascii="Arial" w:hAnsi="Arial" w:cs="Arial"/>
          <w:color w:val="000000" w:themeColor="text1"/>
          <w:sz w:val="24"/>
          <w:szCs w:val="24"/>
        </w:rPr>
        <w:t>As noted by UN-Habitat (2016), households are growing faster than population due to declining household size, a pattern evident in Bangkok’s shift toward smaller, fragmented urban living arrangements. This increase in households translates into higher demand for housing, energy, and coastal land resources (Liu et al., 2003; FAO, 2018), intensifying pressure on ecosystems in the land-constrained upper Gulf of Thailand.</w:t>
      </w:r>
    </w:p>
    <w:p w14:paraId="45CD1EE0" w14:textId="77777777" w:rsidR="00EB30C0" w:rsidRDefault="00EB30C0"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461D730B" w14:textId="74DD6A9E" w:rsidR="004C0965" w:rsidRPr="00EB30C0" w:rsidRDefault="004C0965" w:rsidP="004C0965">
      <w:pPr>
        <w:pBdr>
          <w:top w:val="nil"/>
          <w:left w:val="nil"/>
          <w:bottom w:val="nil"/>
          <w:right w:val="nil"/>
          <w:between w:val="nil"/>
        </w:pBdr>
        <w:spacing w:after="0" w:line="360" w:lineRule="auto"/>
        <w:contextualSpacing/>
        <w:jc w:val="thaiDistribute"/>
        <w:rPr>
          <w:rFonts w:ascii="Arial" w:hAnsi="Arial"/>
          <w:color w:val="000000" w:themeColor="text1"/>
          <w:sz w:val="24"/>
          <w:szCs w:val="24"/>
        </w:rPr>
      </w:pPr>
      <w:r w:rsidRPr="004C0965">
        <w:rPr>
          <w:rFonts w:ascii="Arial" w:hAnsi="Arial"/>
          <w:color w:val="000000" w:themeColor="text1"/>
          <w:sz w:val="24"/>
          <w:szCs w:val="24"/>
        </w:rPr>
        <w:t>Population and household growth trends vary significantly across the region. Economic hubs such as Chonburi</w:t>
      </w:r>
      <w:r>
        <w:rPr>
          <w:rFonts w:ascii="Arial" w:hAnsi="Arial" w:hint="cs"/>
          <w:color w:val="000000" w:themeColor="text1"/>
          <w:sz w:val="24"/>
          <w:szCs w:val="24"/>
          <w:cs/>
        </w:rPr>
        <w:t xml:space="preserve"> </w:t>
      </w:r>
      <w:r>
        <w:rPr>
          <w:rFonts w:ascii="Arial" w:hAnsi="Arial"/>
          <w:color w:val="000000" w:themeColor="text1"/>
          <w:sz w:val="24"/>
          <w:szCs w:val="24"/>
        </w:rPr>
        <w:t>(</w:t>
      </w:r>
      <w:r w:rsidRPr="00B97B69">
        <w:rPr>
          <w:rFonts w:ascii="Arial" w:hAnsi="Arial" w:cs="Arial"/>
          <w:color w:val="000000" w:themeColor="text1"/>
          <w:sz w:val="24"/>
          <w:szCs w:val="24"/>
        </w:rPr>
        <w:t>1.28–2.05%</w:t>
      </w:r>
      <w:r>
        <w:rPr>
          <w:rFonts w:ascii="Arial" w:hAnsi="Arial"/>
          <w:color w:val="000000" w:themeColor="text1"/>
          <w:sz w:val="24"/>
          <w:szCs w:val="24"/>
        </w:rPr>
        <w:t>)</w:t>
      </w:r>
      <w:r w:rsidRPr="004C0965">
        <w:rPr>
          <w:rFonts w:ascii="Arial" w:hAnsi="Arial"/>
          <w:color w:val="000000" w:themeColor="text1"/>
          <w:sz w:val="24"/>
          <w:szCs w:val="24"/>
        </w:rPr>
        <w:t xml:space="preserve"> and Rayong </w:t>
      </w:r>
      <w:r w:rsidRPr="00B97B69">
        <w:rPr>
          <w:rFonts w:ascii="Arial" w:hAnsi="Arial" w:cs="Arial"/>
          <w:color w:val="000000" w:themeColor="text1"/>
          <w:sz w:val="24"/>
          <w:szCs w:val="24"/>
        </w:rPr>
        <w:t xml:space="preserve">(1.13–2.01%) </w:t>
      </w:r>
      <w:r w:rsidRPr="004C0965">
        <w:rPr>
          <w:rFonts w:ascii="Arial" w:hAnsi="Arial"/>
          <w:color w:val="000000" w:themeColor="text1"/>
          <w:sz w:val="24"/>
          <w:szCs w:val="24"/>
        </w:rPr>
        <w:t xml:space="preserve">demonstrated relatively high population growth rates, while household growth was even more pronounced at 4.7% to over 5% annually (Figure 2.5), driven by tourism and industrial expansion. Conversely, provinces such as Samut Songkhram and Nakhon Si Thammarat recorded minimal or negative growth, likely reflecting outmigration and limited economic opportunities. </w:t>
      </w:r>
      <w:r w:rsidR="0074764F" w:rsidRPr="0074764F">
        <w:rPr>
          <w:rFonts w:ascii="Arial" w:hAnsi="Arial"/>
          <w:color w:val="000000" w:themeColor="text1"/>
          <w:sz w:val="24"/>
          <w:szCs w:val="24"/>
        </w:rPr>
        <w:t xml:space="preserve">Bangkok also experienced periods of slight population decline ranging from –0.06% to –0.32%, influenced by changing socio-economic conditions that have led to shifts in childbearing behavior, with </w:t>
      </w:r>
      <w:r w:rsidR="0074764F" w:rsidRPr="0074764F">
        <w:rPr>
          <w:rFonts w:ascii="Arial" w:hAnsi="Arial"/>
          <w:color w:val="000000" w:themeColor="text1"/>
          <w:sz w:val="24"/>
          <w:szCs w:val="24"/>
        </w:rPr>
        <w:lastRenderedPageBreak/>
        <w:t>people opting to have fewer or no children due to financial and time constraints</w:t>
      </w:r>
      <w:r w:rsidR="0074764F">
        <w:rPr>
          <w:rFonts w:ascii="Arial" w:hAnsi="Arial" w:hint="cs"/>
          <w:color w:val="000000" w:themeColor="text1"/>
          <w:sz w:val="24"/>
          <w:szCs w:val="24"/>
          <w:cs/>
        </w:rPr>
        <w:t xml:space="preserve"> </w:t>
      </w:r>
      <w:r w:rsidRPr="004C0965">
        <w:rPr>
          <w:rFonts w:ascii="Arial" w:hAnsi="Arial"/>
          <w:b/>
          <w:bCs/>
          <w:color w:val="000000" w:themeColor="text1"/>
          <w:sz w:val="24"/>
          <w:szCs w:val="24"/>
        </w:rPr>
        <w:t>(Figure 2.5)</w:t>
      </w:r>
      <w:r w:rsidRPr="004C0965">
        <w:rPr>
          <w:rFonts w:ascii="Arial" w:hAnsi="Arial"/>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21DB79A6" w14:textId="77777777" w:rsidTr="0031702B">
        <w:tc>
          <w:tcPr>
            <w:tcW w:w="9027" w:type="dxa"/>
          </w:tcPr>
          <w:p w14:paraId="52D71F60" w14:textId="7B143EAE"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 xml:space="preserve"> </w:t>
            </w:r>
            <w:r w:rsidRPr="00B97B69">
              <w:rPr>
                <w:rFonts w:ascii="Arial" w:hAnsi="Arial" w:cs="Arial"/>
                <w:b/>
                <w:bCs/>
                <w:noProof/>
                <w:color w:val="000000" w:themeColor="text1"/>
                <w:sz w:val="24"/>
                <w:szCs w:val="24"/>
              </w:rPr>
              <w:drawing>
                <wp:inline distT="0" distB="0" distL="0" distR="0" wp14:anchorId="3EF3B981" wp14:editId="272051DF">
                  <wp:extent cx="5760000" cy="1068033"/>
                  <wp:effectExtent l="0" t="0" r="0" b="0"/>
                  <wp:docPr id="13479830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000" cy="1068033"/>
                          </a:xfrm>
                          <a:prstGeom prst="rect">
                            <a:avLst/>
                          </a:prstGeom>
                          <a:noFill/>
                        </pic:spPr>
                      </pic:pic>
                    </a:graphicData>
                  </a:graphic>
                </wp:inline>
              </w:drawing>
            </w:r>
          </w:p>
        </w:tc>
      </w:tr>
      <w:tr w:rsidR="00B7322E" w:rsidRPr="00B97B69" w14:paraId="70B76D69" w14:textId="77777777" w:rsidTr="0031702B">
        <w:tc>
          <w:tcPr>
            <w:tcW w:w="9027" w:type="dxa"/>
          </w:tcPr>
          <w:p w14:paraId="7BD68BA0" w14:textId="77777777" w:rsidR="00E75A83" w:rsidRPr="00B97B69" w:rsidRDefault="00E75A83" w:rsidP="00710A62">
            <w:pPr>
              <w:spacing w:line="360" w:lineRule="auto"/>
              <w:contextualSpacing/>
              <w:rPr>
                <w:rFonts w:ascii="Arial" w:hAnsi="Arial" w:cs="Arial"/>
                <w:b/>
                <w:bCs/>
                <w:color w:val="000000" w:themeColor="text1"/>
                <w:sz w:val="24"/>
                <w:szCs w:val="24"/>
              </w:rPr>
            </w:pPr>
          </w:p>
        </w:tc>
      </w:tr>
      <w:tr w:rsidR="00B7322E" w:rsidRPr="00B97B69" w14:paraId="76660F49" w14:textId="77777777" w:rsidTr="0031702B">
        <w:tc>
          <w:tcPr>
            <w:tcW w:w="9027" w:type="dxa"/>
          </w:tcPr>
          <w:p w14:paraId="47ED51C0"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noProof/>
                <w:color w:val="000000" w:themeColor="text1"/>
                <w:sz w:val="24"/>
                <w:szCs w:val="24"/>
              </w:rPr>
              <w:drawing>
                <wp:inline distT="0" distB="0" distL="0" distR="0" wp14:anchorId="1DF1A0D8" wp14:editId="59B44739">
                  <wp:extent cx="5760000" cy="1066330"/>
                  <wp:effectExtent l="0" t="0" r="0" b="635"/>
                  <wp:docPr id="4217941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000" cy="1066330"/>
                          </a:xfrm>
                          <a:prstGeom prst="rect">
                            <a:avLst/>
                          </a:prstGeom>
                          <a:noFill/>
                        </pic:spPr>
                      </pic:pic>
                    </a:graphicData>
                  </a:graphic>
                </wp:inline>
              </w:drawing>
            </w:r>
          </w:p>
        </w:tc>
      </w:tr>
      <w:tr w:rsidR="00B7322E" w:rsidRPr="00B97B69" w14:paraId="7CCFCEA5" w14:textId="77777777" w:rsidTr="0031702B">
        <w:tc>
          <w:tcPr>
            <w:tcW w:w="9027" w:type="dxa"/>
          </w:tcPr>
          <w:p w14:paraId="446549DF" w14:textId="77777777" w:rsidR="00E75A83" w:rsidRPr="00B97B69" w:rsidRDefault="00E75A83" w:rsidP="00710A62">
            <w:pPr>
              <w:spacing w:line="360" w:lineRule="auto"/>
              <w:contextualSpacing/>
              <w:rPr>
                <w:rFonts w:ascii="Arial" w:hAnsi="Arial" w:cs="Arial"/>
                <w:b/>
                <w:bCs/>
                <w:color w:val="000000" w:themeColor="text1"/>
                <w:sz w:val="24"/>
                <w:szCs w:val="24"/>
              </w:rPr>
            </w:pPr>
          </w:p>
        </w:tc>
      </w:tr>
      <w:tr w:rsidR="00B7322E" w:rsidRPr="00B97B69" w14:paraId="2A407431" w14:textId="77777777" w:rsidTr="0031702B">
        <w:tc>
          <w:tcPr>
            <w:tcW w:w="9027" w:type="dxa"/>
          </w:tcPr>
          <w:p w14:paraId="4B377997"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noProof/>
                <w:color w:val="000000" w:themeColor="text1"/>
                <w:sz w:val="24"/>
                <w:szCs w:val="24"/>
              </w:rPr>
              <w:drawing>
                <wp:inline distT="0" distB="0" distL="0" distR="0" wp14:anchorId="741D3DDB" wp14:editId="20DAE6D5">
                  <wp:extent cx="5760000" cy="1037194"/>
                  <wp:effectExtent l="0" t="0" r="0" b="0"/>
                  <wp:docPr id="693828118"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000" cy="1037194"/>
                          </a:xfrm>
                          <a:prstGeom prst="rect">
                            <a:avLst/>
                          </a:prstGeom>
                          <a:noFill/>
                        </pic:spPr>
                      </pic:pic>
                    </a:graphicData>
                  </a:graphic>
                </wp:inline>
              </w:drawing>
            </w:r>
          </w:p>
        </w:tc>
      </w:tr>
      <w:tr w:rsidR="00B7322E" w:rsidRPr="00B97B69" w14:paraId="3D317B12" w14:textId="77777777" w:rsidTr="0031702B">
        <w:tc>
          <w:tcPr>
            <w:tcW w:w="9027" w:type="dxa"/>
          </w:tcPr>
          <w:p w14:paraId="05B64995" w14:textId="77777777" w:rsidR="00E75A83" w:rsidRPr="00B97B69" w:rsidRDefault="00E75A83" w:rsidP="00710A62">
            <w:pPr>
              <w:spacing w:line="360" w:lineRule="auto"/>
              <w:contextualSpacing/>
              <w:rPr>
                <w:rFonts w:ascii="Arial" w:hAnsi="Arial" w:cs="Arial"/>
                <w:b/>
                <w:bCs/>
                <w:color w:val="000000" w:themeColor="text1"/>
                <w:sz w:val="24"/>
                <w:szCs w:val="24"/>
              </w:rPr>
            </w:pPr>
          </w:p>
        </w:tc>
      </w:tr>
      <w:tr w:rsidR="00B7322E" w:rsidRPr="00B97B69" w14:paraId="18D29729" w14:textId="77777777" w:rsidTr="0031702B">
        <w:tc>
          <w:tcPr>
            <w:tcW w:w="9027" w:type="dxa"/>
          </w:tcPr>
          <w:p w14:paraId="2E4B463E" w14:textId="40A10092"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Figure 2.5</w:t>
            </w:r>
            <w:r w:rsidRPr="00B97B69">
              <w:rPr>
                <w:rFonts w:ascii="Arial" w:hAnsi="Arial" w:cs="Arial"/>
                <w:color w:val="000000" w:themeColor="text1"/>
                <w:sz w:val="24"/>
                <w:szCs w:val="24"/>
              </w:rPr>
              <w:t xml:space="preserve"> Annual population </w:t>
            </w:r>
            <w:r w:rsidR="00095DD1">
              <w:rPr>
                <w:rFonts w:ascii="Arial" w:hAnsi="Arial" w:cs="Arial"/>
                <w:color w:val="000000" w:themeColor="text1"/>
                <w:sz w:val="24"/>
                <w:szCs w:val="24"/>
              </w:rPr>
              <w:t>changes</w:t>
            </w:r>
            <w:r w:rsidRPr="00B97B69">
              <w:rPr>
                <w:rFonts w:ascii="Arial" w:hAnsi="Arial" w:cs="Arial"/>
                <w:color w:val="000000" w:themeColor="text1"/>
                <w:sz w:val="24"/>
                <w:szCs w:val="24"/>
              </w:rPr>
              <w:t xml:space="preserve"> by coastal provinces along the Gulf of Thailand (2000-2020)</w:t>
            </w:r>
          </w:p>
        </w:tc>
      </w:tr>
    </w:tbl>
    <w:p w14:paraId="61FDC32E"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0"/>
          <w:szCs w:val="20"/>
        </w:rPr>
      </w:pPr>
      <w:r w:rsidRPr="00B97B69">
        <w:rPr>
          <w:rFonts w:ascii="Arial" w:hAnsi="Arial" w:cs="Arial"/>
          <w:color w:val="000000" w:themeColor="text1"/>
          <w:sz w:val="20"/>
          <w:szCs w:val="20"/>
        </w:rPr>
        <w:t xml:space="preserve">Source: Author’s calculation based on data from Department of Provincial Administration. 2025. Official statistics registration systems. </w:t>
      </w:r>
      <w:hyperlink r:id="rId23"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p w14:paraId="5F3599E5"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p>
    <w:p w14:paraId="4F128FC1" w14:textId="3BE294B6" w:rsidR="00E75A83" w:rsidRDefault="007A72D7"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7A72D7">
        <w:rPr>
          <w:rFonts w:ascii="Arial" w:hAnsi="Arial" w:cs="Arial"/>
          <w:b/>
          <w:bCs/>
          <w:color w:val="000000" w:themeColor="text1"/>
          <w:sz w:val="24"/>
          <w:szCs w:val="24"/>
        </w:rPr>
        <w:t>Figure 2.6</w:t>
      </w:r>
      <w:r w:rsidRPr="007A72D7">
        <w:rPr>
          <w:rFonts w:ascii="Arial" w:hAnsi="Arial" w:cs="Arial"/>
          <w:color w:val="000000" w:themeColor="text1"/>
          <w:sz w:val="24"/>
          <w:szCs w:val="24"/>
        </w:rPr>
        <w:t xml:space="preserve"> presents the proportion of each coastal province’s population relative to the national total for 2000, 2005, 2010, and 2020. While the overall coastal share has remained relatively stable, ranging from 26.8% to 28.1%, Bangkok alone accounted for the largest share, representing 9.2%, 9.1%, 8.9%, and 8.4% across these respective years. Although this share has gradually declined, Bangkok remains the central economic and administrative hub. Other provinces such as Samut Prakan and Chonburi also hold substantial shares due to their proximity to major urban centers and importance in industrial development, with Chonburi’s increasing share aligning with the </w:t>
      </w:r>
      <w:bookmarkStart w:id="1" w:name="_Hlk215914863"/>
      <w:r w:rsidRPr="007A72D7">
        <w:rPr>
          <w:rFonts w:ascii="Arial" w:hAnsi="Arial" w:cs="Arial"/>
          <w:color w:val="000000" w:themeColor="text1"/>
          <w:sz w:val="24"/>
          <w:szCs w:val="24"/>
        </w:rPr>
        <w:t>Eastern Economic Corridor (EEC)</w:t>
      </w:r>
      <w:bookmarkEnd w:id="1"/>
      <w:r w:rsidRPr="007A72D7">
        <w:rPr>
          <w:rFonts w:ascii="Arial" w:hAnsi="Arial" w:cs="Arial"/>
          <w:color w:val="000000" w:themeColor="text1"/>
          <w:sz w:val="24"/>
          <w:szCs w:val="24"/>
        </w:rPr>
        <w:t xml:space="preserve"> initiative. In contrast, provinces such as </w:t>
      </w:r>
      <w:r w:rsidRPr="007A72D7">
        <w:rPr>
          <w:rFonts w:ascii="Arial" w:hAnsi="Arial" w:cs="Arial"/>
          <w:color w:val="000000" w:themeColor="text1"/>
          <w:sz w:val="24"/>
          <w:szCs w:val="24"/>
        </w:rPr>
        <w:lastRenderedPageBreak/>
        <w:t>Trat and Samut Songkhram have consistently accounted for less than 1% of the national population each.</w:t>
      </w:r>
    </w:p>
    <w:p w14:paraId="23D0C977" w14:textId="77777777" w:rsidR="007A72D7" w:rsidRPr="007A72D7" w:rsidRDefault="007A72D7"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283F891D" w14:textId="77777777" w:rsidTr="0031702B">
        <w:tc>
          <w:tcPr>
            <w:tcW w:w="9027" w:type="dxa"/>
          </w:tcPr>
          <w:p w14:paraId="1621C2EC"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08D63EFE" wp14:editId="1E3B3FF0">
                  <wp:extent cx="5760000" cy="1081506"/>
                  <wp:effectExtent l="0" t="0" r="0" b="4445"/>
                  <wp:docPr id="568853890"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60000" cy="1081506"/>
                          </a:xfrm>
                          <a:prstGeom prst="rect">
                            <a:avLst/>
                          </a:prstGeom>
                          <a:noFill/>
                        </pic:spPr>
                      </pic:pic>
                    </a:graphicData>
                  </a:graphic>
                </wp:inline>
              </w:drawing>
            </w:r>
          </w:p>
        </w:tc>
      </w:tr>
      <w:tr w:rsidR="00B7322E" w:rsidRPr="00B97B69" w14:paraId="35162356" w14:textId="77777777" w:rsidTr="0031702B">
        <w:tc>
          <w:tcPr>
            <w:tcW w:w="9027" w:type="dxa"/>
          </w:tcPr>
          <w:p w14:paraId="287BEBE9"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65602173" w14:textId="77777777" w:rsidTr="0031702B">
        <w:tc>
          <w:tcPr>
            <w:tcW w:w="9027" w:type="dxa"/>
          </w:tcPr>
          <w:p w14:paraId="2D565DFB"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62108D5D" wp14:editId="300C04F3">
                  <wp:extent cx="5760000" cy="1079594"/>
                  <wp:effectExtent l="0" t="0" r="0" b="6350"/>
                  <wp:docPr id="3225467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60000" cy="1079594"/>
                          </a:xfrm>
                          <a:prstGeom prst="rect">
                            <a:avLst/>
                          </a:prstGeom>
                          <a:noFill/>
                        </pic:spPr>
                      </pic:pic>
                    </a:graphicData>
                  </a:graphic>
                </wp:inline>
              </w:drawing>
            </w:r>
          </w:p>
        </w:tc>
      </w:tr>
      <w:tr w:rsidR="00B7322E" w:rsidRPr="00B97B69" w14:paraId="1FEC7C32" w14:textId="77777777" w:rsidTr="0031702B">
        <w:tc>
          <w:tcPr>
            <w:tcW w:w="9027" w:type="dxa"/>
          </w:tcPr>
          <w:p w14:paraId="33F02C9E"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2113BF0C" w14:textId="77777777" w:rsidTr="0031702B">
        <w:tc>
          <w:tcPr>
            <w:tcW w:w="9027" w:type="dxa"/>
          </w:tcPr>
          <w:p w14:paraId="4E6558FD"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5826A1C9" wp14:editId="5D198F1C">
                  <wp:extent cx="5580000" cy="1045857"/>
                  <wp:effectExtent l="0" t="0" r="1905" b="1905"/>
                  <wp:docPr id="1081544736"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7322E" w:rsidRPr="00B97B69" w14:paraId="2849E9D1" w14:textId="77777777" w:rsidTr="0031702B">
        <w:tc>
          <w:tcPr>
            <w:tcW w:w="9027" w:type="dxa"/>
          </w:tcPr>
          <w:p w14:paraId="0D9500BC"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0D9FDAB0" w14:textId="77777777" w:rsidTr="0031702B">
        <w:tc>
          <w:tcPr>
            <w:tcW w:w="9027" w:type="dxa"/>
          </w:tcPr>
          <w:p w14:paraId="369BAF46"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Figure 2.6 </w:t>
            </w:r>
            <w:r w:rsidRPr="00B97B69">
              <w:rPr>
                <w:rFonts w:ascii="Arial" w:hAnsi="Arial" w:cs="Arial"/>
                <w:color w:val="000000" w:themeColor="text1"/>
                <w:sz w:val="24"/>
                <w:szCs w:val="24"/>
              </w:rPr>
              <w:t>Provincial share of coastal population along the Gulf of Thailand (2000, 2005, 2010, 2020)</w:t>
            </w:r>
          </w:p>
        </w:tc>
      </w:tr>
    </w:tbl>
    <w:p w14:paraId="489545A3"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0"/>
          <w:szCs w:val="20"/>
        </w:rPr>
      </w:pPr>
      <w:r w:rsidRPr="00B97B69">
        <w:rPr>
          <w:rFonts w:ascii="Arial" w:hAnsi="Arial" w:cs="Arial"/>
          <w:color w:val="000000" w:themeColor="text1"/>
          <w:sz w:val="20"/>
          <w:szCs w:val="20"/>
        </w:rPr>
        <w:t xml:space="preserve">Source: Author’s calculation based on data from Department of Provincial Administration. 2025. Official statistics registration systems. </w:t>
      </w:r>
      <w:hyperlink r:id="rId27"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p w14:paraId="219D64CB"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p>
    <w:p w14:paraId="17955748" w14:textId="08F38826" w:rsidR="00E75A83" w:rsidRPr="00B97B69" w:rsidRDefault="00B151F3" w:rsidP="00710A62">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B151F3">
        <w:rPr>
          <w:rFonts w:ascii="Arial" w:hAnsi="Arial" w:cs="Arial"/>
          <w:b/>
          <w:bCs/>
          <w:color w:val="000000" w:themeColor="text1"/>
          <w:sz w:val="24"/>
          <w:szCs w:val="24"/>
        </w:rPr>
        <w:t>Figure 2.7</w:t>
      </w:r>
      <w:r w:rsidRPr="00B151F3">
        <w:rPr>
          <w:rFonts w:ascii="Arial" w:hAnsi="Arial" w:cs="Arial"/>
          <w:color w:val="000000" w:themeColor="text1"/>
          <w:sz w:val="24"/>
          <w:szCs w:val="24"/>
        </w:rPr>
        <w:t xml:space="preserve"> illustrates the relationship between land area and population concentration from 2000 to 2020. While Thailand’s national average density increased gradually from 121 to 129 persons/km², coastal provinces exhibit densities far exceeding this benchmark. Bangkok consistently recorded the highest extreme concentration, ranging between 3,562 and 3,634 persons/km². Similarly, Samut Prakan (992–1,346 persons/km²), Samut Sakhon (492–672 persons/km²), and Samut Songkhram (461–492 persons/km²) display densities significantly higher than the national level due to large populations confined within limited land areas.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6EC99BDE" w14:textId="77777777" w:rsidTr="0031702B">
        <w:tc>
          <w:tcPr>
            <w:tcW w:w="9027" w:type="dxa"/>
          </w:tcPr>
          <w:p w14:paraId="041D3011" w14:textId="77777777" w:rsidR="00E75A83" w:rsidRPr="00B97B69" w:rsidRDefault="00E75A83" w:rsidP="00710A62">
            <w:pPr>
              <w:spacing w:line="360" w:lineRule="auto"/>
              <w:contextualSpacing/>
              <w:rPr>
                <w:rFonts w:ascii="Arial" w:hAnsi="Arial" w:cs="Arial"/>
                <w:color w:val="000000" w:themeColor="text1"/>
                <w:sz w:val="24"/>
                <w:szCs w:val="24"/>
              </w:rPr>
            </w:pPr>
            <w:bookmarkStart w:id="2" w:name="_Hlk202876354"/>
            <w:r w:rsidRPr="00B97B69">
              <w:rPr>
                <w:rFonts w:ascii="Arial" w:hAnsi="Arial" w:cs="Arial"/>
                <w:noProof/>
                <w:color w:val="000000" w:themeColor="text1"/>
                <w:sz w:val="24"/>
                <w:szCs w:val="24"/>
              </w:rPr>
              <w:lastRenderedPageBreak/>
              <w:drawing>
                <wp:inline distT="0" distB="0" distL="0" distR="0" wp14:anchorId="3893FF03" wp14:editId="20AAE7C4">
                  <wp:extent cx="5580000" cy="1045857"/>
                  <wp:effectExtent l="0" t="0" r="1905" b="1905"/>
                  <wp:docPr id="130564568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7322E" w:rsidRPr="00B97B69" w14:paraId="50D98F02" w14:textId="77777777" w:rsidTr="0031702B">
        <w:tc>
          <w:tcPr>
            <w:tcW w:w="9027" w:type="dxa"/>
          </w:tcPr>
          <w:p w14:paraId="476D8D7B"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2FB7A168" w14:textId="77777777" w:rsidTr="0031702B">
        <w:tc>
          <w:tcPr>
            <w:tcW w:w="9027" w:type="dxa"/>
          </w:tcPr>
          <w:p w14:paraId="45502C13"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5789FD3A" wp14:editId="63C48EA8">
                  <wp:extent cx="5580000" cy="1045857"/>
                  <wp:effectExtent l="0" t="0" r="1905" b="1905"/>
                  <wp:docPr id="144352753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7322E" w:rsidRPr="00B97B69" w14:paraId="51DB6584" w14:textId="77777777" w:rsidTr="0031702B">
        <w:tc>
          <w:tcPr>
            <w:tcW w:w="9027" w:type="dxa"/>
          </w:tcPr>
          <w:p w14:paraId="32B7D7B7"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6782AA22" w14:textId="77777777" w:rsidTr="0031702B">
        <w:tc>
          <w:tcPr>
            <w:tcW w:w="9027" w:type="dxa"/>
          </w:tcPr>
          <w:p w14:paraId="68D25137"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06A1B527" wp14:editId="04AF3EC9">
                  <wp:extent cx="5580000" cy="1045856"/>
                  <wp:effectExtent l="0" t="0" r="1905" b="1905"/>
                  <wp:docPr id="1862635298"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80000" cy="1045856"/>
                          </a:xfrm>
                          <a:prstGeom prst="rect">
                            <a:avLst/>
                          </a:prstGeom>
                          <a:noFill/>
                        </pic:spPr>
                      </pic:pic>
                    </a:graphicData>
                  </a:graphic>
                </wp:inline>
              </w:drawing>
            </w:r>
          </w:p>
        </w:tc>
      </w:tr>
      <w:tr w:rsidR="00B7322E" w:rsidRPr="00B97B69" w14:paraId="2F05DD4F" w14:textId="77777777" w:rsidTr="0031702B">
        <w:tc>
          <w:tcPr>
            <w:tcW w:w="9027" w:type="dxa"/>
          </w:tcPr>
          <w:p w14:paraId="1AC5BD8F"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3D7631E7" w14:textId="77777777" w:rsidTr="0031702B">
        <w:tc>
          <w:tcPr>
            <w:tcW w:w="9027" w:type="dxa"/>
          </w:tcPr>
          <w:p w14:paraId="0F07E8AF"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Figure 2.7 </w:t>
            </w:r>
            <w:r w:rsidRPr="00B97B69">
              <w:rPr>
                <w:rFonts w:ascii="Arial" w:hAnsi="Arial" w:cs="Arial"/>
                <w:color w:val="000000" w:themeColor="text1"/>
                <w:sz w:val="24"/>
                <w:szCs w:val="24"/>
              </w:rPr>
              <w:t>Population density of Thailand and coastal provinces along the Gulf of Thailand (2000, 2005, 2010, 2020)</w:t>
            </w:r>
          </w:p>
        </w:tc>
      </w:tr>
    </w:tbl>
    <w:bookmarkEnd w:id="2"/>
    <w:p w14:paraId="7A654AD3"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0"/>
          <w:szCs w:val="20"/>
        </w:rPr>
      </w:pPr>
      <w:r w:rsidRPr="00B97B69">
        <w:rPr>
          <w:rFonts w:ascii="Arial" w:hAnsi="Arial" w:cs="Arial"/>
          <w:color w:val="000000" w:themeColor="text1"/>
          <w:sz w:val="20"/>
          <w:szCs w:val="20"/>
        </w:rPr>
        <w:t xml:space="preserve">Source: Author’s calculation based on data from Department of Provincial Administration. 2025. Official statistics registration systems. </w:t>
      </w:r>
      <w:hyperlink r:id="rId31" w:history="1">
        <w:r w:rsidRPr="00B97B69">
          <w:rPr>
            <w:rStyle w:val="Hyperlink"/>
            <w:rFonts w:ascii="Arial" w:hAnsi="Arial" w:cs="Arial"/>
            <w:color w:val="000000" w:themeColor="text1"/>
            <w:sz w:val="20"/>
            <w:szCs w:val="20"/>
          </w:rPr>
          <w:t>https://stat.bora.dopa.go.th/stat/statnew/statMenu/newStat/home.php</w:t>
        </w:r>
      </w:hyperlink>
      <w:r w:rsidRPr="00B97B69">
        <w:rPr>
          <w:rFonts w:ascii="Arial" w:hAnsi="Arial" w:cs="Arial"/>
          <w:color w:val="000000" w:themeColor="text1"/>
          <w:sz w:val="20"/>
          <w:szCs w:val="20"/>
        </w:rPr>
        <w:t xml:space="preserve"> (accessed 19 April 2025)</w:t>
      </w:r>
    </w:p>
    <w:p w14:paraId="1AF46DAD" w14:textId="77777777" w:rsidR="00E75A83"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6FAD0814" w14:textId="77777777" w:rsidTr="00EE2ECC">
        <w:tc>
          <w:tcPr>
            <w:tcW w:w="9027" w:type="dxa"/>
          </w:tcPr>
          <w:p w14:paraId="1FD2A913"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52085F8A" wp14:editId="264605A7">
                  <wp:extent cx="5580000" cy="1412364"/>
                  <wp:effectExtent l="0" t="0" r="1905" b="0"/>
                  <wp:docPr id="60272593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80000" cy="1412364"/>
                          </a:xfrm>
                          <a:prstGeom prst="rect">
                            <a:avLst/>
                          </a:prstGeom>
                          <a:noFill/>
                        </pic:spPr>
                      </pic:pic>
                    </a:graphicData>
                  </a:graphic>
                </wp:inline>
              </w:drawing>
            </w:r>
          </w:p>
        </w:tc>
      </w:tr>
      <w:tr w:rsidR="00B7322E" w:rsidRPr="00B97B69" w14:paraId="348903FB" w14:textId="77777777" w:rsidTr="00EE2ECC">
        <w:tc>
          <w:tcPr>
            <w:tcW w:w="9027" w:type="dxa"/>
          </w:tcPr>
          <w:p w14:paraId="5C1BE0B9"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1CE8B897" w14:textId="77777777" w:rsidTr="00EE2ECC">
        <w:tc>
          <w:tcPr>
            <w:tcW w:w="9027" w:type="dxa"/>
          </w:tcPr>
          <w:p w14:paraId="076A87CF"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2.8</w:t>
            </w:r>
            <w:r w:rsidRPr="00B97B69">
              <w:rPr>
                <w:rFonts w:ascii="Arial" w:hAnsi="Arial" w:cs="Arial"/>
                <w:color w:val="000000" w:themeColor="text1"/>
                <w:sz w:val="24"/>
                <w:szCs w:val="24"/>
              </w:rPr>
              <w:t xml:space="preserve"> Percentage of population at mid-year residing in urban areas of Thailand (1950-2050)</w:t>
            </w:r>
          </w:p>
        </w:tc>
      </w:tr>
    </w:tbl>
    <w:p w14:paraId="26FE28A9"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3" w:name="_Hlk213613693"/>
      <w:r w:rsidRPr="00B97B69">
        <w:rPr>
          <w:rFonts w:ascii="Arial" w:hAnsi="Arial" w:cs="Arial"/>
          <w:color w:val="000000" w:themeColor="text1"/>
          <w:sz w:val="20"/>
          <w:szCs w:val="20"/>
        </w:rPr>
        <w:t>United Nations, Department of Economic and Social Affairs, Population Division (2018). World Urbanization Prospects: The 2018 Revision, Online Edition.</w:t>
      </w:r>
      <w:bookmarkEnd w:id="3"/>
    </w:p>
    <w:p w14:paraId="7F6AB0E2"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b/>
          <w:bCs/>
          <w:color w:val="000000" w:themeColor="text1"/>
          <w:sz w:val="24"/>
          <w:szCs w:val="24"/>
        </w:rPr>
      </w:pPr>
    </w:p>
    <w:p w14:paraId="6D8DB72F" w14:textId="77777777" w:rsidR="00EE2ECC" w:rsidRDefault="00EE2ECC" w:rsidP="00EE2ECC">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B151F3">
        <w:rPr>
          <w:rFonts w:ascii="Arial" w:hAnsi="Arial" w:cs="Arial"/>
          <w:color w:val="000000" w:themeColor="text1"/>
          <w:sz w:val="24"/>
          <w:szCs w:val="24"/>
        </w:rPr>
        <w:lastRenderedPageBreak/>
        <w:t xml:space="preserve">As illustrated in </w:t>
      </w:r>
      <w:r w:rsidRPr="00B151F3">
        <w:rPr>
          <w:rFonts w:ascii="Arial" w:hAnsi="Arial" w:cs="Arial"/>
          <w:b/>
          <w:bCs/>
          <w:color w:val="000000" w:themeColor="text1"/>
          <w:sz w:val="24"/>
          <w:szCs w:val="24"/>
        </w:rPr>
        <w:t>Figure 2.8</w:t>
      </w:r>
      <w:r w:rsidRPr="00B151F3">
        <w:rPr>
          <w:rFonts w:ascii="Arial" w:hAnsi="Arial" w:cs="Arial"/>
          <w:color w:val="000000" w:themeColor="text1"/>
          <w:sz w:val="24"/>
          <w:szCs w:val="24"/>
        </w:rPr>
        <w:t>, the percentage of Thailand’s population residing in urban areas rose from 16.5% in 1950 to 51.4% by 2020, with projections reaching approximately 69.5% by 2050. This trend reflects economic growth, rural-to-urban migration, and infrastructure expansion.</w:t>
      </w:r>
    </w:p>
    <w:p w14:paraId="1880C232" w14:textId="77777777" w:rsidR="00EE2ECC" w:rsidRDefault="00EE2ECC"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7A6C9D47" w14:textId="70B98719" w:rsidR="00E75A83" w:rsidRDefault="001F0E96"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1F0E96">
        <w:rPr>
          <w:rFonts w:ascii="Arial" w:hAnsi="Arial"/>
          <w:color w:val="000000" w:themeColor="text1"/>
          <w:sz w:val="24"/>
          <w:szCs w:val="24"/>
        </w:rPr>
        <w:t xml:space="preserve">The 2020 urban population ratio and density data reveal distinct spatial patterns among coastal provinces </w:t>
      </w:r>
      <w:r w:rsidRPr="001F0E96">
        <w:rPr>
          <w:rFonts w:ascii="Arial" w:hAnsi="Arial"/>
          <w:b/>
          <w:bCs/>
          <w:color w:val="000000" w:themeColor="text1"/>
          <w:sz w:val="24"/>
          <w:szCs w:val="24"/>
        </w:rPr>
        <w:t>(Table 2.2)</w:t>
      </w:r>
      <w:r w:rsidRPr="001F0E96">
        <w:rPr>
          <w:rFonts w:ascii="Arial" w:hAnsi="Arial"/>
          <w:color w:val="000000" w:themeColor="text1"/>
          <w:sz w:val="24"/>
          <w:szCs w:val="24"/>
        </w:rPr>
        <w:t xml:space="preserve">. While the national average indicates moderate urbanization (34.5% share, 129 persons/km²), coastal areas exhibit stronger contrasts. The upper Gulf forms Thailand’s primary urban corridor, extending from Bangkok to the Eastern Economic Corridor (EEC), where industrial development dominates. Key provinces here include Bangkok (100%, 3,562 persons/km²), Samut Prakan (48.6%, 1,346), Samut Sakhon (45.6%, 672), and Chon Buri (68.9%, 359). In contrast, lower Gulf provinces such as Chumphon, Narathiwat, and Nakhon Si Thammarat reflect predominantly rural settlement patterns with low urban ratios (&lt; 25%) and densities (&lt; 200 persons/km²). </w:t>
      </w:r>
    </w:p>
    <w:p w14:paraId="45D6E12A" w14:textId="77777777" w:rsidR="001F0E96" w:rsidRPr="00B97B69" w:rsidRDefault="001F0E96"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108218C2" w14:textId="6270276C" w:rsidR="00E75A83" w:rsidRPr="00B97B69"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B97B69">
        <w:rPr>
          <w:rFonts w:ascii="Arial" w:hAnsi="Arial"/>
          <w:b/>
          <w:bCs/>
          <w:color w:val="000000" w:themeColor="text1"/>
          <w:sz w:val="24"/>
          <w:szCs w:val="24"/>
        </w:rPr>
        <w:t>Table 2.2</w:t>
      </w:r>
      <w:r w:rsidRPr="00B97B69">
        <w:rPr>
          <w:rFonts w:ascii="Arial" w:hAnsi="Arial"/>
          <w:color w:val="000000" w:themeColor="text1"/>
          <w:sz w:val="24"/>
          <w:szCs w:val="24"/>
        </w:rPr>
        <w:t xml:space="preserve"> Urban population ratio and population density of Thailand and coastal provinces along the Gulf of Thailand (2020)</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369"/>
        <w:gridCol w:w="2643"/>
      </w:tblGrid>
      <w:tr w:rsidR="00B7322E" w:rsidRPr="00B97B69" w14:paraId="72776196" w14:textId="77777777" w:rsidTr="0031702B">
        <w:trPr>
          <w:trHeight w:val="397"/>
        </w:trPr>
        <w:tc>
          <w:tcPr>
            <w:tcW w:w="3005" w:type="dxa"/>
            <w:tcBorders>
              <w:top w:val="single" w:sz="4" w:space="0" w:color="auto"/>
              <w:bottom w:val="single" w:sz="4" w:space="0" w:color="auto"/>
            </w:tcBorders>
            <w:vAlign w:val="center"/>
          </w:tcPr>
          <w:p w14:paraId="69FC83F2"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Provinces</w:t>
            </w:r>
          </w:p>
        </w:tc>
        <w:tc>
          <w:tcPr>
            <w:tcW w:w="3369" w:type="dxa"/>
            <w:tcBorders>
              <w:top w:val="single" w:sz="4" w:space="0" w:color="auto"/>
              <w:bottom w:val="single" w:sz="4" w:space="0" w:color="auto"/>
            </w:tcBorders>
            <w:vAlign w:val="center"/>
          </w:tcPr>
          <w:p w14:paraId="175EC0F8"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Urban population ratio (%)</w:t>
            </w:r>
          </w:p>
        </w:tc>
        <w:tc>
          <w:tcPr>
            <w:tcW w:w="2643" w:type="dxa"/>
            <w:tcBorders>
              <w:top w:val="single" w:sz="4" w:space="0" w:color="auto"/>
              <w:bottom w:val="single" w:sz="4" w:space="0" w:color="auto"/>
            </w:tcBorders>
            <w:vAlign w:val="center"/>
          </w:tcPr>
          <w:p w14:paraId="291DACB5"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b/>
                <w:bCs/>
                <w:color w:val="000000" w:themeColor="text1"/>
                <w:sz w:val="24"/>
                <w:szCs w:val="24"/>
              </w:rPr>
              <w:t>Density (pers./km</w:t>
            </w:r>
            <w:r w:rsidRPr="00B97B69">
              <w:rPr>
                <w:rFonts w:ascii="Arial" w:hAnsi="Arial" w:cs="Arial"/>
                <w:b/>
                <w:bCs/>
                <w:color w:val="000000" w:themeColor="text1"/>
                <w:sz w:val="24"/>
                <w:szCs w:val="24"/>
                <w:vertAlign w:val="superscript"/>
              </w:rPr>
              <w:t>2</w:t>
            </w:r>
            <w:r w:rsidRPr="00B97B69">
              <w:rPr>
                <w:rFonts w:ascii="Arial" w:hAnsi="Arial" w:cs="Arial"/>
                <w:b/>
                <w:bCs/>
                <w:color w:val="000000" w:themeColor="text1"/>
                <w:sz w:val="24"/>
                <w:szCs w:val="24"/>
              </w:rPr>
              <w:t>)</w:t>
            </w:r>
          </w:p>
        </w:tc>
      </w:tr>
      <w:tr w:rsidR="00B7322E" w:rsidRPr="00B97B69" w14:paraId="67B14229" w14:textId="77777777" w:rsidTr="0031702B">
        <w:trPr>
          <w:trHeight w:val="397"/>
        </w:trPr>
        <w:tc>
          <w:tcPr>
            <w:tcW w:w="3005" w:type="dxa"/>
            <w:tcBorders>
              <w:top w:val="single" w:sz="4" w:space="0" w:color="auto"/>
            </w:tcBorders>
            <w:vAlign w:val="center"/>
          </w:tcPr>
          <w:p w14:paraId="68E79C6B"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Nation</w:t>
            </w:r>
          </w:p>
        </w:tc>
        <w:tc>
          <w:tcPr>
            <w:tcW w:w="3369" w:type="dxa"/>
            <w:tcBorders>
              <w:top w:val="single" w:sz="4" w:space="0" w:color="auto"/>
            </w:tcBorders>
            <w:vAlign w:val="center"/>
          </w:tcPr>
          <w:p w14:paraId="1868A87D"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34.5</w:t>
            </w:r>
          </w:p>
        </w:tc>
        <w:tc>
          <w:tcPr>
            <w:tcW w:w="2643" w:type="dxa"/>
            <w:tcBorders>
              <w:top w:val="single" w:sz="4" w:space="0" w:color="auto"/>
            </w:tcBorders>
            <w:vAlign w:val="center"/>
          </w:tcPr>
          <w:p w14:paraId="0214814E" w14:textId="178ABB23"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12</w:t>
            </w:r>
            <w:r w:rsidR="00B524AB">
              <w:rPr>
                <w:rFonts w:ascii="Arial" w:hAnsi="Arial" w:cs="Arial"/>
                <w:color w:val="000000" w:themeColor="text1"/>
                <w:sz w:val="24"/>
                <w:szCs w:val="24"/>
              </w:rPr>
              <w:t>9</w:t>
            </w:r>
          </w:p>
        </w:tc>
      </w:tr>
      <w:tr w:rsidR="00B7322E" w:rsidRPr="00B97B69" w14:paraId="50DE0996" w14:textId="77777777" w:rsidTr="0031702B">
        <w:trPr>
          <w:trHeight w:val="397"/>
        </w:trPr>
        <w:tc>
          <w:tcPr>
            <w:tcW w:w="3005" w:type="dxa"/>
            <w:vAlign w:val="center"/>
          </w:tcPr>
          <w:p w14:paraId="1643FAE9"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Rayong</w:t>
            </w:r>
          </w:p>
        </w:tc>
        <w:tc>
          <w:tcPr>
            <w:tcW w:w="3369" w:type="dxa"/>
            <w:vAlign w:val="center"/>
          </w:tcPr>
          <w:p w14:paraId="48FD8939"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48.6</w:t>
            </w:r>
          </w:p>
        </w:tc>
        <w:tc>
          <w:tcPr>
            <w:tcW w:w="2643" w:type="dxa"/>
            <w:vAlign w:val="center"/>
          </w:tcPr>
          <w:p w14:paraId="41861B9C" w14:textId="4A135972"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20</w:t>
            </w:r>
            <w:r w:rsidR="00B524AB">
              <w:rPr>
                <w:rFonts w:ascii="Arial" w:hAnsi="Arial" w:cs="Arial"/>
                <w:color w:val="000000" w:themeColor="text1"/>
                <w:sz w:val="24"/>
                <w:szCs w:val="24"/>
              </w:rPr>
              <w:t>9</w:t>
            </w:r>
          </w:p>
        </w:tc>
      </w:tr>
      <w:tr w:rsidR="00B7322E" w:rsidRPr="00B97B69" w14:paraId="3BF45EC2" w14:textId="77777777" w:rsidTr="0031702B">
        <w:trPr>
          <w:trHeight w:val="397"/>
        </w:trPr>
        <w:tc>
          <w:tcPr>
            <w:tcW w:w="3005" w:type="dxa"/>
            <w:vAlign w:val="center"/>
          </w:tcPr>
          <w:p w14:paraId="71229821"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Chanthaburi</w:t>
            </w:r>
          </w:p>
        </w:tc>
        <w:tc>
          <w:tcPr>
            <w:tcW w:w="3369" w:type="dxa"/>
            <w:vAlign w:val="center"/>
          </w:tcPr>
          <w:p w14:paraId="5733259E"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42.3</w:t>
            </w:r>
          </w:p>
        </w:tc>
        <w:tc>
          <w:tcPr>
            <w:tcW w:w="2643" w:type="dxa"/>
            <w:vAlign w:val="center"/>
          </w:tcPr>
          <w:p w14:paraId="60371382" w14:textId="42026481"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84</w:t>
            </w:r>
          </w:p>
        </w:tc>
      </w:tr>
      <w:tr w:rsidR="00B7322E" w:rsidRPr="00B97B69" w14:paraId="7669B36B" w14:textId="77777777" w:rsidTr="0031702B">
        <w:trPr>
          <w:trHeight w:val="397"/>
        </w:trPr>
        <w:tc>
          <w:tcPr>
            <w:tcW w:w="3005" w:type="dxa"/>
            <w:vAlign w:val="center"/>
          </w:tcPr>
          <w:p w14:paraId="28E40DF9"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Trat</w:t>
            </w:r>
          </w:p>
        </w:tc>
        <w:tc>
          <w:tcPr>
            <w:tcW w:w="3369" w:type="dxa"/>
            <w:vAlign w:val="center"/>
          </w:tcPr>
          <w:p w14:paraId="4FF8C699"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24.4</w:t>
            </w:r>
          </w:p>
        </w:tc>
        <w:tc>
          <w:tcPr>
            <w:tcW w:w="2643" w:type="dxa"/>
            <w:vAlign w:val="center"/>
          </w:tcPr>
          <w:p w14:paraId="15E7BDD1" w14:textId="72CDE920"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81</w:t>
            </w:r>
          </w:p>
        </w:tc>
      </w:tr>
      <w:tr w:rsidR="00B7322E" w:rsidRPr="00B97B69" w14:paraId="2485E967" w14:textId="77777777" w:rsidTr="0031702B">
        <w:trPr>
          <w:trHeight w:val="397"/>
        </w:trPr>
        <w:tc>
          <w:tcPr>
            <w:tcW w:w="3005" w:type="dxa"/>
            <w:vAlign w:val="center"/>
          </w:tcPr>
          <w:p w14:paraId="50150E6D"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Samut Prakan</w:t>
            </w:r>
          </w:p>
        </w:tc>
        <w:tc>
          <w:tcPr>
            <w:tcW w:w="3369" w:type="dxa"/>
            <w:vAlign w:val="center"/>
          </w:tcPr>
          <w:p w14:paraId="52D73D7E"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48.6</w:t>
            </w:r>
          </w:p>
        </w:tc>
        <w:tc>
          <w:tcPr>
            <w:tcW w:w="2643" w:type="dxa"/>
            <w:vAlign w:val="center"/>
          </w:tcPr>
          <w:p w14:paraId="265EF912" w14:textId="716EA3BB"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1,34</w:t>
            </w:r>
            <w:r w:rsidR="00B524AB">
              <w:rPr>
                <w:rFonts w:ascii="Arial" w:hAnsi="Arial" w:cs="Arial"/>
                <w:color w:val="000000" w:themeColor="text1"/>
                <w:sz w:val="24"/>
                <w:szCs w:val="24"/>
              </w:rPr>
              <w:t>6</w:t>
            </w:r>
          </w:p>
        </w:tc>
      </w:tr>
      <w:tr w:rsidR="00B7322E" w:rsidRPr="00B97B69" w14:paraId="07DC3FD0" w14:textId="77777777" w:rsidTr="0031702B">
        <w:trPr>
          <w:trHeight w:val="397"/>
        </w:trPr>
        <w:tc>
          <w:tcPr>
            <w:tcW w:w="3005" w:type="dxa"/>
            <w:vAlign w:val="center"/>
          </w:tcPr>
          <w:p w14:paraId="4057E14B"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Chon Buri</w:t>
            </w:r>
          </w:p>
        </w:tc>
        <w:tc>
          <w:tcPr>
            <w:tcW w:w="3369" w:type="dxa"/>
            <w:vAlign w:val="center"/>
          </w:tcPr>
          <w:p w14:paraId="066AE207"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68.9</w:t>
            </w:r>
          </w:p>
        </w:tc>
        <w:tc>
          <w:tcPr>
            <w:tcW w:w="2643" w:type="dxa"/>
            <w:vAlign w:val="center"/>
          </w:tcPr>
          <w:p w14:paraId="4D6DC99C" w14:textId="6885B6BE"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359</w:t>
            </w:r>
          </w:p>
        </w:tc>
      </w:tr>
      <w:tr w:rsidR="00B7322E" w:rsidRPr="00B97B69" w14:paraId="3D153B20" w14:textId="77777777" w:rsidTr="0031702B">
        <w:trPr>
          <w:trHeight w:val="397"/>
        </w:trPr>
        <w:tc>
          <w:tcPr>
            <w:tcW w:w="3005" w:type="dxa"/>
            <w:vAlign w:val="center"/>
          </w:tcPr>
          <w:p w14:paraId="2788D5BF"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Chachoengsao</w:t>
            </w:r>
          </w:p>
        </w:tc>
        <w:tc>
          <w:tcPr>
            <w:tcW w:w="3369" w:type="dxa"/>
            <w:vAlign w:val="center"/>
          </w:tcPr>
          <w:p w14:paraId="477CC94B"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21.8</w:t>
            </w:r>
          </w:p>
        </w:tc>
        <w:tc>
          <w:tcPr>
            <w:tcW w:w="2643" w:type="dxa"/>
            <w:vAlign w:val="center"/>
          </w:tcPr>
          <w:p w14:paraId="194311F9" w14:textId="2635CE84"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13</w:t>
            </w:r>
            <w:r w:rsidR="00B524AB">
              <w:rPr>
                <w:rFonts w:ascii="Arial" w:hAnsi="Arial" w:cs="Arial"/>
                <w:color w:val="000000" w:themeColor="text1"/>
                <w:sz w:val="24"/>
                <w:szCs w:val="24"/>
              </w:rPr>
              <w:t>5</w:t>
            </w:r>
          </w:p>
        </w:tc>
      </w:tr>
      <w:tr w:rsidR="00B7322E" w:rsidRPr="00B97B69" w14:paraId="0826B4E0" w14:textId="77777777" w:rsidTr="0031702B">
        <w:trPr>
          <w:trHeight w:val="397"/>
        </w:trPr>
        <w:tc>
          <w:tcPr>
            <w:tcW w:w="3005" w:type="dxa"/>
            <w:vAlign w:val="center"/>
          </w:tcPr>
          <w:p w14:paraId="728A00E8"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Samut Sakhon</w:t>
            </w:r>
          </w:p>
        </w:tc>
        <w:tc>
          <w:tcPr>
            <w:tcW w:w="3369" w:type="dxa"/>
            <w:vAlign w:val="center"/>
          </w:tcPr>
          <w:p w14:paraId="3351ACA8"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45.6</w:t>
            </w:r>
          </w:p>
        </w:tc>
        <w:tc>
          <w:tcPr>
            <w:tcW w:w="2643" w:type="dxa"/>
            <w:vAlign w:val="center"/>
          </w:tcPr>
          <w:p w14:paraId="5F5983EB" w14:textId="3934F8F0"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672</w:t>
            </w:r>
          </w:p>
        </w:tc>
      </w:tr>
      <w:tr w:rsidR="00B7322E" w:rsidRPr="00B97B69" w14:paraId="677F8A24" w14:textId="77777777" w:rsidTr="0031702B">
        <w:trPr>
          <w:trHeight w:val="397"/>
        </w:trPr>
        <w:tc>
          <w:tcPr>
            <w:tcW w:w="3005" w:type="dxa"/>
            <w:vAlign w:val="center"/>
          </w:tcPr>
          <w:p w14:paraId="4FF5BB6F"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Samut Songkhram</w:t>
            </w:r>
          </w:p>
        </w:tc>
        <w:tc>
          <w:tcPr>
            <w:tcW w:w="3369" w:type="dxa"/>
            <w:vAlign w:val="center"/>
          </w:tcPr>
          <w:p w14:paraId="212464CC"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19.8</w:t>
            </w:r>
          </w:p>
        </w:tc>
        <w:tc>
          <w:tcPr>
            <w:tcW w:w="2643" w:type="dxa"/>
            <w:vAlign w:val="center"/>
          </w:tcPr>
          <w:p w14:paraId="0C3BA6ED" w14:textId="51FD84B8"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46</w:t>
            </w:r>
            <w:r w:rsidR="00B524AB">
              <w:rPr>
                <w:rFonts w:ascii="Arial" w:hAnsi="Arial" w:cs="Arial"/>
                <w:color w:val="000000" w:themeColor="text1"/>
                <w:sz w:val="24"/>
                <w:szCs w:val="24"/>
              </w:rPr>
              <w:t>1</w:t>
            </w:r>
          </w:p>
        </w:tc>
      </w:tr>
      <w:tr w:rsidR="00B7322E" w:rsidRPr="00B97B69" w14:paraId="4661D238" w14:textId="77777777" w:rsidTr="0031702B">
        <w:trPr>
          <w:trHeight w:val="397"/>
        </w:trPr>
        <w:tc>
          <w:tcPr>
            <w:tcW w:w="3005" w:type="dxa"/>
            <w:vAlign w:val="center"/>
          </w:tcPr>
          <w:p w14:paraId="22E38230"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Phetchaburi</w:t>
            </w:r>
          </w:p>
        </w:tc>
        <w:tc>
          <w:tcPr>
            <w:tcW w:w="3369" w:type="dxa"/>
            <w:vAlign w:val="center"/>
          </w:tcPr>
          <w:p w14:paraId="0D062FA0"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33.9</w:t>
            </w:r>
          </w:p>
        </w:tc>
        <w:tc>
          <w:tcPr>
            <w:tcW w:w="2643" w:type="dxa"/>
            <w:vAlign w:val="center"/>
          </w:tcPr>
          <w:p w14:paraId="415DCBD7" w14:textId="7E3F782D"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77</w:t>
            </w:r>
          </w:p>
        </w:tc>
      </w:tr>
      <w:tr w:rsidR="00B7322E" w:rsidRPr="00B97B69" w14:paraId="292F8F8B" w14:textId="77777777" w:rsidTr="0031702B">
        <w:trPr>
          <w:trHeight w:val="397"/>
        </w:trPr>
        <w:tc>
          <w:tcPr>
            <w:tcW w:w="3005" w:type="dxa"/>
            <w:vAlign w:val="center"/>
          </w:tcPr>
          <w:p w14:paraId="31CA8363"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Prachuap Khiri Khan</w:t>
            </w:r>
          </w:p>
        </w:tc>
        <w:tc>
          <w:tcPr>
            <w:tcW w:w="3369" w:type="dxa"/>
            <w:vAlign w:val="center"/>
          </w:tcPr>
          <w:p w14:paraId="411F4D06"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31.2</w:t>
            </w:r>
          </w:p>
        </w:tc>
        <w:tc>
          <w:tcPr>
            <w:tcW w:w="2643" w:type="dxa"/>
            <w:vAlign w:val="center"/>
          </w:tcPr>
          <w:p w14:paraId="68DAB3C6" w14:textId="616282D1"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86</w:t>
            </w:r>
          </w:p>
        </w:tc>
      </w:tr>
      <w:tr w:rsidR="00B7322E" w:rsidRPr="00B97B69" w14:paraId="4A289F2F" w14:textId="77777777" w:rsidTr="0031702B">
        <w:trPr>
          <w:trHeight w:val="397"/>
        </w:trPr>
        <w:tc>
          <w:tcPr>
            <w:tcW w:w="3005" w:type="dxa"/>
            <w:vAlign w:val="center"/>
          </w:tcPr>
          <w:p w14:paraId="20A28E75"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Nakhon Si Thammarat</w:t>
            </w:r>
          </w:p>
        </w:tc>
        <w:tc>
          <w:tcPr>
            <w:tcW w:w="3369" w:type="dxa"/>
            <w:vAlign w:val="center"/>
          </w:tcPr>
          <w:p w14:paraId="173FD282"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18.8</w:t>
            </w:r>
          </w:p>
        </w:tc>
        <w:tc>
          <w:tcPr>
            <w:tcW w:w="2643" w:type="dxa"/>
            <w:vAlign w:val="center"/>
          </w:tcPr>
          <w:p w14:paraId="067B7AF4" w14:textId="7C9C67D1"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15</w:t>
            </w:r>
            <w:r w:rsidR="00B524AB">
              <w:rPr>
                <w:rFonts w:ascii="Arial" w:hAnsi="Arial" w:cs="Arial"/>
                <w:color w:val="000000" w:themeColor="text1"/>
                <w:sz w:val="24"/>
                <w:szCs w:val="24"/>
              </w:rPr>
              <w:t>6</w:t>
            </w:r>
          </w:p>
        </w:tc>
      </w:tr>
      <w:tr w:rsidR="00B7322E" w:rsidRPr="00B97B69" w14:paraId="44A2BAD7" w14:textId="77777777" w:rsidTr="0031702B">
        <w:trPr>
          <w:trHeight w:val="397"/>
        </w:trPr>
        <w:tc>
          <w:tcPr>
            <w:tcW w:w="3005" w:type="dxa"/>
            <w:vAlign w:val="center"/>
          </w:tcPr>
          <w:p w14:paraId="136F9EED" w14:textId="77777777" w:rsidR="00E75A83" w:rsidRPr="00B97B69" w:rsidRDefault="00E75A83" w:rsidP="00710A62">
            <w:pPr>
              <w:spacing w:line="360" w:lineRule="auto"/>
              <w:contextualSpacing/>
              <w:rPr>
                <w:rFonts w:ascii="Arial" w:hAnsi="Arial" w:cs="Arial"/>
                <w:b/>
                <w:bCs/>
                <w:color w:val="000000" w:themeColor="text1"/>
                <w:sz w:val="24"/>
                <w:szCs w:val="24"/>
              </w:rPr>
            </w:pPr>
            <w:r w:rsidRPr="00B97B69">
              <w:rPr>
                <w:rFonts w:ascii="Arial" w:hAnsi="Arial" w:cs="Arial"/>
                <w:color w:val="000000" w:themeColor="text1"/>
                <w:sz w:val="24"/>
                <w:szCs w:val="24"/>
              </w:rPr>
              <w:t>Surat-Thani</w:t>
            </w:r>
          </w:p>
        </w:tc>
        <w:tc>
          <w:tcPr>
            <w:tcW w:w="3369" w:type="dxa"/>
            <w:vAlign w:val="center"/>
          </w:tcPr>
          <w:p w14:paraId="3C309D33"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41.3</w:t>
            </w:r>
          </w:p>
        </w:tc>
        <w:tc>
          <w:tcPr>
            <w:tcW w:w="2643" w:type="dxa"/>
            <w:vAlign w:val="center"/>
          </w:tcPr>
          <w:p w14:paraId="300B82B9" w14:textId="1B18B5D0"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8</w:t>
            </w:r>
            <w:r w:rsidR="00B524AB">
              <w:rPr>
                <w:rFonts w:ascii="Arial" w:hAnsi="Arial" w:cs="Arial"/>
                <w:color w:val="000000" w:themeColor="text1"/>
                <w:sz w:val="24"/>
                <w:szCs w:val="24"/>
              </w:rPr>
              <w:t>3</w:t>
            </w:r>
          </w:p>
        </w:tc>
      </w:tr>
      <w:tr w:rsidR="00B7322E" w:rsidRPr="00B97B69" w14:paraId="26911AE8" w14:textId="77777777" w:rsidTr="0031702B">
        <w:trPr>
          <w:trHeight w:val="397"/>
        </w:trPr>
        <w:tc>
          <w:tcPr>
            <w:tcW w:w="3005" w:type="dxa"/>
            <w:vAlign w:val="center"/>
          </w:tcPr>
          <w:p w14:paraId="31E69675"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Chumphon</w:t>
            </w:r>
          </w:p>
        </w:tc>
        <w:tc>
          <w:tcPr>
            <w:tcW w:w="3369" w:type="dxa"/>
            <w:vAlign w:val="center"/>
          </w:tcPr>
          <w:p w14:paraId="7626E3DD"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19.1</w:t>
            </w:r>
          </w:p>
        </w:tc>
        <w:tc>
          <w:tcPr>
            <w:tcW w:w="2643" w:type="dxa"/>
            <w:vAlign w:val="center"/>
          </w:tcPr>
          <w:p w14:paraId="4D007B90" w14:textId="3DF38DCE"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8</w:t>
            </w:r>
            <w:r w:rsidR="00B524AB">
              <w:rPr>
                <w:rFonts w:ascii="Arial" w:hAnsi="Arial" w:cs="Arial"/>
                <w:color w:val="000000" w:themeColor="text1"/>
                <w:sz w:val="24"/>
                <w:szCs w:val="24"/>
              </w:rPr>
              <w:t>5</w:t>
            </w:r>
          </w:p>
        </w:tc>
      </w:tr>
      <w:tr w:rsidR="00B7322E" w:rsidRPr="00B97B69" w14:paraId="190E8F78" w14:textId="77777777" w:rsidTr="0031702B">
        <w:trPr>
          <w:trHeight w:val="397"/>
        </w:trPr>
        <w:tc>
          <w:tcPr>
            <w:tcW w:w="3005" w:type="dxa"/>
            <w:vAlign w:val="center"/>
          </w:tcPr>
          <w:p w14:paraId="27C1F6B9"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lastRenderedPageBreak/>
              <w:t>Songkhla</w:t>
            </w:r>
          </w:p>
        </w:tc>
        <w:tc>
          <w:tcPr>
            <w:tcW w:w="3369" w:type="dxa"/>
            <w:vAlign w:val="center"/>
          </w:tcPr>
          <w:p w14:paraId="5722D2C6"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50.8</w:t>
            </w:r>
          </w:p>
        </w:tc>
        <w:tc>
          <w:tcPr>
            <w:tcW w:w="2643" w:type="dxa"/>
            <w:vAlign w:val="center"/>
          </w:tcPr>
          <w:p w14:paraId="6DFCDF47" w14:textId="1D7D4D9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193</w:t>
            </w:r>
          </w:p>
        </w:tc>
      </w:tr>
      <w:tr w:rsidR="00B7322E" w:rsidRPr="00B97B69" w14:paraId="23DF6439" w14:textId="77777777" w:rsidTr="0031702B">
        <w:trPr>
          <w:trHeight w:val="397"/>
        </w:trPr>
        <w:tc>
          <w:tcPr>
            <w:tcW w:w="3005" w:type="dxa"/>
            <w:vAlign w:val="center"/>
          </w:tcPr>
          <w:p w14:paraId="5EA2BEFE"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Pattani</w:t>
            </w:r>
          </w:p>
        </w:tc>
        <w:tc>
          <w:tcPr>
            <w:tcW w:w="3369" w:type="dxa"/>
            <w:vAlign w:val="center"/>
          </w:tcPr>
          <w:p w14:paraId="2485EC4B"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17.9</w:t>
            </w:r>
          </w:p>
        </w:tc>
        <w:tc>
          <w:tcPr>
            <w:tcW w:w="2643" w:type="dxa"/>
            <w:vAlign w:val="center"/>
          </w:tcPr>
          <w:p w14:paraId="40C6C0CE" w14:textId="55B218BC"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374</w:t>
            </w:r>
          </w:p>
        </w:tc>
      </w:tr>
      <w:tr w:rsidR="00B7322E" w:rsidRPr="00B97B69" w14:paraId="65EDC333" w14:textId="77777777" w:rsidTr="0031702B">
        <w:trPr>
          <w:trHeight w:val="397"/>
        </w:trPr>
        <w:tc>
          <w:tcPr>
            <w:tcW w:w="3005" w:type="dxa"/>
            <w:vAlign w:val="center"/>
          </w:tcPr>
          <w:p w14:paraId="4C1499D3"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Narathiwat</w:t>
            </w:r>
          </w:p>
        </w:tc>
        <w:tc>
          <w:tcPr>
            <w:tcW w:w="3369" w:type="dxa"/>
            <w:vAlign w:val="center"/>
          </w:tcPr>
          <w:p w14:paraId="4D5E198E"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20.8</w:t>
            </w:r>
          </w:p>
        </w:tc>
        <w:tc>
          <w:tcPr>
            <w:tcW w:w="2643" w:type="dxa"/>
            <w:vAlign w:val="center"/>
          </w:tcPr>
          <w:p w14:paraId="2E0737A0" w14:textId="704C468A"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1</w:t>
            </w:r>
            <w:r w:rsidR="00B524AB">
              <w:rPr>
                <w:rFonts w:ascii="Arial" w:hAnsi="Arial" w:cs="Arial"/>
                <w:color w:val="000000" w:themeColor="text1"/>
                <w:sz w:val="24"/>
                <w:szCs w:val="24"/>
              </w:rPr>
              <w:t>80</w:t>
            </w:r>
          </w:p>
        </w:tc>
      </w:tr>
      <w:tr w:rsidR="00E75A83" w:rsidRPr="00B97B69" w14:paraId="777B926A" w14:textId="77777777" w:rsidTr="0031702B">
        <w:trPr>
          <w:trHeight w:val="397"/>
        </w:trPr>
        <w:tc>
          <w:tcPr>
            <w:tcW w:w="3005" w:type="dxa"/>
            <w:vAlign w:val="center"/>
          </w:tcPr>
          <w:p w14:paraId="6D665FB4" w14:textId="77777777" w:rsidR="00E75A83" w:rsidRPr="00B97B69" w:rsidRDefault="00E75A83" w:rsidP="00710A62">
            <w:pPr>
              <w:spacing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Bangkok</w:t>
            </w:r>
          </w:p>
        </w:tc>
        <w:tc>
          <w:tcPr>
            <w:tcW w:w="3369" w:type="dxa"/>
            <w:vAlign w:val="center"/>
          </w:tcPr>
          <w:p w14:paraId="0B7276FA" w14:textId="77777777" w:rsidR="00E75A83" w:rsidRPr="00B97B69" w:rsidRDefault="00E75A83" w:rsidP="00710A62">
            <w:pPr>
              <w:spacing w:line="360" w:lineRule="auto"/>
              <w:contextualSpacing/>
              <w:jc w:val="center"/>
              <w:rPr>
                <w:rFonts w:ascii="Arial" w:hAnsi="Arial"/>
                <w:color w:val="000000" w:themeColor="text1"/>
                <w:sz w:val="24"/>
                <w:szCs w:val="24"/>
              </w:rPr>
            </w:pPr>
            <w:r w:rsidRPr="00B97B69">
              <w:rPr>
                <w:rFonts w:ascii="Arial" w:hAnsi="Arial" w:cs="Arial"/>
                <w:color w:val="000000" w:themeColor="text1"/>
                <w:sz w:val="24"/>
                <w:szCs w:val="24"/>
              </w:rPr>
              <w:t>100.0</w:t>
            </w:r>
          </w:p>
        </w:tc>
        <w:tc>
          <w:tcPr>
            <w:tcW w:w="2643" w:type="dxa"/>
            <w:vAlign w:val="center"/>
          </w:tcPr>
          <w:p w14:paraId="414B0E97" w14:textId="1F4BE661"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color w:val="000000" w:themeColor="text1"/>
                <w:sz w:val="24"/>
                <w:szCs w:val="24"/>
              </w:rPr>
              <w:t>3,56</w:t>
            </w:r>
            <w:r w:rsidR="00B524AB">
              <w:rPr>
                <w:rFonts w:ascii="Arial" w:hAnsi="Arial" w:cs="Arial"/>
                <w:color w:val="000000" w:themeColor="text1"/>
                <w:sz w:val="24"/>
                <w:szCs w:val="24"/>
              </w:rPr>
              <w:t>2</w:t>
            </w:r>
          </w:p>
        </w:tc>
      </w:tr>
    </w:tbl>
    <w:p w14:paraId="5AACEB5C"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b/>
          <w:bCs/>
          <w:color w:val="000000" w:themeColor="text1"/>
          <w:sz w:val="24"/>
          <w:szCs w:val="24"/>
          <w:cs/>
        </w:rPr>
      </w:pPr>
    </w:p>
    <w:p w14:paraId="36CE1631" w14:textId="75AE78D8" w:rsidR="00E75A83" w:rsidRPr="00B97B69" w:rsidRDefault="00E75A83" w:rsidP="00710A62">
      <w:pPr>
        <w:pBdr>
          <w:top w:val="nil"/>
          <w:left w:val="nil"/>
          <w:bottom w:val="nil"/>
          <w:right w:val="nil"/>
          <w:between w:val="nil"/>
        </w:pBdr>
        <w:tabs>
          <w:tab w:val="left" w:pos="8364"/>
        </w:tabs>
        <w:spacing w:after="0" w:line="360" w:lineRule="auto"/>
        <w:contextualSpacing/>
        <w:jc w:val="both"/>
        <w:rPr>
          <w:rFonts w:ascii="Arial" w:hAnsi="Arial" w:cs="Arial"/>
          <w:color w:val="000000" w:themeColor="text1"/>
          <w:sz w:val="28"/>
        </w:rPr>
      </w:pPr>
      <w:r w:rsidRPr="00B97B69">
        <w:rPr>
          <w:rStyle w:val="Strong"/>
          <w:rFonts w:ascii="Arial" w:hAnsi="Arial" w:cs="Arial"/>
          <w:color w:val="000000" w:themeColor="text1"/>
          <w:sz w:val="24"/>
          <w:szCs w:val="32"/>
        </w:rPr>
        <w:t>Figure 2.9</w:t>
      </w:r>
      <w:r w:rsidRPr="00B97B69">
        <w:rPr>
          <w:rFonts w:ascii="Arial" w:hAnsi="Arial" w:cs="Arial"/>
          <w:color w:val="000000" w:themeColor="text1"/>
          <w:sz w:val="24"/>
          <w:szCs w:val="32"/>
        </w:rPr>
        <w:t xml:space="preserve"> illustrates the progressive loss of Thailand’s natural and semi-natural vegetated land between 2005 and 2022. The indicator reports the loss as a percentage of the natural and semi-natural land area in the base year 2000, increasing from </w:t>
      </w:r>
      <w:r w:rsidRPr="00B97B69">
        <w:rPr>
          <w:rStyle w:val="Strong"/>
          <w:rFonts w:ascii="Arial" w:hAnsi="Arial" w:cs="Arial"/>
          <w:b w:val="0"/>
          <w:bCs w:val="0"/>
          <w:color w:val="000000" w:themeColor="text1"/>
          <w:sz w:val="24"/>
          <w:szCs w:val="32"/>
        </w:rPr>
        <w:t>1.26%</w:t>
      </w:r>
      <w:r w:rsidRPr="00B97B69">
        <w:rPr>
          <w:rStyle w:val="Strong"/>
          <w:rFonts w:ascii="Arial" w:hAnsi="Arial" w:cs="Arial"/>
          <w:color w:val="000000" w:themeColor="text1"/>
          <w:sz w:val="24"/>
          <w:szCs w:val="32"/>
        </w:rPr>
        <w:t xml:space="preserve"> </w:t>
      </w:r>
      <w:r w:rsidRPr="00B97B69">
        <w:rPr>
          <w:rStyle w:val="Strong"/>
          <w:rFonts w:ascii="Arial" w:hAnsi="Arial" w:cs="Arial"/>
          <w:b w:val="0"/>
          <w:bCs w:val="0"/>
          <w:color w:val="000000" w:themeColor="text1"/>
          <w:sz w:val="24"/>
          <w:szCs w:val="32"/>
        </w:rPr>
        <w:t>in 2005</w:t>
      </w:r>
      <w:r w:rsidRPr="00B97B69">
        <w:rPr>
          <w:rFonts w:ascii="Arial" w:hAnsi="Arial" w:cs="Arial"/>
          <w:color w:val="000000" w:themeColor="text1"/>
          <w:sz w:val="24"/>
          <w:szCs w:val="32"/>
        </w:rPr>
        <w:t xml:space="preserve"> to </w:t>
      </w:r>
      <w:r w:rsidRPr="00B97B69">
        <w:rPr>
          <w:rStyle w:val="Strong"/>
          <w:rFonts w:ascii="Arial" w:hAnsi="Arial" w:cs="Arial"/>
          <w:b w:val="0"/>
          <w:bCs w:val="0"/>
          <w:color w:val="000000" w:themeColor="text1"/>
          <w:sz w:val="24"/>
          <w:szCs w:val="32"/>
        </w:rPr>
        <w:t>2.13% in 2022</w:t>
      </w:r>
      <w:r w:rsidRPr="00B97B69">
        <w:rPr>
          <w:rFonts w:ascii="Arial" w:hAnsi="Arial" w:cs="Arial"/>
          <w:color w:val="000000" w:themeColor="text1"/>
          <w:sz w:val="24"/>
          <w:szCs w:val="32"/>
        </w:rPr>
        <w:t>. This pattern suggests a continued conversion of vegetated land to other land uses over the period.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0966D166" w14:textId="77777777" w:rsidTr="0031702B">
        <w:tc>
          <w:tcPr>
            <w:tcW w:w="9350" w:type="dxa"/>
          </w:tcPr>
          <w:p w14:paraId="1B36339D"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6753AD4F" wp14:editId="102CA125">
                  <wp:extent cx="5209309" cy="2389332"/>
                  <wp:effectExtent l="0" t="0" r="0" b="0"/>
                  <wp:docPr id="42879436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18845" cy="2393706"/>
                          </a:xfrm>
                          <a:prstGeom prst="rect">
                            <a:avLst/>
                          </a:prstGeom>
                          <a:noFill/>
                        </pic:spPr>
                      </pic:pic>
                    </a:graphicData>
                  </a:graphic>
                </wp:inline>
              </w:drawing>
            </w:r>
          </w:p>
        </w:tc>
      </w:tr>
      <w:tr w:rsidR="00B7322E" w:rsidRPr="00B97B69" w14:paraId="566CE48D" w14:textId="77777777" w:rsidTr="0031702B">
        <w:tc>
          <w:tcPr>
            <w:tcW w:w="9350" w:type="dxa"/>
          </w:tcPr>
          <w:p w14:paraId="487BF4D8"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4652B773" w14:textId="77777777" w:rsidTr="0031702B">
        <w:tc>
          <w:tcPr>
            <w:tcW w:w="9350" w:type="dxa"/>
          </w:tcPr>
          <w:p w14:paraId="2A88C626"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2.9</w:t>
            </w:r>
            <w:r w:rsidRPr="00B97B69">
              <w:rPr>
                <w:rFonts w:ascii="Arial" w:hAnsi="Arial" w:cs="Arial"/>
                <w:color w:val="000000" w:themeColor="text1"/>
                <w:sz w:val="24"/>
                <w:szCs w:val="24"/>
              </w:rPr>
              <w:t xml:space="preserve"> Loss of natural and semi-natural vegetated land in Thailand </w:t>
            </w:r>
          </w:p>
          <w:p w14:paraId="5C2659DF" w14:textId="77777777" w:rsidR="00E75A83" w:rsidRPr="00B97B69" w:rsidRDefault="00E75A83" w:rsidP="00710A62">
            <w:pPr>
              <w:spacing w:line="360" w:lineRule="auto"/>
              <w:contextualSpacing/>
              <w:jc w:val="center"/>
              <w:rPr>
                <w:rFonts w:ascii="Arial" w:hAnsi="Arial" w:cs="Arial"/>
                <w:b/>
                <w:bCs/>
                <w:color w:val="000000" w:themeColor="text1"/>
                <w:sz w:val="24"/>
                <w:szCs w:val="24"/>
              </w:rPr>
            </w:pPr>
            <w:r w:rsidRPr="00B97B69">
              <w:rPr>
                <w:rFonts w:ascii="Arial" w:hAnsi="Arial" w:cs="Arial"/>
                <w:color w:val="000000" w:themeColor="text1"/>
                <w:sz w:val="24"/>
                <w:szCs w:val="24"/>
              </w:rPr>
              <w:t>(2005, 2010, 2015, 2020, 2022)</w:t>
            </w:r>
          </w:p>
        </w:tc>
      </w:tr>
    </w:tbl>
    <w:p w14:paraId="6E547EC8"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4" w:name="_Hlk213613707"/>
      <w:r w:rsidRPr="00B97B69">
        <w:rPr>
          <w:rFonts w:ascii="Arial" w:hAnsi="Arial" w:cs="Arial"/>
          <w:color w:val="000000" w:themeColor="text1"/>
          <w:sz w:val="20"/>
          <w:szCs w:val="20"/>
        </w:rPr>
        <w:t xml:space="preserve">OECD Data Explorer. 2025. Land cover and land change. </w:t>
      </w:r>
      <w:hyperlink r:id="rId34" w:history="1">
        <w:r w:rsidRPr="00B97B69">
          <w:rPr>
            <w:rStyle w:val="Hyperlink"/>
            <w:rFonts w:ascii="Arial" w:hAnsi="Arial" w:cs="Arial"/>
            <w:color w:val="000000" w:themeColor="text1"/>
            <w:sz w:val="20"/>
            <w:szCs w:val="20"/>
          </w:rPr>
          <w:t>https://data-explorer.oecd.org/</w:t>
        </w:r>
      </w:hyperlink>
      <w:r w:rsidRPr="00B97B69">
        <w:rPr>
          <w:rFonts w:ascii="Arial" w:hAnsi="Arial" w:cs="Arial"/>
          <w:color w:val="000000" w:themeColor="text1"/>
          <w:sz w:val="20"/>
          <w:szCs w:val="20"/>
        </w:rPr>
        <w:t xml:space="preserve"> (accessed 25 May 2025)</w:t>
      </w:r>
    </w:p>
    <w:bookmarkEnd w:id="4"/>
    <w:p w14:paraId="3A90ADDA" w14:textId="77777777" w:rsidR="00E75A83"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4460E2EA" w14:textId="162367C6" w:rsidR="00E75A83" w:rsidRPr="00B97B69" w:rsidRDefault="00E75A83" w:rsidP="00710A62">
      <w:pPr>
        <w:spacing w:after="0" w:line="360" w:lineRule="auto"/>
        <w:contextualSpacing/>
        <w:jc w:val="thaiDistribute"/>
        <w:rPr>
          <w:rFonts w:ascii="Arial" w:hAnsi="Arial" w:cs="Arial"/>
          <w:color w:val="000000" w:themeColor="text1"/>
          <w:sz w:val="24"/>
          <w:szCs w:val="24"/>
        </w:rPr>
      </w:pPr>
      <w:r w:rsidRPr="00B97B69">
        <w:rPr>
          <w:rFonts w:ascii="Arial" w:hAnsi="Arial" w:cs="Arial"/>
          <w:b/>
          <w:bCs/>
          <w:color w:val="000000" w:themeColor="text1"/>
          <w:sz w:val="24"/>
          <w:szCs w:val="24"/>
        </w:rPr>
        <w:t>2.2.2 Human wellbeing</w:t>
      </w:r>
      <w:r w:rsidRPr="00B97B69">
        <w:rPr>
          <w:rFonts w:ascii="Arial" w:hAnsi="Arial" w:cs="Arial"/>
          <w:color w:val="000000" w:themeColor="text1"/>
          <w:sz w:val="24"/>
          <w:szCs w:val="24"/>
        </w:rPr>
        <w:t xml:space="preserve"> </w:t>
      </w:r>
    </w:p>
    <w:p w14:paraId="53EE08AB" w14:textId="77777777" w:rsidR="00E75A83" w:rsidRPr="00B97B69" w:rsidRDefault="00E75A83" w:rsidP="00710A62">
      <w:pPr>
        <w:spacing w:after="0" w:line="360" w:lineRule="auto"/>
        <w:contextualSpacing/>
        <w:jc w:val="thaiDistribute"/>
        <w:rPr>
          <w:rFonts w:ascii="Arial" w:hAnsi="Arial" w:cs="Arial"/>
          <w:color w:val="000000" w:themeColor="text1"/>
          <w:sz w:val="24"/>
          <w:szCs w:val="24"/>
        </w:rPr>
      </w:pPr>
    </w:p>
    <w:p w14:paraId="1B447AAE" w14:textId="101498D3" w:rsidR="00E75A83" w:rsidRPr="00B97B69" w:rsidRDefault="004A0CD6" w:rsidP="00710A62">
      <w:pPr>
        <w:spacing w:after="0" w:line="360" w:lineRule="auto"/>
        <w:contextualSpacing/>
        <w:jc w:val="thaiDistribute"/>
        <w:rPr>
          <w:rFonts w:ascii="Arial" w:hAnsi="Arial" w:cs="Arial"/>
          <w:color w:val="000000" w:themeColor="text1"/>
          <w:sz w:val="24"/>
          <w:szCs w:val="24"/>
        </w:rPr>
      </w:pPr>
      <w:r w:rsidRPr="004A0CD6">
        <w:rPr>
          <w:rFonts w:ascii="Arial" w:hAnsi="Arial" w:cs="Arial"/>
          <w:color w:val="000000" w:themeColor="text1"/>
          <w:sz w:val="24"/>
          <w:szCs w:val="24"/>
        </w:rPr>
        <w:t xml:space="preserve">Poverty in coastal areas is a key indicator of vulnerability, particularly where communities depend on open-access ecosystems such as coastal fisheries, mangroves, and intertidal zones. While population size alone does not adequately reflect pressure, the number of poor residents provides a direct measure of subsistence dependence. National statistics from 2000 to 2020 reveal a significant reduction in those living below the poverty line, falling from approximately </w:t>
      </w:r>
      <w:r w:rsidR="00920D6F">
        <w:rPr>
          <w:rFonts w:ascii="Arial" w:hAnsi="Arial" w:cs="Arial"/>
          <w:color w:val="000000" w:themeColor="text1"/>
          <w:sz w:val="24"/>
          <w:szCs w:val="24"/>
        </w:rPr>
        <w:t>25.7</w:t>
      </w:r>
      <w:r w:rsidRPr="004A0CD6">
        <w:rPr>
          <w:rFonts w:ascii="Arial" w:hAnsi="Arial" w:cs="Arial"/>
          <w:color w:val="000000" w:themeColor="text1"/>
          <w:sz w:val="24"/>
          <w:szCs w:val="24"/>
        </w:rPr>
        <w:t xml:space="preserve"> million </w:t>
      </w:r>
      <w:r w:rsidRPr="00624B51">
        <w:rPr>
          <w:rFonts w:ascii="Arial" w:hAnsi="Arial" w:cs="Arial"/>
          <w:sz w:val="24"/>
          <w:szCs w:val="24"/>
        </w:rPr>
        <w:lastRenderedPageBreak/>
        <w:t>(</w:t>
      </w:r>
      <w:r w:rsidR="00624B51" w:rsidRPr="00624B51">
        <w:rPr>
          <w:rFonts w:ascii="Arial" w:hAnsi="Arial" w:cs="Arial"/>
          <w:sz w:val="24"/>
          <w:szCs w:val="24"/>
        </w:rPr>
        <w:t>41.7</w:t>
      </w:r>
      <w:r w:rsidRPr="00624B51">
        <w:rPr>
          <w:rFonts w:ascii="Arial" w:hAnsi="Arial" w:cs="Arial"/>
          <w:sz w:val="24"/>
          <w:szCs w:val="24"/>
        </w:rPr>
        <w:t xml:space="preserve">%) to </w:t>
      </w:r>
      <w:r w:rsidR="00920D6F" w:rsidRPr="00624B51">
        <w:rPr>
          <w:rFonts w:ascii="Arial" w:hAnsi="Arial" w:cs="Arial"/>
          <w:sz w:val="24"/>
          <w:szCs w:val="24"/>
        </w:rPr>
        <w:t>4.7</w:t>
      </w:r>
      <w:r w:rsidRPr="00624B51">
        <w:rPr>
          <w:rFonts w:ascii="Arial" w:hAnsi="Arial" w:cs="Arial"/>
          <w:sz w:val="24"/>
          <w:szCs w:val="24"/>
        </w:rPr>
        <w:t xml:space="preserve"> million (</w:t>
      </w:r>
      <w:r w:rsidR="00624B51" w:rsidRPr="00624B51">
        <w:rPr>
          <w:rFonts w:ascii="Arial" w:hAnsi="Arial" w:cs="Arial"/>
          <w:sz w:val="24"/>
          <w:szCs w:val="24"/>
        </w:rPr>
        <w:t>7.2</w:t>
      </w:r>
      <w:r w:rsidRPr="00624B51">
        <w:rPr>
          <w:rFonts w:ascii="Arial" w:hAnsi="Arial" w:cs="Arial"/>
          <w:sz w:val="24"/>
          <w:szCs w:val="24"/>
        </w:rPr>
        <w:t xml:space="preserve">%), representing an average annual reduction of </w:t>
      </w:r>
      <w:r w:rsidR="00570897">
        <w:rPr>
          <w:rFonts w:ascii="Arial" w:hAnsi="Arial" w:cs="Arial"/>
          <w:sz w:val="24"/>
          <w:szCs w:val="24"/>
        </w:rPr>
        <w:t>4.1</w:t>
      </w:r>
      <w:r w:rsidRPr="00624B51">
        <w:rPr>
          <w:rFonts w:ascii="Arial" w:hAnsi="Arial" w:cs="Arial"/>
          <w:sz w:val="24"/>
          <w:szCs w:val="24"/>
        </w:rPr>
        <w:t xml:space="preserve">% </w:t>
      </w:r>
      <w:r w:rsidRPr="004A0CD6">
        <w:rPr>
          <w:rFonts w:ascii="Arial" w:hAnsi="Arial" w:cs="Arial"/>
          <w:b/>
          <w:bCs/>
          <w:color w:val="000000" w:themeColor="text1"/>
          <w:sz w:val="24"/>
          <w:szCs w:val="24"/>
        </w:rPr>
        <w:t>(Figure 2.10)</w:t>
      </w:r>
      <w:r w:rsidRPr="004A0CD6">
        <w:rPr>
          <w:rFonts w:ascii="Arial" w:hAnsi="Arial" w:cs="Arial"/>
          <w:color w:val="000000" w:themeColor="text1"/>
          <w:sz w:val="24"/>
          <w:szCs w:val="24"/>
        </w:rPr>
        <w:t>. This positive trend reflects broader socioeconomic developments, including agricultural expansion and targeted government assistance via social protection schemes and improved access to public services. Together, these factors have contributed to a marked reduction in poverty and a consequent shift in natural resource dependence patterns in coastal regions.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1"/>
        <w:gridCol w:w="4511"/>
      </w:tblGrid>
      <w:tr w:rsidR="00920D6F" w:rsidRPr="00B97B69" w14:paraId="37E11951" w14:textId="77777777" w:rsidTr="00920D6F">
        <w:tc>
          <w:tcPr>
            <w:tcW w:w="4511" w:type="dxa"/>
          </w:tcPr>
          <w:p w14:paraId="2031E31E" w14:textId="421D6B2F" w:rsidR="00920D6F" w:rsidRPr="00B97B69" w:rsidRDefault="00920D6F" w:rsidP="00710A62">
            <w:pPr>
              <w:spacing w:line="360" w:lineRule="auto"/>
              <w:contextualSpacing/>
              <w:jc w:val="center"/>
              <w:rPr>
                <w:rFonts w:ascii="Arial" w:hAnsi="Arial" w:cs="Arial"/>
                <w:color w:val="000000" w:themeColor="text1"/>
                <w:sz w:val="24"/>
                <w:szCs w:val="24"/>
              </w:rPr>
            </w:pPr>
            <w:bookmarkStart w:id="5" w:name="_Hlk215682698"/>
            <w:r>
              <w:rPr>
                <w:rFonts w:ascii="Arial" w:hAnsi="Arial" w:cs="Arial"/>
                <w:noProof/>
                <w:color w:val="000000" w:themeColor="text1"/>
                <w:sz w:val="24"/>
                <w:szCs w:val="24"/>
              </w:rPr>
              <w:drawing>
                <wp:inline distT="0" distB="0" distL="0" distR="0" wp14:anchorId="27FAE6F1" wp14:editId="0738E971">
                  <wp:extent cx="2520000" cy="1688373"/>
                  <wp:effectExtent l="0" t="0" r="0" b="7620"/>
                  <wp:docPr id="1240752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20000" cy="1688373"/>
                          </a:xfrm>
                          <a:prstGeom prst="rect">
                            <a:avLst/>
                          </a:prstGeom>
                          <a:noFill/>
                        </pic:spPr>
                      </pic:pic>
                    </a:graphicData>
                  </a:graphic>
                </wp:inline>
              </w:drawing>
            </w:r>
          </w:p>
        </w:tc>
        <w:tc>
          <w:tcPr>
            <w:tcW w:w="4511" w:type="dxa"/>
          </w:tcPr>
          <w:p w14:paraId="2D232221" w14:textId="30EF2BBF" w:rsidR="00920D6F" w:rsidRPr="00B97B69" w:rsidRDefault="00920D6F" w:rsidP="00710A62">
            <w:pPr>
              <w:spacing w:line="360" w:lineRule="auto"/>
              <w:contextualSpacing/>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5120C063" wp14:editId="62656F0C">
                  <wp:extent cx="2520000" cy="1686115"/>
                  <wp:effectExtent l="0" t="0" r="0" b="0"/>
                  <wp:docPr id="949047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20000" cy="1686115"/>
                          </a:xfrm>
                          <a:prstGeom prst="rect">
                            <a:avLst/>
                          </a:prstGeom>
                          <a:noFill/>
                        </pic:spPr>
                      </pic:pic>
                    </a:graphicData>
                  </a:graphic>
                </wp:inline>
              </w:drawing>
            </w:r>
          </w:p>
        </w:tc>
      </w:tr>
      <w:tr w:rsidR="00B7322E" w:rsidRPr="00B97B69" w14:paraId="5BC5B096" w14:textId="77777777" w:rsidTr="00920D6F">
        <w:tc>
          <w:tcPr>
            <w:tcW w:w="9022" w:type="dxa"/>
            <w:gridSpan w:val="2"/>
          </w:tcPr>
          <w:p w14:paraId="5194FD49" w14:textId="77777777" w:rsidR="00E75A83" w:rsidRPr="00B97B69" w:rsidRDefault="00E75A83" w:rsidP="00710A62">
            <w:pPr>
              <w:spacing w:line="360" w:lineRule="auto"/>
              <w:contextualSpacing/>
              <w:jc w:val="center"/>
              <w:rPr>
                <w:rFonts w:ascii="Arial" w:hAnsi="Arial" w:cs="Arial"/>
                <w:color w:val="000000" w:themeColor="text1"/>
                <w:spacing w:val="-6"/>
                <w:sz w:val="24"/>
                <w:szCs w:val="24"/>
                <w:cs/>
              </w:rPr>
            </w:pPr>
            <w:r w:rsidRPr="00B97B69">
              <w:rPr>
                <w:rFonts w:ascii="Arial" w:hAnsi="Arial" w:cs="Arial"/>
                <w:b/>
                <w:bCs/>
                <w:color w:val="000000" w:themeColor="text1"/>
                <w:spacing w:val="-6"/>
                <w:sz w:val="24"/>
                <w:szCs w:val="24"/>
              </w:rPr>
              <w:t xml:space="preserve">Figure 2.10 </w:t>
            </w:r>
            <w:r w:rsidRPr="00B97B69">
              <w:rPr>
                <w:rFonts w:ascii="Arial" w:hAnsi="Arial" w:cs="Arial"/>
                <w:color w:val="000000" w:themeColor="text1"/>
                <w:spacing w:val="-6"/>
                <w:sz w:val="24"/>
                <w:szCs w:val="24"/>
              </w:rPr>
              <w:t>Poor people of Thailand and Bangkok province (2000, 2006, 2010, 2020)</w:t>
            </w:r>
          </w:p>
        </w:tc>
      </w:tr>
    </w:tbl>
    <w:bookmarkEnd w:id="5"/>
    <w:p w14:paraId="4A1446E1"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6" w:name="_Hlk213613750"/>
      <w:r w:rsidRPr="00B97B69">
        <w:rPr>
          <w:rFonts w:ascii="Arial" w:hAnsi="Arial" w:cs="Arial"/>
          <w:color w:val="000000" w:themeColor="text1"/>
          <w:sz w:val="20"/>
          <w:szCs w:val="20"/>
        </w:rPr>
        <w:t xml:space="preserve">Office of the National Economic and Social Development Council. 2025. Household Socio-Economic Survey by the National Statistical Office; compiled by the Division of Social Data and Indicators Development, NESDC. </w:t>
      </w:r>
      <w:hyperlink r:id="rId37" w:history="1">
        <w:r w:rsidRPr="00B97B69">
          <w:rPr>
            <w:rStyle w:val="Hyperlink"/>
            <w:rFonts w:ascii="Arial" w:hAnsi="Arial" w:cs="Arial"/>
            <w:color w:val="000000" w:themeColor="text1"/>
            <w:sz w:val="20"/>
            <w:szCs w:val="20"/>
          </w:rPr>
          <w:t>https://www.nesdc.go.th/main.php?filename=social</w:t>
        </w:r>
      </w:hyperlink>
      <w:r w:rsidRPr="00B97B69">
        <w:rPr>
          <w:rFonts w:ascii="Arial" w:hAnsi="Arial" w:cs="Arial"/>
          <w:color w:val="000000" w:themeColor="text1"/>
          <w:sz w:val="20"/>
          <w:szCs w:val="20"/>
          <w:cs/>
        </w:rPr>
        <w:t xml:space="preserve"> </w:t>
      </w:r>
      <w:r w:rsidRPr="00B97B69">
        <w:rPr>
          <w:rFonts w:ascii="Arial" w:hAnsi="Arial" w:cs="Arial"/>
          <w:color w:val="000000" w:themeColor="text1"/>
          <w:sz w:val="20"/>
          <w:szCs w:val="20"/>
        </w:rPr>
        <w:t>(accessed 22 April 2025)</w:t>
      </w:r>
    </w:p>
    <w:bookmarkEnd w:id="6"/>
    <w:p w14:paraId="06EFFE28" w14:textId="77777777" w:rsidR="00E75A83" w:rsidRPr="00B97B69" w:rsidRDefault="00E75A83" w:rsidP="00710A62">
      <w:pPr>
        <w:spacing w:after="0" w:line="360" w:lineRule="auto"/>
        <w:contextualSpacing/>
        <w:jc w:val="thaiDistribute"/>
        <w:rPr>
          <w:rFonts w:ascii="Arial" w:hAnsi="Arial" w:cs="Arial"/>
          <w:color w:val="000000" w:themeColor="text1"/>
          <w:sz w:val="24"/>
          <w:szCs w:val="24"/>
          <w:cs/>
        </w:rPr>
      </w:pPr>
    </w:p>
    <w:p w14:paraId="5C26A027" w14:textId="77777777" w:rsidR="00E75A83" w:rsidRPr="00B97B69" w:rsidRDefault="00E75A83" w:rsidP="00710A62">
      <w:pPr>
        <w:spacing w:after="0" w:line="360" w:lineRule="auto"/>
        <w:contextualSpacing/>
        <w:jc w:val="thaiDistribute"/>
        <w:rPr>
          <w:rFonts w:ascii="Arial" w:hAnsi="Arial" w:cs="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78A88683" w14:textId="77777777" w:rsidTr="0031702B">
        <w:tc>
          <w:tcPr>
            <w:tcW w:w="9027" w:type="dxa"/>
          </w:tcPr>
          <w:p w14:paraId="50DAE5A3" w14:textId="77777777" w:rsidR="00E75A83" w:rsidRPr="00B97B69" w:rsidRDefault="00E75A83" w:rsidP="00710A62">
            <w:pPr>
              <w:spacing w:line="360" w:lineRule="auto"/>
              <w:contextualSpacing/>
              <w:jc w:val="thaiDistribute"/>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56246B2A" wp14:editId="4E301FAB">
                  <wp:extent cx="5580000" cy="816837"/>
                  <wp:effectExtent l="0" t="0" r="1905" b="2540"/>
                  <wp:docPr id="63913618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80000" cy="816837"/>
                          </a:xfrm>
                          <a:prstGeom prst="rect">
                            <a:avLst/>
                          </a:prstGeom>
                          <a:noFill/>
                        </pic:spPr>
                      </pic:pic>
                    </a:graphicData>
                  </a:graphic>
                </wp:inline>
              </w:drawing>
            </w:r>
          </w:p>
        </w:tc>
      </w:tr>
      <w:tr w:rsidR="00B7322E" w:rsidRPr="00B97B69" w14:paraId="6E44FAD6" w14:textId="77777777" w:rsidTr="0031702B">
        <w:tc>
          <w:tcPr>
            <w:tcW w:w="9027" w:type="dxa"/>
          </w:tcPr>
          <w:p w14:paraId="743D49CC" w14:textId="77777777" w:rsidR="00E75A83" w:rsidRPr="006E2ED9" w:rsidRDefault="00E75A83" w:rsidP="00710A62">
            <w:pPr>
              <w:spacing w:line="360" w:lineRule="auto"/>
              <w:contextualSpacing/>
              <w:jc w:val="thaiDistribute"/>
              <w:rPr>
                <w:rFonts w:ascii="Arial" w:hAnsi="Arial"/>
                <w:color w:val="000000" w:themeColor="text1"/>
                <w:sz w:val="24"/>
                <w:szCs w:val="24"/>
              </w:rPr>
            </w:pPr>
          </w:p>
        </w:tc>
      </w:tr>
      <w:tr w:rsidR="00B7322E" w:rsidRPr="00B97B69" w14:paraId="30779C2E" w14:textId="77777777" w:rsidTr="0031702B">
        <w:tc>
          <w:tcPr>
            <w:tcW w:w="9027" w:type="dxa"/>
          </w:tcPr>
          <w:p w14:paraId="6757DAF3" w14:textId="77777777" w:rsidR="00E75A83" w:rsidRPr="00B97B69" w:rsidRDefault="00E75A83" w:rsidP="00710A62">
            <w:pPr>
              <w:spacing w:line="360" w:lineRule="auto"/>
              <w:contextualSpacing/>
              <w:jc w:val="thaiDistribute"/>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273BD52A" wp14:editId="3D6D7144">
                  <wp:extent cx="5580000" cy="817103"/>
                  <wp:effectExtent l="0" t="0" r="1905" b="2540"/>
                  <wp:docPr id="160359031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80000" cy="817103"/>
                          </a:xfrm>
                          <a:prstGeom prst="rect">
                            <a:avLst/>
                          </a:prstGeom>
                          <a:noFill/>
                        </pic:spPr>
                      </pic:pic>
                    </a:graphicData>
                  </a:graphic>
                </wp:inline>
              </w:drawing>
            </w:r>
          </w:p>
        </w:tc>
      </w:tr>
      <w:tr w:rsidR="00B7322E" w:rsidRPr="00B97B69" w14:paraId="1FF090E3" w14:textId="77777777" w:rsidTr="0031702B">
        <w:tc>
          <w:tcPr>
            <w:tcW w:w="9027" w:type="dxa"/>
          </w:tcPr>
          <w:p w14:paraId="77AF6CDF" w14:textId="77777777" w:rsidR="00E75A83" w:rsidRPr="00B97B69" w:rsidRDefault="00E75A83" w:rsidP="00710A62">
            <w:pPr>
              <w:spacing w:line="360" w:lineRule="auto"/>
              <w:contextualSpacing/>
              <w:jc w:val="thaiDistribute"/>
              <w:rPr>
                <w:rFonts w:ascii="Arial" w:hAnsi="Arial" w:cs="Arial"/>
                <w:noProof/>
                <w:color w:val="000000" w:themeColor="text1"/>
                <w:sz w:val="24"/>
                <w:szCs w:val="24"/>
              </w:rPr>
            </w:pPr>
          </w:p>
        </w:tc>
      </w:tr>
      <w:tr w:rsidR="00B7322E" w:rsidRPr="00B97B69" w14:paraId="0C500E84" w14:textId="77777777" w:rsidTr="0031702B">
        <w:tc>
          <w:tcPr>
            <w:tcW w:w="9027" w:type="dxa"/>
          </w:tcPr>
          <w:p w14:paraId="6AF32144" w14:textId="77777777" w:rsidR="00E75A83" w:rsidRPr="00B97B69" w:rsidRDefault="00E75A83" w:rsidP="00710A62">
            <w:pPr>
              <w:spacing w:line="360" w:lineRule="auto"/>
              <w:contextualSpacing/>
              <w:jc w:val="thaiDistribute"/>
              <w:rPr>
                <w:rFonts w:ascii="Arial" w:hAnsi="Arial" w:cs="Arial"/>
                <w:noProof/>
                <w:color w:val="000000" w:themeColor="text1"/>
                <w:sz w:val="24"/>
                <w:szCs w:val="24"/>
              </w:rPr>
            </w:pPr>
            <w:r w:rsidRPr="00B97B69">
              <w:rPr>
                <w:rFonts w:ascii="Arial" w:hAnsi="Arial" w:cs="Arial"/>
                <w:noProof/>
                <w:color w:val="000000" w:themeColor="text1"/>
                <w:sz w:val="24"/>
                <w:szCs w:val="24"/>
              </w:rPr>
              <w:drawing>
                <wp:inline distT="0" distB="0" distL="0" distR="0" wp14:anchorId="2A9F22B5" wp14:editId="191C50D6">
                  <wp:extent cx="5580000" cy="816837"/>
                  <wp:effectExtent l="0" t="0" r="1905" b="2540"/>
                  <wp:docPr id="901867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80000" cy="816837"/>
                          </a:xfrm>
                          <a:prstGeom prst="rect">
                            <a:avLst/>
                          </a:prstGeom>
                          <a:noFill/>
                        </pic:spPr>
                      </pic:pic>
                    </a:graphicData>
                  </a:graphic>
                </wp:inline>
              </w:drawing>
            </w:r>
          </w:p>
        </w:tc>
      </w:tr>
      <w:tr w:rsidR="00B7322E" w:rsidRPr="00B97B69" w14:paraId="7D858FD7" w14:textId="77777777" w:rsidTr="0031702B">
        <w:tc>
          <w:tcPr>
            <w:tcW w:w="9027" w:type="dxa"/>
          </w:tcPr>
          <w:p w14:paraId="76498523" w14:textId="77777777" w:rsidR="00E75A83" w:rsidRPr="00B97B69" w:rsidRDefault="00E75A83" w:rsidP="00710A62">
            <w:pPr>
              <w:spacing w:line="360" w:lineRule="auto"/>
              <w:contextualSpacing/>
              <w:jc w:val="thaiDistribute"/>
              <w:rPr>
                <w:rFonts w:ascii="Arial" w:hAnsi="Arial" w:cs="Arial"/>
                <w:noProof/>
                <w:color w:val="000000" w:themeColor="text1"/>
                <w:sz w:val="24"/>
                <w:szCs w:val="24"/>
              </w:rPr>
            </w:pPr>
          </w:p>
        </w:tc>
      </w:tr>
      <w:tr w:rsidR="00B7322E" w:rsidRPr="00B97B69" w14:paraId="08076151" w14:textId="77777777" w:rsidTr="0031702B">
        <w:tc>
          <w:tcPr>
            <w:tcW w:w="9027" w:type="dxa"/>
          </w:tcPr>
          <w:p w14:paraId="07EC1C53" w14:textId="77777777" w:rsidR="00E75A83" w:rsidRPr="00B97B69" w:rsidRDefault="00E75A83" w:rsidP="00710A62">
            <w:pPr>
              <w:spacing w:line="360" w:lineRule="auto"/>
              <w:contextualSpacing/>
              <w:jc w:val="center"/>
              <w:rPr>
                <w:rFonts w:ascii="Arial" w:hAnsi="Arial" w:cs="Arial"/>
                <w:color w:val="000000" w:themeColor="text1"/>
                <w:spacing w:val="-6"/>
                <w:sz w:val="24"/>
                <w:szCs w:val="24"/>
                <w:cs/>
              </w:rPr>
            </w:pPr>
            <w:r w:rsidRPr="00B97B69">
              <w:rPr>
                <w:rFonts w:ascii="Arial" w:hAnsi="Arial" w:cs="Arial"/>
                <w:b/>
                <w:bCs/>
                <w:color w:val="000000" w:themeColor="text1"/>
                <w:spacing w:val="-6"/>
                <w:sz w:val="24"/>
                <w:szCs w:val="24"/>
              </w:rPr>
              <w:lastRenderedPageBreak/>
              <w:t xml:space="preserve">Figure 2.11 </w:t>
            </w:r>
            <w:r w:rsidRPr="00B97B69">
              <w:rPr>
                <w:rFonts w:ascii="Arial" w:hAnsi="Arial" w:cs="Arial"/>
                <w:color w:val="000000" w:themeColor="text1"/>
                <w:spacing w:val="-6"/>
                <w:sz w:val="24"/>
                <w:szCs w:val="24"/>
              </w:rPr>
              <w:t>Poor people in coastal provinces along the Gulf of Thailand (2000, 2006, 2010, 2020)</w:t>
            </w:r>
          </w:p>
        </w:tc>
      </w:tr>
    </w:tbl>
    <w:p w14:paraId="1E2D06A4" w14:textId="77777777" w:rsidR="00E75A83" w:rsidRDefault="00E75A83" w:rsidP="00710A62">
      <w:pPr>
        <w:pBdr>
          <w:top w:val="nil"/>
          <w:left w:val="nil"/>
          <w:bottom w:val="nil"/>
          <w:right w:val="nil"/>
          <w:between w:val="nil"/>
        </w:pBdr>
        <w:spacing w:after="0" w:line="360" w:lineRule="auto"/>
        <w:contextualSpacing/>
        <w:jc w:val="both"/>
        <w:rPr>
          <w:rFonts w:ascii="Arial" w:hAnsi="Arial"/>
          <w:color w:val="000000" w:themeColor="text1"/>
          <w:sz w:val="20"/>
          <w:szCs w:val="20"/>
        </w:rPr>
      </w:pPr>
      <w:r w:rsidRPr="00B97B69">
        <w:rPr>
          <w:rFonts w:ascii="Arial" w:hAnsi="Arial" w:cs="Arial"/>
          <w:color w:val="000000" w:themeColor="text1"/>
          <w:sz w:val="20"/>
          <w:szCs w:val="20"/>
        </w:rPr>
        <w:t xml:space="preserve">Source: Office of the National Economic and Social Development Council. 2025. Household Socio-Economic Survey by the National Statistical Office; compiled by the Division of Social Data and Indicators Development, NESDC. </w:t>
      </w:r>
      <w:hyperlink r:id="rId41" w:history="1">
        <w:r w:rsidRPr="00B97B69">
          <w:rPr>
            <w:rStyle w:val="Hyperlink"/>
            <w:rFonts w:ascii="Arial" w:hAnsi="Arial" w:cs="Arial"/>
            <w:color w:val="000000" w:themeColor="text1"/>
            <w:sz w:val="20"/>
            <w:szCs w:val="20"/>
          </w:rPr>
          <w:t>https://www.nesdc.go.th/main.php?filename=social</w:t>
        </w:r>
      </w:hyperlink>
      <w:r w:rsidRPr="00B97B69">
        <w:rPr>
          <w:rFonts w:ascii="Arial" w:hAnsi="Arial" w:cs="Arial"/>
          <w:color w:val="000000" w:themeColor="text1"/>
          <w:sz w:val="20"/>
          <w:szCs w:val="20"/>
          <w:cs/>
        </w:rPr>
        <w:t xml:space="preserve"> </w:t>
      </w:r>
      <w:r w:rsidRPr="00B97B69">
        <w:rPr>
          <w:rFonts w:ascii="Arial" w:hAnsi="Arial" w:cs="Arial"/>
          <w:color w:val="000000" w:themeColor="text1"/>
          <w:sz w:val="20"/>
          <w:szCs w:val="20"/>
        </w:rPr>
        <w:t>(accessed 22 April 2025)</w:t>
      </w:r>
    </w:p>
    <w:p w14:paraId="44125E9E" w14:textId="77777777" w:rsidR="004A0CD6" w:rsidRPr="004A0CD6" w:rsidRDefault="004A0CD6" w:rsidP="00710A62">
      <w:pPr>
        <w:pBdr>
          <w:top w:val="nil"/>
          <w:left w:val="nil"/>
          <w:bottom w:val="nil"/>
          <w:right w:val="nil"/>
          <w:between w:val="nil"/>
        </w:pBdr>
        <w:spacing w:after="0" w:line="360" w:lineRule="auto"/>
        <w:contextualSpacing/>
        <w:jc w:val="both"/>
        <w:rPr>
          <w:rFonts w:ascii="Arial" w:hAnsi="Arial"/>
          <w:color w:val="000000" w:themeColor="text1"/>
          <w:sz w:val="20"/>
          <w:szCs w:val="20"/>
        </w:rPr>
      </w:pPr>
    </w:p>
    <w:p w14:paraId="354E7E46" w14:textId="0704EF7E" w:rsidR="00670F70" w:rsidRDefault="000716EB" w:rsidP="00670F70">
      <w:pPr>
        <w:spacing w:after="0" w:line="360" w:lineRule="auto"/>
        <w:contextualSpacing/>
        <w:jc w:val="thaiDistribute"/>
        <w:rPr>
          <w:rFonts w:ascii="Arial" w:hAnsi="Arial"/>
          <w:color w:val="000000" w:themeColor="text1"/>
          <w:sz w:val="24"/>
          <w:szCs w:val="24"/>
        </w:rPr>
      </w:pPr>
      <w:r w:rsidRPr="00BD751B">
        <w:rPr>
          <w:rFonts w:ascii="Arial" w:hAnsi="Arial" w:cs="Arial"/>
          <w:color w:val="000000" w:themeColor="text1"/>
          <w:sz w:val="24"/>
          <w:szCs w:val="24"/>
        </w:rPr>
        <w:t>Data from the 17 coastal provinces shows significant but unequal progress in reducing poverty</w:t>
      </w:r>
      <w:r w:rsidRPr="00BD751B">
        <w:rPr>
          <w:rFonts w:ascii="Arial" w:hAnsi="Arial" w:cs="Arial"/>
          <w:b/>
          <w:bCs/>
          <w:color w:val="000000" w:themeColor="text1"/>
          <w:sz w:val="24"/>
          <w:szCs w:val="24"/>
        </w:rPr>
        <w:t xml:space="preserve"> </w:t>
      </w:r>
      <w:r w:rsidR="00670F70" w:rsidRPr="00670F70">
        <w:rPr>
          <w:rFonts w:ascii="Arial" w:hAnsi="Arial" w:cs="Arial"/>
          <w:b/>
          <w:bCs/>
          <w:color w:val="000000" w:themeColor="text1"/>
          <w:sz w:val="24"/>
          <w:szCs w:val="24"/>
        </w:rPr>
        <w:t>(Figure 2.11)</w:t>
      </w:r>
      <w:r w:rsidR="00670F70" w:rsidRPr="00670F70">
        <w:rPr>
          <w:rFonts w:ascii="Arial" w:hAnsi="Arial" w:cs="Arial"/>
          <w:color w:val="000000" w:themeColor="text1"/>
          <w:sz w:val="24"/>
          <w:szCs w:val="24"/>
        </w:rPr>
        <w:t>. Industrial hubs like Rayong, Chonburi, and Samut Prakan achieved dramatic declines driven by the Eastern Economic Corridor (EEC), with Rayong’s poor population dropping over 96% to just 4,900. Bangkok also saw significant improvement, falling to 44,100. Conversely, southern provinces face persistent poverty where Pattani saw only slight improvement to 285,400 and Narathiwat recorded over 182,000, reflecting complex local issues. These regional differences are critical as high poverty often correlates with reliance on fragile ecosystems.</w:t>
      </w:r>
    </w:p>
    <w:p w14:paraId="013AAB09" w14:textId="77777777" w:rsidR="00670F70" w:rsidRPr="00670F70" w:rsidRDefault="00670F70" w:rsidP="00670F70">
      <w:pPr>
        <w:spacing w:after="0" w:line="360" w:lineRule="auto"/>
        <w:contextualSpacing/>
        <w:jc w:val="thaiDistribute"/>
        <w:rPr>
          <w:rFonts w:ascii="Arial" w:hAnsi="Arial"/>
          <w:color w:val="000000" w:themeColor="text1"/>
          <w:sz w:val="24"/>
          <w:szCs w:val="24"/>
        </w:rPr>
      </w:pPr>
    </w:p>
    <w:p w14:paraId="1F4F1E18" w14:textId="77777777" w:rsidR="00670F70" w:rsidRPr="00670F70" w:rsidRDefault="00670F70" w:rsidP="00670F70">
      <w:pPr>
        <w:spacing w:after="0" w:line="360" w:lineRule="auto"/>
        <w:contextualSpacing/>
        <w:jc w:val="thaiDistribute"/>
        <w:rPr>
          <w:rFonts w:ascii="Arial" w:hAnsi="Arial" w:cs="Arial"/>
          <w:color w:val="000000" w:themeColor="text1"/>
          <w:sz w:val="24"/>
          <w:szCs w:val="24"/>
        </w:rPr>
      </w:pPr>
      <w:r w:rsidRPr="00670F70">
        <w:rPr>
          <w:rFonts w:ascii="Arial" w:hAnsi="Arial" w:cs="Arial"/>
          <w:color w:val="000000" w:themeColor="text1"/>
          <w:sz w:val="24"/>
          <w:szCs w:val="24"/>
        </w:rPr>
        <w:t>Regarding SDG 1, Thailand is broadly on track to end extreme poverty by 2030 provided social protection continues. However, progress varies significantly. While industrial coastal provinces may meet targets early, persistent poverty in Pattani and Narathiwat requires area-specific, conflict-sensitive, and livelihood-diversification measures. Without such interventions, Thailand risks meeting SDG 1 nationally while retaining significant coastal pockets of poverty.</w:t>
      </w:r>
    </w:p>
    <w:p w14:paraId="4CBCD92B" w14:textId="77777777" w:rsidR="00E75A83" w:rsidRPr="00670F70" w:rsidRDefault="00E75A83" w:rsidP="00710A62">
      <w:pPr>
        <w:spacing w:after="0" w:line="360" w:lineRule="auto"/>
        <w:contextualSpacing/>
        <w:jc w:val="thaiDistribute"/>
        <w:rPr>
          <w:rFonts w:ascii="Arial" w:hAnsi="Arial"/>
          <w:color w:val="000000" w:themeColor="text1"/>
          <w:sz w:val="24"/>
          <w:szCs w:val="24"/>
        </w:rPr>
      </w:pPr>
    </w:p>
    <w:p w14:paraId="03E425DC" w14:textId="77777777" w:rsidR="00E75A83" w:rsidRPr="00B97B69" w:rsidRDefault="00E75A83" w:rsidP="00710A62">
      <w:pPr>
        <w:spacing w:after="0" w:line="360" w:lineRule="auto"/>
        <w:contextualSpacing/>
        <w:jc w:val="thaiDistribute"/>
        <w:rPr>
          <w:rFonts w:ascii="Arial" w:hAnsi="Arial" w:cs="Arial"/>
          <w:b/>
          <w:bCs/>
          <w:color w:val="000000" w:themeColor="text1"/>
          <w:sz w:val="24"/>
          <w:szCs w:val="24"/>
        </w:rPr>
      </w:pPr>
      <w:r w:rsidRPr="00B97B69">
        <w:rPr>
          <w:rFonts w:ascii="Arial" w:hAnsi="Arial" w:cs="Arial"/>
          <w:b/>
          <w:bCs/>
          <w:color w:val="000000" w:themeColor="text1"/>
          <w:sz w:val="24"/>
          <w:szCs w:val="24"/>
        </w:rPr>
        <w:t>Contemporary Human Development Index (HDI)</w:t>
      </w:r>
    </w:p>
    <w:p w14:paraId="59C0EFA6" w14:textId="3B3BEE45" w:rsidR="00E75A83" w:rsidRPr="00B97B69" w:rsidRDefault="00C57DF0" w:rsidP="00710A62">
      <w:pPr>
        <w:spacing w:after="0" w:line="360" w:lineRule="auto"/>
        <w:contextualSpacing/>
        <w:jc w:val="thaiDistribute"/>
        <w:rPr>
          <w:rFonts w:ascii="Arial" w:hAnsi="Arial" w:cs="Arial"/>
          <w:color w:val="000000" w:themeColor="text1"/>
          <w:sz w:val="24"/>
          <w:szCs w:val="24"/>
        </w:rPr>
      </w:pPr>
      <w:r w:rsidRPr="00C57DF0">
        <w:rPr>
          <w:rFonts w:ascii="Arial" w:hAnsi="Arial" w:cs="Arial"/>
          <w:color w:val="000000" w:themeColor="text1"/>
          <w:sz w:val="24"/>
          <w:szCs w:val="24"/>
        </w:rPr>
        <w:t xml:space="preserve">Thailand’s HDI has shown steady progress over the past three decades, rising from 0.584 in 1990 to 0.742 by 2010 due to improvements in life expectancy, education attainment, and gross national income per capita </w:t>
      </w:r>
      <w:r w:rsidRPr="00C57DF0">
        <w:rPr>
          <w:rFonts w:ascii="Arial" w:hAnsi="Arial" w:cs="Arial"/>
          <w:b/>
          <w:bCs/>
          <w:color w:val="000000" w:themeColor="text1"/>
          <w:sz w:val="24"/>
          <w:szCs w:val="24"/>
        </w:rPr>
        <w:t>(Figure 2.12)</w:t>
      </w:r>
      <w:r w:rsidRPr="00C57DF0">
        <w:rPr>
          <w:rFonts w:ascii="Arial" w:hAnsi="Arial" w:cs="Arial"/>
          <w:color w:val="000000" w:themeColor="text1"/>
          <w:sz w:val="24"/>
          <w:szCs w:val="24"/>
        </w:rPr>
        <w:t>. The index reached 0.800 in 2021 before experiencing a slight dip to 0.792 in 2022 and subsequently recovering to 0.798 in 2023.</w:t>
      </w:r>
    </w:p>
    <w:tbl>
      <w:tblPr>
        <w:tblStyle w:val="TableGrid"/>
        <w:tblW w:w="0" w:type="auto"/>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9019"/>
        <w:gridCol w:w="9"/>
      </w:tblGrid>
      <w:tr w:rsidR="00B7322E" w:rsidRPr="00B97B69" w14:paraId="4D9EDB9A" w14:textId="77777777" w:rsidTr="0031702B">
        <w:trPr>
          <w:gridBefore w:val="1"/>
          <w:wBefore w:w="10" w:type="dxa"/>
        </w:trPr>
        <w:tc>
          <w:tcPr>
            <w:tcW w:w="9350" w:type="dxa"/>
            <w:gridSpan w:val="2"/>
          </w:tcPr>
          <w:p w14:paraId="59B69C81"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noProof/>
                <w:color w:val="000000" w:themeColor="text1"/>
                <w:sz w:val="24"/>
                <w:szCs w:val="24"/>
              </w:rPr>
              <w:lastRenderedPageBreak/>
              <w:drawing>
                <wp:inline distT="0" distB="0" distL="0" distR="0" wp14:anchorId="37D049B8" wp14:editId="4CA8F787">
                  <wp:extent cx="5040000" cy="2780857"/>
                  <wp:effectExtent l="0" t="0" r="8255" b="635"/>
                  <wp:docPr id="66916221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40000" cy="2780857"/>
                          </a:xfrm>
                          <a:prstGeom prst="rect">
                            <a:avLst/>
                          </a:prstGeom>
                          <a:noFill/>
                        </pic:spPr>
                      </pic:pic>
                    </a:graphicData>
                  </a:graphic>
                </wp:inline>
              </w:drawing>
            </w:r>
          </w:p>
        </w:tc>
      </w:tr>
      <w:tr w:rsidR="00B7322E" w:rsidRPr="00B97B69" w14:paraId="6A9E1EE3" w14:textId="77777777" w:rsidTr="0031702B">
        <w:trPr>
          <w:gridBefore w:val="1"/>
          <w:wBefore w:w="10" w:type="dxa"/>
        </w:trPr>
        <w:tc>
          <w:tcPr>
            <w:tcW w:w="9350" w:type="dxa"/>
            <w:gridSpan w:val="2"/>
          </w:tcPr>
          <w:p w14:paraId="625B7B82" w14:textId="77777777" w:rsidR="00E75A83" w:rsidRPr="00B97B69" w:rsidRDefault="00E75A83" w:rsidP="00710A62">
            <w:pPr>
              <w:spacing w:line="360" w:lineRule="auto"/>
              <w:contextualSpacing/>
              <w:jc w:val="thaiDistribute"/>
              <w:rPr>
                <w:rFonts w:ascii="Arial" w:hAnsi="Arial" w:cs="Arial"/>
                <w:color w:val="000000" w:themeColor="text1"/>
                <w:sz w:val="24"/>
                <w:szCs w:val="24"/>
              </w:rPr>
            </w:pPr>
          </w:p>
        </w:tc>
      </w:tr>
      <w:tr w:rsidR="00B7322E" w:rsidRPr="00B97B69" w14:paraId="490D6014" w14:textId="77777777" w:rsidTr="0031702B">
        <w:trPr>
          <w:gridAfter w:val="1"/>
          <w:wAfter w:w="10" w:type="dxa"/>
        </w:trPr>
        <w:tc>
          <w:tcPr>
            <w:tcW w:w="9350" w:type="dxa"/>
            <w:gridSpan w:val="2"/>
          </w:tcPr>
          <w:p w14:paraId="4F13E38C" w14:textId="77777777" w:rsidR="00E75A83" w:rsidRPr="00B97B69" w:rsidRDefault="00E75A83" w:rsidP="00710A62">
            <w:pPr>
              <w:spacing w:line="360" w:lineRule="auto"/>
              <w:contextualSpacing/>
              <w:jc w:val="center"/>
              <w:rPr>
                <w:rFonts w:ascii="Arial" w:hAnsi="Arial" w:cs="Arial"/>
                <w:color w:val="000000" w:themeColor="text1"/>
                <w:sz w:val="24"/>
                <w:szCs w:val="24"/>
                <w:cs/>
              </w:rPr>
            </w:pPr>
            <w:r w:rsidRPr="00B97B69">
              <w:rPr>
                <w:rFonts w:ascii="Arial" w:hAnsi="Arial" w:cs="Arial"/>
                <w:b/>
                <w:bCs/>
                <w:color w:val="000000" w:themeColor="text1"/>
                <w:sz w:val="24"/>
                <w:szCs w:val="24"/>
              </w:rPr>
              <w:t xml:space="preserve">Figure 2.12 </w:t>
            </w:r>
            <w:r w:rsidRPr="00B97B69">
              <w:rPr>
                <w:rFonts w:ascii="Arial" w:hAnsi="Arial" w:cs="Arial"/>
                <w:color w:val="000000" w:themeColor="text1"/>
                <w:sz w:val="24"/>
                <w:szCs w:val="24"/>
              </w:rPr>
              <w:t>HDI of Thailand (1990-2023)</w:t>
            </w:r>
          </w:p>
        </w:tc>
      </w:tr>
    </w:tbl>
    <w:p w14:paraId="212BC086"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7" w:name="_Hlk213613818"/>
      <w:r w:rsidRPr="00B97B69">
        <w:rPr>
          <w:rFonts w:ascii="Arial" w:hAnsi="Arial" w:cs="Arial"/>
          <w:color w:val="000000" w:themeColor="text1"/>
          <w:sz w:val="20"/>
          <w:szCs w:val="20"/>
        </w:rPr>
        <w:t xml:space="preserve">UNDP. 2025. Human Development Reports. </w:t>
      </w:r>
      <w:hyperlink r:id="rId43" w:history="1">
        <w:r w:rsidRPr="00B97B69">
          <w:rPr>
            <w:rStyle w:val="Hyperlink"/>
            <w:rFonts w:ascii="Arial" w:hAnsi="Arial" w:cs="Arial"/>
            <w:color w:val="000000" w:themeColor="text1"/>
            <w:sz w:val="20"/>
            <w:szCs w:val="20"/>
          </w:rPr>
          <w:t>https://hdr.undp.org/data-center/documentation-and-downloads</w:t>
        </w:r>
      </w:hyperlink>
      <w:r w:rsidRPr="00B97B69">
        <w:rPr>
          <w:rFonts w:ascii="Arial" w:hAnsi="Arial" w:cs="Arial"/>
          <w:color w:val="000000" w:themeColor="text1"/>
          <w:sz w:val="20"/>
          <w:szCs w:val="20"/>
        </w:rPr>
        <w:t xml:space="preserve"> (accessed 22 April 2025)</w:t>
      </w:r>
    </w:p>
    <w:bookmarkEnd w:id="7"/>
    <w:p w14:paraId="24043252" w14:textId="77777777" w:rsidR="007459E4" w:rsidRDefault="007459E4" w:rsidP="00710A62">
      <w:pPr>
        <w:spacing w:after="0" w:line="360" w:lineRule="auto"/>
        <w:contextualSpacing/>
        <w:jc w:val="thaiDistribute"/>
        <w:rPr>
          <w:rFonts w:ascii="Arial" w:hAnsi="Arial"/>
          <w:b/>
          <w:bCs/>
          <w:color w:val="000000" w:themeColor="text1"/>
          <w:sz w:val="24"/>
          <w:szCs w:val="24"/>
        </w:rPr>
      </w:pPr>
    </w:p>
    <w:p w14:paraId="0203A9D1" w14:textId="7BBB5BBB" w:rsidR="00E75A83" w:rsidRPr="00B97B69" w:rsidRDefault="00E75A83" w:rsidP="00710A62">
      <w:pPr>
        <w:spacing w:after="0" w:line="360" w:lineRule="auto"/>
        <w:contextualSpacing/>
        <w:jc w:val="thaiDistribute"/>
        <w:rPr>
          <w:rFonts w:ascii="Arial" w:hAnsi="Arial" w:cs="Arial"/>
          <w:b/>
          <w:bCs/>
          <w:color w:val="000000" w:themeColor="text1"/>
          <w:sz w:val="24"/>
          <w:szCs w:val="24"/>
        </w:rPr>
      </w:pPr>
      <w:r w:rsidRPr="00B97B69">
        <w:rPr>
          <w:rFonts w:ascii="Arial" w:hAnsi="Arial" w:cs="Arial"/>
          <w:b/>
          <w:bCs/>
          <w:color w:val="000000" w:themeColor="text1"/>
          <w:sz w:val="24"/>
          <w:szCs w:val="24"/>
        </w:rPr>
        <w:t>Inequality-</w:t>
      </w:r>
      <w:r w:rsidR="00C37A95" w:rsidRPr="00B97B69">
        <w:rPr>
          <w:rFonts w:ascii="Arial" w:hAnsi="Arial" w:cs="Browallia New"/>
          <w:b/>
          <w:bCs/>
          <w:color w:val="000000" w:themeColor="text1"/>
          <w:sz w:val="24"/>
          <w:szCs w:val="30"/>
        </w:rPr>
        <w:t>a</w:t>
      </w:r>
      <w:r w:rsidRPr="00B97B69">
        <w:rPr>
          <w:rFonts w:ascii="Arial" w:hAnsi="Arial" w:cs="Arial"/>
          <w:b/>
          <w:bCs/>
          <w:color w:val="000000" w:themeColor="text1"/>
          <w:sz w:val="24"/>
          <w:szCs w:val="24"/>
        </w:rPr>
        <w:t xml:space="preserve">djusted </w:t>
      </w:r>
      <w:r w:rsidR="00C37A95" w:rsidRPr="00B97B69">
        <w:rPr>
          <w:rFonts w:ascii="Arial" w:hAnsi="Arial" w:cs="Arial"/>
          <w:b/>
          <w:bCs/>
          <w:color w:val="000000" w:themeColor="text1"/>
          <w:sz w:val="24"/>
          <w:szCs w:val="24"/>
        </w:rPr>
        <w:t>h</w:t>
      </w:r>
      <w:r w:rsidRPr="00B97B69">
        <w:rPr>
          <w:rFonts w:ascii="Arial" w:hAnsi="Arial" w:cs="Arial"/>
          <w:b/>
          <w:bCs/>
          <w:color w:val="000000" w:themeColor="text1"/>
          <w:sz w:val="24"/>
          <w:szCs w:val="24"/>
        </w:rPr>
        <w:t xml:space="preserve">uman </w:t>
      </w:r>
      <w:r w:rsidR="00C37A95" w:rsidRPr="00B97B69">
        <w:rPr>
          <w:rFonts w:ascii="Arial" w:hAnsi="Arial" w:cs="Arial"/>
          <w:b/>
          <w:bCs/>
          <w:color w:val="000000" w:themeColor="text1"/>
          <w:sz w:val="24"/>
          <w:szCs w:val="24"/>
        </w:rPr>
        <w:t>d</w:t>
      </w:r>
      <w:r w:rsidRPr="00B97B69">
        <w:rPr>
          <w:rFonts w:ascii="Arial" w:hAnsi="Arial" w:cs="Arial"/>
          <w:b/>
          <w:bCs/>
          <w:color w:val="000000" w:themeColor="text1"/>
          <w:sz w:val="24"/>
          <w:szCs w:val="24"/>
        </w:rPr>
        <w:t xml:space="preserve">evelopment </w:t>
      </w:r>
      <w:r w:rsidR="00C37A95" w:rsidRPr="00B97B69">
        <w:rPr>
          <w:rFonts w:ascii="Arial" w:hAnsi="Arial" w:cs="Arial"/>
          <w:b/>
          <w:bCs/>
          <w:color w:val="000000" w:themeColor="text1"/>
          <w:sz w:val="24"/>
          <w:szCs w:val="24"/>
        </w:rPr>
        <w:t>i</w:t>
      </w:r>
      <w:r w:rsidRPr="00B97B69">
        <w:rPr>
          <w:rFonts w:ascii="Arial" w:hAnsi="Arial" w:cs="Arial"/>
          <w:b/>
          <w:bCs/>
          <w:color w:val="000000" w:themeColor="text1"/>
          <w:sz w:val="24"/>
          <w:szCs w:val="24"/>
        </w:rPr>
        <w:t>ndex (IHDI)</w:t>
      </w:r>
    </w:p>
    <w:p w14:paraId="44D166D7" w14:textId="62B4B927" w:rsidR="00E75A83" w:rsidRDefault="003D30B2" w:rsidP="004C3150">
      <w:pPr>
        <w:spacing w:after="0" w:line="360" w:lineRule="auto"/>
        <w:contextualSpacing/>
        <w:jc w:val="both"/>
        <w:rPr>
          <w:rFonts w:ascii="Arial" w:hAnsi="Arial" w:cs="Arial"/>
          <w:color w:val="000000" w:themeColor="text1"/>
          <w:sz w:val="24"/>
          <w:szCs w:val="24"/>
        </w:rPr>
      </w:pPr>
      <w:r w:rsidRPr="003D30B2">
        <w:rPr>
          <w:rFonts w:ascii="Arial" w:hAnsi="Arial" w:cs="Arial"/>
          <w:color w:val="000000" w:themeColor="text1"/>
          <w:sz w:val="24"/>
          <w:szCs w:val="24"/>
        </w:rPr>
        <w:t xml:space="preserve">From 2012 to 2023, Thailand’s IHDI increased from 0.622 to 0.677, signaling reduced overall inequality across key development sectors likely stemming from better healthcare, education, and targeted social policies </w:t>
      </w:r>
      <w:r w:rsidRPr="003D30B2">
        <w:rPr>
          <w:rFonts w:ascii="Arial" w:hAnsi="Arial" w:cs="Arial"/>
          <w:b/>
          <w:bCs/>
          <w:color w:val="000000" w:themeColor="text1"/>
          <w:sz w:val="24"/>
          <w:szCs w:val="24"/>
        </w:rPr>
        <w:t>(Figure 2.13)</w:t>
      </w:r>
      <w:r w:rsidRPr="003D30B2">
        <w:rPr>
          <w:rFonts w:ascii="Arial" w:hAnsi="Arial" w:cs="Arial"/>
          <w:color w:val="000000" w:themeColor="text1"/>
          <w:sz w:val="24"/>
          <w:szCs w:val="24"/>
        </w:rPr>
        <w:t>. While the index temporarily dropped to 0.670 between 2020 and 2022 due to COVID-19 disruptions, it rebounded to 0.677 in 2023, indicating the country is recovering from these recent vulnerabilities.</w:t>
      </w:r>
    </w:p>
    <w:p w14:paraId="5CE37C55" w14:textId="77777777" w:rsidR="003D30B2" w:rsidRPr="00B97B69" w:rsidRDefault="003D30B2" w:rsidP="004C3150">
      <w:pPr>
        <w:spacing w:after="0" w:line="360" w:lineRule="auto"/>
        <w:contextualSpacing/>
        <w:jc w:val="both"/>
        <w:rPr>
          <w:rFonts w:ascii="Arial" w:hAnsi="Arial" w:cs="Arial"/>
          <w:b/>
          <w:bCs/>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65F876A5" w14:textId="77777777" w:rsidTr="0031702B">
        <w:tc>
          <w:tcPr>
            <w:tcW w:w="9350" w:type="dxa"/>
          </w:tcPr>
          <w:p w14:paraId="30632112"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noProof/>
                <w:color w:val="000000" w:themeColor="text1"/>
                <w:sz w:val="24"/>
                <w:szCs w:val="24"/>
              </w:rPr>
              <w:lastRenderedPageBreak/>
              <w:drawing>
                <wp:inline distT="0" distB="0" distL="0" distR="0" wp14:anchorId="2A5A9AB8" wp14:editId="70EE5E61">
                  <wp:extent cx="5040000" cy="2809526"/>
                  <wp:effectExtent l="0" t="0" r="8255" b="0"/>
                  <wp:docPr id="197067668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40000" cy="2809526"/>
                          </a:xfrm>
                          <a:prstGeom prst="rect">
                            <a:avLst/>
                          </a:prstGeom>
                          <a:noFill/>
                        </pic:spPr>
                      </pic:pic>
                    </a:graphicData>
                  </a:graphic>
                </wp:inline>
              </w:drawing>
            </w:r>
          </w:p>
        </w:tc>
      </w:tr>
      <w:tr w:rsidR="00B7322E" w:rsidRPr="00B97B69" w14:paraId="17009E5F" w14:textId="77777777" w:rsidTr="0031702B">
        <w:tc>
          <w:tcPr>
            <w:tcW w:w="9350" w:type="dxa"/>
          </w:tcPr>
          <w:p w14:paraId="07EC803F"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5B102BA4" w14:textId="77777777" w:rsidTr="0031702B">
        <w:tc>
          <w:tcPr>
            <w:tcW w:w="9350" w:type="dxa"/>
          </w:tcPr>
          <w:p w14:paraId="0DC85FCE" w14:textId="4DC03C81"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2.1</w:t>
            </w:r>
            <w:r w:rsidR="00A9351A">
              <w:rPr>
                <w:rFonts w:ascii="Arial" w:hAnsi="Arial" w:cs="Arial"/>
                <w:b/>
                <w:bCs/>
                <w:color w:val="000000" w:themeColor="text1"/>
                <w:sz w:val="24"/>
                <w:szCs w:val="24"/>
              </w:rPr>
              <w:t>3</w:t>
            </w:r>
            <w:r w:rsidRPr="00B97B69">
              <w:rPr>
                <w:rFonts w:ascii="Arial" w:hAnsi="Arial" w:cs="Arial"/>
                <w:b/>
                <w:bCs/>
                <w:color w:val="000000" w:themeColor="text1"/>
                <w:sz w:val="24"/>
                <w:szCs w:val="24"/>
              </w:rPr>
              <w:t xml:space="preserve"> </w:t>
            </w:r>
            <w:r w:rsidRPr="00B97B69">
              <w:rPr>
                <w:rFonts w:ascii="Arial" w:hAnsi="Arial" w:cs="Arial"/>
                <w:color w:val="000000" w:themeColor="text1"/>
                <w:sz w:val="24"/>
                <w:szCs w:val="24"/>
              </w:rPr>
              <w:t>IHDI of Thailand (2012-2023)</w:t>
            </w:r>
          </w:p>
        </w:tc>
      </w:tr>
    </w:tbl>
    <w:p w14:paraId="16670933" w14:textId="77777777" w:rsidR="00E75A83" w:rsidRPr="00B97B69" w:rsidRDefault="00E75A83" w:rsidP="00710A62">
      <w:pPr>
        <w:pBdr>
          <w:top w:val="nil"/>
          <w:left w:val="nil"/>
          <w:bottom w:val="nil"/>
          <w:right w:val="nil"/>
          <w:between w:val="nil"/>
        </w:pBdr>
        <w:spacing w:after="0" w:line="360" w:lineRule="auto"/>
        <w:contextualSpacing/>
        <w:jc w:val="both"/>
        <w:rPr>
          <w:rFonts w:ascii="Arial" w:hAnsi="Arial" w:cs="Arial"/>
          <w:color w:val="000000" w:themeColor="text1"/>
          <w:sz w:val="20"/>
          <w:szCs w:val="20"/>
        </w:rPr>
      </w:pPr>
      <w:r w:rsidRPr="00B97B69">
        <w:rPr>
          <w:rFonts w:ascii="Arial" w:hAnsi="Arial" w:cs="Arial"/>
          <w:color w:val="000000" w:themeColor="text1"/>
          <w:sz w:val="20"/>
          <w:szCs w:val="20"/>
        </w:rPr>
        <w:t xml:space="preserve">Source: UNDP. 2025. Human Development Reports. </w:t>
      </w:r>
      <w:hyperlink r:id="rId45" w:history="1">
        <w:r w:rsidRPr="00B97B69">
          <w:rPr>
            <w:rStyle w:val="Hyperlink"/>
            <w:rFonts w:ascii="Arial" w:hAnsi="Arial" w:cs="Arial"/>
            <w:color w:val="000000" w:themeColor="text1"/>
            <w:sz w:val="20"/>
            <w:szCs w:val="20"/>
          </w:rPr>
          <w:t>https://hdr.undp.org/data-center/documentation-and-downloads</w:t>
        </w:r>
      </w:hyperlink>
      <w:r w:rsidRPr="00B97B69">
        <w:rPr>
          <w:rFonts w:ascii="Arial" w:hAnsi="Arial" w:cs="Arial"/>
          <w:color w:val="000000" w:themeColor="text1"/>
          <w:sz w:val="20"/>
          <w:szCs w:val="20"/>
        </w:rPr>
        <w:t xml:space="preserve"> (accessed 22 April 2025)</w:t>
      </w:r>
    </w:p>
    <w:p w14:paraId="09D89C1C" w14:textId="77777777" w:rsidR="00E75A83" w:rsidRPr="00B97B69" w:rsidRDefault="00E75A83" w:rsidP="00710A62">
      <w:pPr>
        <w:spacing w:after="0" w:line="360" w:lineRule="auto"/>
        <w:contextualSpacing/>
        <w:jc w:val="thaiDistribute"/>
        <w:rPr>
          <w:rFonts w:ascii="Arial" w:hAnsi="Arial" w:cs="Arial"/>
          <w:b/>
          <w:bCs/>
          <w:color w:val="000000" w:themeColor="text1"/>
          <w:sz w:val="24"/>
          <w:szCs w:val="24"/>
        </w:rPr>
      </w:pPr>
    </w:p>
    <w:p w14:paraId="55E98296" w14:textId="14D829E3"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B97B69">
        <w:rPr>
          <w:rFonts w:ascii="Arial" w:hAnsi="Arial" w:cs="Arial"/>
          <w:b/>
          <w:bCs/>
          <w:color w:val="000000" w:themeColor="text1"/>
          <w:sz w:val="24"/>
          <w:szCs w:val="24"/>
        </w:rPr>
        <w:t xml:space="preserve">2.2.3 </w:t>
      </w:r>
      <w:r w:rsidR="00180E02">
        <w:rPr>
          <w:rFonts w:ascii="Arial" w:hAnsi="Arial" w:cs="Arial"/>
          <w:b/>
          <w:bCs/>
          <w:color w:val="000000" w:themeColor="text1"/>
          <w:sz w:val="24"/>
          <w:szCs w:val="24"/>
        </w:rPr>
        <w:t>Economic activities</w:t>
      </w:r>
      <w:r w:rsidRPr="00B97B69">
        <w:rPr>
          <w:rFonts w:ascii="Arial" w:hAnsi="Arial" w:cs="Arial"/>
          <w:color w:val="000000" w:themeColor="text1"/>
          <w:sz w:val="24"/>
          <w:szCs w:val="24"/>
        </w:rPr>
        <w:t xml:space="preserve"> </w:t>
      </w:r>
    </w:p>
    <w:p w14:paraId="7A4398F8"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p>
    <w:p w14:paraId="1133AA66" w14:textId="14BDDAC1" w:rsidR="00DB2AD7" w:rsidRDefault="00591845" w:rsidP="00710A62">
      <w:pPr>
        <w:pBdr>
          <w:top w:val="nil"/>
          <w:left w:val="nil"/>
          <w:bottom w:val="nil"/>
          <w:right w:val="nil"/>
          <w:between w:val="nil"/>
        </w:pBdr>
        <w:spacing w:after="0" w:line="360" w:lineRule="auto"/>
        <w:contextualSpacing/>
        <w:jc w:val="thaiDistribute"/>
        <w:rPr>
          <w:rFonts w:ascii="Arial" w:hAnsi="Arial" w:cs="Arial"/>
          <w:color w:val="000000" w:themeColor="text1"/>
          <w:sz w:val="24"/>
          <w:szCs w:val="24"/>
        </w:rPr>
      </w:pPr>
      <w:r w:rsidRPr="00591845">
        <w:rPr>
          <w:rFonts w:ascii="Arial" w:hAnsi="Arial" w:cs="Arial"/>
          <w:color w:val="000000" w:themeColor="text1"/>
          <w:sz w:val="24"/>
          <w:szCs w:val="24"/>
        </w:rPr>
        <w:t xml:space="preserve">Provincial GDP data highlights varying degrees of economic diversification as shown in </w:t>
      </w:r>
      <w:r w:rsidRPr="00591845">
        <w:rPr>
          <w:rFonts w:ascii="Arial" w:hAnsi="Arial" w:cs="Arial"/>
          <w:b/>
          <w:bCs/>
          <w:color w:val="000000" w:themeColor="text1"/>
          <w:sz w:val="24"/>
          <w:szCs w:val="24"/>
        </w:rPr>
        <w:t>Figure 2.14</w:t>
      </w:r>
      <w:r w:rsidRPr="00591845">
        <w:rPr>
          <w:rFonts w:ascii="Arial" w:hAnsi="Arial" w:cs="Arial"/>
          <w:color w:val="000000" w:themeColor="text1"/>
          <w:sz w:val="24"/>
          <w:szCs w:val="24"/>
        </w:rPr>
        <w:t xml:space="preserve">. The service sector dominates tourism destinations like Phetchaburi and Songkhla while agriculture plays a major role in Trat. Conversely, industrial activity is clustered in Chon Buri, Rayong, Chachoengsao, and Samut Sakhon due to proximity to ports and special economic zones. </w:t>
      </w:r>
    </w:p>
    <w:p w14:paraId="6291F92D" w14:textId="77777777" w:rsidR="00591845" w:rsidRPr="00DB2AD7" w:rsidRDefault="00591845" w:rsidP="00710A62">
      <w:pPr>
        <w:pBdr>
          <w:top w:val="nil"/>
          <w:left w:val="nil"/>
          <w:bottom w:val="nil"/>
          <w:right w:val="nil"/>
          <w:between w:val="nil"/>
        </w:pBdr>
        <w:spacing w:after="0" w:line="360" w:lineRule="auto"/>
        <w:contextualSpacing/>
        <w:jc w:val="thaiDistribute"/>
        <w:rPr>
          <w:rFonts w:ascii="Arial" w:hAnsi="Arial"/>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4"/>
      </w:tblGrid>
      <w:tr w:rsidR="00B7322E" w:rsidRPr="00B97B69" w14:paraId="2BF5776E" w14:textId="77777777" w:rsidTr="004E1F61">
        <w:trPr>
          <w:jc w:val="center"/>
        </w:trPr>
        <w:tc>
          <w:tcPr>
            <w:tcW w:w="4513" w:type="dxa"/>
          </w:tcPr>
          <w:p w14:paraId="24990076" w14:textId="6DA2B70D"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7F9F06D3" wp14:editId="534998F2">
                  <wp:extent cx="2880000" cy="868069"/>
                  <wp:effectExtent l="0" t="0" r="0" b="8255"/>
                  <wp:docPr id="669971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80000" cy="868069"/>
                          </a:xfrm>
                          <a:prstGeom prst="rect">
                            <a:avLst/>
                          </a:prstGeom>
                          <a:noFill/>
                        </pic:spPr>
                      </pic:pic>
                    </a:graphicData>
                  </a:graphic>
                </wp:inline>
              </w:drawing>
            </w:r>
          </w:p>
        </w:tc>
        <w:tc>
          <w:tcPr>
            <w:tcW w:w="4514" w:type="dxa"/>
          </w:tcPr>
          <w:p w14:paraId="1CB37753" w14:textId="042835A1"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28638600" wp14:editId="089FD8E1">
                  <wp:extent cx="2880000" cy="893243"/>
                  <wp:effectExtent l="0" t="0" r="0" b="2540"/>
                  <wp:docPr id="13432364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80000" cy="893243"/>
                          </a:xfrm>
                          <a:prstGeom prst="rect">
                            <a:avLst/>
                          </a:prstGeom>
                          <a:noFill/>
                        </pic:spPr>
                      </pic:pic>
                    </a:graphicData>
                  </a:graphic>
                </wp:inline>
              </w:drawing>
            </w:r>
          </w:p>
        </w:tc>
      </w:tr>
      <w:tr w:rsidR="00B7322E" w:rsidRPr="00B97B69" w14:paraId="32448FDD" w14:textId="77777777" w:rsidTr="004E1F61">
        <w:trPr>
          <w:jc w:val="center"/>
        </w:trPr>
        <w:tc>
          <w:tcPr>
            <w:tcW w:w="4513" w:type="dxa"/>
          </w:tcPr>
          <w:p w14:paraId="02F38D5B"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14" w:type="dxa"/>
          </w:tcPr>
          <w:p w14:paraId="5482A018"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2B968587" w14:textId="77777777" w:rsidTr="004E1F61">
        <w:trPr>
          <w:jc w:val="center"/>
        </w:trPr>
        <w:tc>
          <w:tcPr>
            <w:tcW w:w="4513" w:type="dxa"/>
          </w:tcPr>
          <w:p w14:paraId="0B4FE549" w14:textId="41B33264"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158236A2" wp14:editId="2FA11602">
                  <wp:extent cx="2880000" cy="865101"/>
                  <wp:effectExtent l="0" t="0" r="0" b="0"/>
                  <wp:docPr id="11463578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80000" cy="865101"/>
                          </a:xfrm>
                          <a:prstGeom prst="rect">
                            <a:avLst/>
                          </a:prstGeom>
                          <a:noFill/>
                        </pic:spPr>
                      </pic:pic>
                    </a:graphicData>
                  </a:graphic>
                </wp:inline>
              </w:drawing>
            </w:r>
          </w:p>
        </w:tc>
        <w:tc>
          <w:tcPr>
            <w:tcW w:w="4514" w:type="dxa"/>
          </w:tcPr>
          <w:p w14:paraId="131BC663" w14:textId="4CA08F4D"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0E761914" wp14:editId="5FBE75DD">
                  <wp:extent cx="2880000" cy="869927"/>
                  <wp:effectExtent l="0" t="0" r="0" b="6985"/>
                  <wp:docPr id="156393995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80000" cy="869927"/>
                          </a:xfrm>
                          <a:prstGeom prst="rect">
                            <a:avLst/>
                          </a:prstGeom>
                          <a:noFill/>
                        </pic:spPr>
                      </pic:pic>
                    </a:graphicData>
                  </a:graphic>
                </wp:inline>
              </w:drawing>
            </w:r>
          </w:p>
        </w:tc>
      </w:tr>
      <w:tr w:rsidR="00B7322E" w:rsidRPr="00B97B69" w14:paraId="679BBEED" w14:textId="77777777" w:rsidTr="004E1F61">
        <w:trPr>
          <w:jc w:val="center"/>
        </w:trPr>
        <w:tc>
          <w:tcPr>
            <w:tcW w:w="4513" w:type="dxa"/>
          </w:tcPr>
          <w:p w14:paraId="488D6369"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14" w:type="dxa"/>
          </w:tcPr>
          <w:p w14:paraId="732B850A"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2B829F52" w14:textId="77777777" w:rsidTr="004E1F61">
        <w:trPr>
          <w:jc w:val="center"/>
        </w:trPr>
        <w:tc>
          <w:tcPr>
            <w:tcW w:w="4513" w:type="dxa"/>
          </w:tcPr>
          <w:p w14:paraId="5CF87252" w14:textId="52199BCC"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lastRenderedPageBreak/>
              <w:drawing>
                <wp:inline distT="0" distB="0" distL="0" distR="0" wp14:anchorId="4ACF504F" wp14:editId="35A1359E">
                  <wp:extent cx="2880000" cy="876238"/>
                  <wp:effectExtent l="0" t="0" r="0" b="635"/>
                  <wp:docPr id="145325279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80000" cy="876238"/>
                          </a:xfrm>
                          <a:prstGeom prst="rect">
                            <a:avLst/>
                          </a:prstGeom>
                          <a:noFill/>
                        </pic:spPr>
                      </pic:pic>
                    </a:graphicData>
                  </a:graphic>
                </wp:inline>
              </w:drawing>
            </w:r>
          </w:p>
        </w:tc>
        <w:tc>
          <w:tcPr>
            <w:tcW w:w="4514" w:type="dxa"/>
          </w:tcPr>
          <w:p w14:paraId="4246A707" w14:textId="380155A7"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4E288B27" wp14:editId="72BB4A54">
                  <wp:extent cx="2880000" cy="876238"/>
                  <wp:effectExtent l="0" t="0" r="0" b="635"/>
                  <wp:docPr id="8587039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80000" cy="876238"/>
                          </a:xfrm>
                          <a:prstGeom prst="rect">
                            <a:avLst/>
                          </a:prstGeom>
                          <a:noFill/>
                        </pic:spPr>
                      </pic:pic>
                    </a:graphicData>
                  </a:graphic>
                </wp:inline>
              </w:drawing>
            </w:r>
          </w:p>
        </w:tc>
      </w:tr>
      <w:tr w:rsidR="00B7322E" w:rsidRPr="00B97B69" w14:paraId="0286E83C" w14:textId="77777777" w:rsidTr="004E1F61">
        <w:trPr>
          <w:jc w:val="center"/>
        </w:trPr>
        <w:tc>
          <w:tcPr>
            <w:tcW w:w="4513" w:type="dxa"/>
          </w:tcPr>
          <w:p w14:paraId="4D26D638"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14" w:type="dxa"/>
          </w:tcPr>
          <w:p w14:paraId="65F4FC7B"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0EB08E8B" w14:textId="77777777" w:rsidTr="004E1F61">
        <w:tblPrEx>
          <w:jc w:val="left"/>
        </w:tblPrEx>
        <w:tc>
          <w:tcPr>
            <w:tcW w:w="4513" w:type="dxa"/>
          </w:tcPr>
          <w:p w14:paraId="0C87E858" w14:textId="412CC854"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16A3B984" wp14:editId="6CEF57F7">
                  <wp:extent cx="2880000" cy="874900"/>
                  <wp:effectExtent l="0" t="0" r="0" b="1905"/>
                  <wp:docPr id="111640859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880000" cy="874900"/>
                          </a:xfrm>
                          <a:prstGeom prst="rect">
                            <a:avLst/>
                          </a:prstGeom>
                          <a:noFill/>
                        </pic:spPr>
                      </pic:pic>
                    </a:graphicData>
                  </a:graphic>
                </wp:inline>
              </w:drawing>
            </w:r>
          </w:p>
        </w:tc>
        <w:tc>
          <w:tcPr>
            <w:tcW w:w="4514" w:type="dxa"/>
          </w:tcPr>
          <w:p w14:paraId="54E92155" w14:textId="18F6D90E"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0D65E2EF" wp14:editId="12627A0C">
                  <wp:extent cx="2880000" cy="882403"/>
                  <wp:effectExtent l="0" t="0" r="0" b="0"/>
                  <wp:docPr id="28283950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80000" cy="882403"/>
                          </a:xfrm>
                          <a:prstGeom prst="rect">
                            <a:avLst/>
                          </a:prstGeom>
                          <a:noFill/>
                        </pic:spPr>
                      </pic:pic>
                    </a:graphicData>
                  </a:graphic>
                </wp:inline>
              </w:drawing>
            </w:r>
          </w:p>
        </w:tc>
      </w:tr>
    </w:tbl>
    <w:p w14:paraId="6129B652" w14:textId="77777777" w:rsidR="004E1F61" w:rsidRDefault="004E1F61"/>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4"/>
      </w:tblGrid>
      <w:tr w:rsidR="00B7322E" w:rsidRPr="00B97B69" w14:paraId="7A8E3972" w14:textId="77777777" w:rsidTr="004E1F61">
        <w:tc>
          <w:tcPr>
            <w:tcW w:w="4508" w:type="dxa"/>
          </w:tcPr>
          <w:p w14:paraId="21812A76" w14:textId="2486F341"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3DCE8858" wp14:editId="0F6CAC9F">
                  <wp:extent cx="2880000" cy="891867"/>
                  <wp:effectExtent l="0" t="0" r="0" b="3810"/>
                  <wp:docPr id="67488397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80000" cy="891867"/>
                          </a:xfrm>
                          <a:prstGeom prst="rect">
                            <a:avLst/>
                          </a:prstGeom>
                          <a:noFill/>
                        </pic:spPr>
                      </pic:pic>
                    </a:graphicData>
                  </a:graphic>
                </wp:inline>
              </w:drawing>
            </w:r>
          </w:p>
        </w:tc>
        <w:tc>
          <w:tcPr>
            <w:tcW w:w="4509" w:type="dxa"/>
          </w:tcPr>
          <w:p w14:paraId="7346B4AD" w14:textId="5D6C1EC3"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6F75B113" wp14:editId="470DE78B">
                  <wp:extent cx="2880000" cy="903066"/>
                  <wp:effectExtent l="0" t="0" r="0" b="0"/>
                  <wp:docPr id="10317278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80000" cy="903066"/>
                          </a:xfrm>
                          <a:prstGeom prst="rect">
                            <a:avLst/>
                          </a:prstGeom>
                          <a:noFill/>
                        </pic:spPr>
                      </pic:pic>
                    </a:graphicData>
                  </a:graphic>
                </wp:inline>
              </w:drawing>
            </w:r>
          </w:p>
        </w:tc>
      </w:tr>
      <w:tr w:rsidR="00B7322E" w:rsidRPr="00B97B69" w14:paraId="451A28DA" w14:textId="77777777" w:rsidTr="004E1F61">
        <w:tblPrEx>
          <w:jc w:val="center"/>
        </w:tblPrEx>
        <w:trPr>
          <w:jc w:val="center"/>
        </w:trPr>
        <w:tc>
          <w:tcPr>
            <w:tcW w:w="4508" w:type="dxa"/>
          </w:tcPr>
          <w:p w14:paraId="3D3EBA22"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09" w:type="dxa"/>
          </w:tcPr>
          <w:p w14:paraId="2A777D99"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516CE93B" w14:textId="77777777" w:rsidTr="004E1F61">
        <w:tc>
          <w:tcPr>
            <w:tcW w:w="4508" w:type="dxa"/>
          </w:tcPr>
          <w:p w14:paraId="179E1DF9" w14:textId="6668AF66"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1393BEBB" wp14:editId="6963E3F9">
                  <wp:extent cx="2880000" cy="990604"/>
                  <wp:effectExtent l="0" t="0" r="0" b="0"/>
                  <wp:docPr id="145605147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880000" cy="990604"/>
                          </a:xfrm>
                          <a:prstGeom prst="rect">
                            <a:avLst/>
                          </a:prstGeom>
                          <a:noFill/>
                        </pic:spPr>
                      </pic:pic>
                    </a:graphicData>
                  </a:graphic>
                </wp:inline>
              </w:drawing>
            </w:r>
          </w:p>
        </w:tc>
        <w:tc>
          <w:tcPr>
            <w:tcW w:w="4509" w:type="dxa"/>
          </w:tcPr>
          <w:p w14:paraId="27F086B7" w14:textId="14F4F3EB"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474489F0" wp14:editId="1D5CCE01">
                  <wp:extent cx="2880000" cy="988388"/>
                  <wp:effectExtent l="0" t="0" r="0" b="2540"/>
                  <wp:docPr id="2098455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80000" cy="988388"/>
                          </a:xfrm>
                          <a:prstGeom prst="rect">
                            <a:avLst/>
                          </a:prstGeom>
                          <a:noFill/>
                        </pic:spPr>
                      </pic:pic>
                    </a:graphicData>
                  </a:graphic>
                </wp:inline>
              </w:drawing>
            </w:r>
          </w:p>
        </w:tc>
      </w:tr>
      <w:tr w:rsidR="00B7322E" w:rsidRPr="00B97B69" w14:paraId="5BA5B331" w14:textId="77777777" w:rsidTr="004E1F61">
        <w:tc>
          <w:tcPr>
            <w:tcW w:w="4508" w:type="dxa"/>
          </w:tcPr>
          <w:p w14:paraId="5A3C529A"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09" w:type="dxa"/>
          </w:tcPr>
          <w:p w14:paraId="5739B370"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44946D8B" w14:textId="77777777" w:rsidTr="004E1F61">
        <w:tc>
          <w:tcPr>
            <w:tcW w:w="4508" w:type="dxa"/>
          </w:tcPr>
          <w:p w14:paraId="7ED84107" w14:textId="724ECA7F"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22148E63" wp14:editId="26B61CBE">
                  <wp:extent cx="2880000" cy="981166"/>
                  <wp:effectExtent l="0" t="0" r="0" b="0"/>
                  <wp:docPr id="138221801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80000" cy="981166"/>
                          </a:xfrm>
                          <a:prstGeom prst="rect">
                            <a:avLst/>
                          </a:prstGeom>
                          <a:noFill/>
                        </pic:spPr>
                      </pic:pic>
                    </a:graphicData>
                  </a:graphic>
                </wp:inline>
              </w:drawing>
            </w:r>
          </w:p>
        </w:tc>
        <w:tc>
          <w:tcPr>
            <w:tcW w:w="4509" w:type="dxa"/>
          </w:tcPr>
          <w:p w14:paraId="4943AEC4" w14:textId="61E5C9A6"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4D8345CB" wp14:editId="639F3C50">
                  <wp:extent cx="2880000" cy="975999"/>
                  <wp:effectExtent l="0" t="0" r="0" b="0"/>
                  <wp:docPr id="87757219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80000" cy="975999"/>
                          </a:xfrm>
                          <a:prstGeom prst="rect">
                            <a:avLst/>
                          </a:prstGeom>
                          <a:noFill/>
                        </pic:spPr>
                      </pic:pic>
                    </a:graphicData>
                  </a:graphic>
                </wp:inline>
              </w:drawing>
            </w:r>
          </w:p>
        </w:tc>
      </w:tr>
      <w:tr w:rsidR="00B7322E" w:rsidRPr="00B97B69" w14:paraId="6BEEBAC2" w14:textId="77777777" w:rsidTr="004E1F61">
        <w:tc>
          <w:tcPr>
            <w:tcW w:w="4508" w:type="dxa"/>
          </w:tcPr>
          <w:p w14:paraId="0D3B4D42"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09" w:type="dxa"/>
          </w:tcPr>
          <w:p w14:paraId="370F95B3"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4FA5AD1A" w14:textId="77777777" w:rsidTr="004E1F61">
        <w:tc>
          <w:tcPr>
            <w:tcW w:w="4508" w:type="dxa"/>
          </w:tcPr>
          <w:p w14:paraId="407F904C" w14:textId="48DA248C" w:rsidR="00E75A83" w:rsidRPr="00B97B69" w:rsidRDefault="005334AD" w:rsidP="00710A62">
            <w:pPr>
              <w:spacing w:line="360" w:lineRule="auto"/>
              <w:contextualSpacing/>
              <w:rPr>
                <w:rFonts w:ascii="Arial" w:hAnsi="Arial" w:cs="Arial"/>
                <w:color w:val="000000" w:themeColor="text1"/>
                <w:sz w:val="24"/>
                <w:szCs w:val="24"/>
                <w:cs/>
              </w:rPr>
            </w:pPr>
            <w:r>
              <w:rPr>
                <w:rFonts w:ascii="Arial" w:hAnsi="Arial" w:cs="Arial"/>
                <w:noProof/>
                <w:color w:val="000000" w:themeColor="text1"/>
                <w:sz w:val="24"/>
                <w:szCs w:val="24"/>
              </w:rPr>
              <w:drawing>
                <wp:inline distT="0" distB="0" distL="0" distR="0" wp14:anchorId="174CFE27" wp14:editId="16739BD5">
                  <wp:extent cx="2880000" cy="916641"/>
                  <wp:effectExtent l="0" t="0" r="0" b="0"/>
                  <wp:docPr id="89525873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880000" cy="916641"/>
                          </a:xfrm>
                          <a:prstGeom prst="rect">
                            <a:avLst/>
                          </a:prstGeom>
                          <a:noFill/>
                        </pic:spPr>
                      </pic:pic>
                    </a:graphicData>
                  </a:graphic>
                </wp:inline>
              </w:drawing>
            </w:r>
          </w:p>
        </w:tc>
        <w:tc>
          <w:tcPr>
            <w:tcW w:w="4509" w:type="dxa"/>
          </w:tcPr>
          <w:p w14:paraId="78CF9C22" w14:textId="33657339" w:rsidR="00E75A83" w:rsidRPr="00B97B69" w:rsidRDefault="005334AD" w:rsidP="00710A62">
            <w:pPr>
              <w:spacing w:line="360" w:lineRule="auto"/>
              <w:contextualSpacing/>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1E8E498E" wp14:editId="7A2E9082">
                  <wp:extent cx="2880000" cy="897873"/>
                  <wp:effectExtent l="0" t="0" r="0" b="0"/>
                  <wp:docPr id="162379854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80000" cy="897873"/>
                          </a:xfrm>
                          <a:prstGeom prst="rect">
                            <a:avLst/>
                          </a:prstGeom>
                          <a:noFill/>
                        </pic:spPr>
                      </pic:pic>
                    </a:graphicData>
                  </a:graphic>
                </wp:inline>
              </w:drawing>
            </w:r>
          </w:p>
        </w:tc>
      </w:tr>
      <w:tr w:rsidR="006E2ED9" w:rsidRPr="00B97B69" w14:paraId="542317DA" w14:textId="77777777" w:rsidTr="004E1F61">
        <w:tc>
          <w:tcPr>
            <w:tcW w:w="4508" w:type="dxa"/>
          </w:tcPr>
          <w:p w14:paraId="1E9287A0" w14:textId="77777777" w:rsidR="006E2ED9" w:rsidRDefault="006E2ED9" w:rsidP="00710A62">
            <w:pPr>
              <w:spacing w:line="360" w:lineRule="auto"/>
              <w:contextualSpacing/>
              <w:rPr>
                <w:rFonts w:ascii="Arial" w:hAnsi="Arial" w:cs="Arial"/>
                <w:noProof/>
                <w:color w:val="000000" w:themeColor="text1"/>
                <w:sz w:val="24"/>
                <w:szCs w:val="24"/>
              </w:rPr>
            </w:pPr>
          </w:p>
        </w:tc>
        <w:tc>
          <w:tcPr>
            <w:tcW w:w="4509" w:type="dxa"/>
          </w:tcPr>
          <w:p w14:paraId="7669CE7A" w14:textId="77777777" w:rsidR="006E2ED9" w:rsidRDefault="006E2ED9" w:rsidP="00710A62">
            <w:pPr>
              <w:spacing w:line="360" w:lineRule="auto"/>
              <w:contextualSpacing/>
              <w:rPr>
                <w:rFonts w:ascii="Arial" w:hAnsi="Arial" w:cs="Arial"/>
                <w:noProof/>
                <w:color w:val="000000" w:themeColor="text1"/>
                <w:sz w:val="24"/>
                <w:szCs w:val="24"/>
              </w:rPr>
            </w:pPr>
          </w:p>
        </w:tc>
      </w:tr>
      <w:tr w:rsidR="006E2ED9" w:rsidRPr="00B97B69" w14:paraId="3F145C81" w14:textId="77777777" w:rsidTr="004E1F61">
        <w:tc>
          <w:tcPr>
            <w:tcW w:w="4508" w:type="dxa"/>
          </w:tcPr>
          <w:p w14:paraId="572406AE" w14:textId="3CEFBE1A" w:rsidR="006E2ED9" w:rsidRDefault="005334AD" w:rsidP="00710A62">
            <w:pPr>
              <w:spacing w:line="360" w:lineRule="auto"/>
              <w:contextualSpacing/>
              <w:rPr>
                <w:rFonts w:ascii="Arial" w:hAnsi="Arial" w:cs="Arial"/>
                <w:noProof/>
                <w:color w:val="000000" w:themeColor="text1"/>
                <w:sz w:val="24"/>
                <w:szCs w:val="24"/>
              </w:rPr>
            </w:pPr>
            <w:r>
              <w:rPr>
                <w:rFonts w:ascii="Arial" w:hAnsi="Arial" w:cs="Arial"/>
                <w:noProof/>
                <w:color w:val="000000" w:themeColor="text1"/>
                <w:sz w:val="24"/>
                <w:szCs w:val="24"/>
              </w:rPr>
              <w:drawing>
                <wp:inline distT="0" distB="0" distL="0" distR="0" wp14:anchorId="03613887" wp14:editId="3F187EAA">
                  <wp:extent cx="2880000" cy="918313"/>
                  <wp:effectExtent l="0" t="0" r="0" b="0"/>
                  <wp:docPr id="190110866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880000" cy="918313"/>
                          </a:xfrm>
                          <a:prstGeom prst="rect">
                            <a:avLst/>
                          </a:prstGeom>
                          <a:noFill/>
                        </pic:spPr>
                      </pic:pic>
                    </a:graphicData>
                  </a:graphic>
                </wp:inline>
              </w:drawing>
            </w:r>
          </w:p>
        </w:tc>
        <w:tc>
          <w:tcPr>
            <w:tcW w:w="4509" w:type="dxa"/>
          </w:tcPr>
          <w:p w14:paraId="1C212851" w14:textId="5C54981A" w:rsidR="006E2ED9" w:rsidRDefault="005334AD" w:rsidP="00710A62">
            <w:pPr>
              <w:spacing w:line="360" w:lineRule="auto"/>
              <w:contextualSpacing/>
              <w:rPr>
                <w:rFonts w:ascii="Arial" w:hAnsi="Arial" w:cs="Arial"/>
                <w:noProof/>
                <w:color w:val="000000" w:themeColor="text1"/>
                <w:sz w:val="24"/>
                <w:szCs w:val="24"/>
              </w:rPr>
            </w:pPr>
            <w:r>
              <w:rPr>
                <w:rFonts w:ascii="Arial" w:hAnsi="Arial" w:cs="Arial"/>
                <w:noProof/>
                <w:color w:val="000000" w:themeColor="text1"/>
                <w:sz w:val="24"/>
                <w:szCs w:val="24"/>
              </w:rPr>
              <w:drawing>
                <wp:inline distT="0" distB="0" distL="0" distR="0" wp14:anchorId="3D8D0EAC" wp14:editId="0CA09C7B">
                  <wp:extent cx="2880000" cy="910758"/>
                  <wp:effectExtent l="0" t="0" r="0" b="3810"/>
                  <wp:docPr id="147497888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80000" cy="910758"/>
                          </a:xfrm>
                          <a:prstGeom prst="rect">
                            <a:avLst/>
                          </a:prstGeom>
                          <a:noFill/>
                        </pic:spPr>
                      </pic:pic>
                    </a:graphicData>
                  </a:graphic>
                </wp:inline>
              </w:drawing>
            </w:r>
          </w:p>
        </w:tc>
      </w:tr>
      <w:tr w:rsidR="00B7322E" w:rsidRPr="00B97B69" w14:paraId="55AC78BF" w14:textId="77777777" w:rsidTr="004E1F61">
        <w:tc>
          <w:tcPr>
            <w:tcW w:w="4508" w:type="dxa"/>
          </w:tcPr>
          <w:p w14:paraId="3F33124E" w14:textId="77777777" w:rsidR="00E75A83" w:rsidRPr="00B97B69" w:rsidRDefault="00E75A83" w:rsidP="00710A62">
            <w:pPr>
              <w:spacing w:line="360" w:lineRule="auto"/>
              <w:contextualSpacing/>
              <w:rPr>
                <w:rFonts w:ascii="Arial" w:hAnsi="Arial" w:cs="Arial"/>
                <w:color w:val="000000" w:themeColor="text1"/>
                <w:sz w:val="24"/>
                <w:szCs w:val="24"/>
              </w:rPr>
            </w:pPr>
          </w:p>
        </w:tc>
        <w:tc>
          <w:tcPr>
            <w:tcW w:w="4509" w:type="dxa"/>
          </w:tcPr>
          <w:p w14:paraId="2551FEE6"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44F8CEE5" w14:textId="77777777" w:rsidTr="004E1F61">
        <w:tc>
          <w:tcPr>
            <w:tcW w:w="9017" w:type="dxa"/>
            <w:gridSpan w:val="2"/>
          </w:tcPr>
          <w:p w14:paraId="54A12442" w14:textId="7F850D51"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w:t>
            </w:r>
            <w:r w:rsidRPr="00B97B69">
              <w:rPr>
                <w:rFonts w:ascii="Arial" w:hAnsi="Arial" w:cs="Arial"/>
                <w:color w:val="000000" w:themeColor="text1"/>
                <w:sz w:val="24"/>
                <w:szCs w:val="24"/>
              </w:rPr>
              <w:t xml:space="preserve"> </w:t>
            </w:r>
            <w:r w:rsidRPr="00B97B69">
              <w:rPr>
                <w:rFonts w:ascii="Arial" w:hAnsi="Arial" w:cs="Arial"/>
                <w:b/>
                <w:bCs/>
                <w:color w:val="000000" w:themeColor="text1"/>
                <w:sz w:val="24"/>
                <w:szCs w:val="24"/>
              </w:rPr>
              <w:t>2.1</w:t>
            </w:r>
            <w:r w:rsidR="00A9351A">
              <w:rPr>
                <w:rFonts w:ascii="Arial" w:hAnsi="Arial" w:cs="Arial"/>
                <w:b/>
                <w:bCs/>
                <w:color w:val="000000" w:themeColor="text1"/>
                <w:sz w:val="24"/>
                <w:szCs w:val="24"/>
              </w:rPr>
              <w:t>4</w:t>
            </w:r>
            <w:r w:rsidRPr="00B97B69">
              <w:rPr>
                <w:rFonts w:ascii="Arial" w:hAnsi="Arial" w:cs="Arial"/>
                <w:b/>
                <w:bCs/>
                <w:color w:val="000000" w:themeColor="text1"/>
                <w:sz w:val="24"/>
                <w:szCs w:val="24"/>
              </w:rPr>
              <w:t xml:space="preserve"> </w:t>
            </w:r>
            <w:r w:rsidRPr="00B97B69">
              <w:rPr>
                <w:rFonts w:ascii="Arial" w:hAnsi="Arial" w:cs="Arial"/>
                <w:color w:val="000000" w:themeColor="text1"/>
                <w:sz w:val="24"/>
                <w:szCs w:val="24"/>
              </w:rPr>
              <w:t>GDP per capita by sector (agriculture, industrial, services) of coastal provinces along the Gulf of Thailand (1995-2018)</w:t>
            </w:r>
            <w:r w:rsidRPr="00B97B69">
              <w:rPr>
                <w:rFonts w:ascii="Arial" w:hAnsi="Arial" w:cs="Arial"/>
                <w:color w:val="000000" w:themeColor="text1"/>
                <w:sz w:val="24"/>
                <w:szCs w:val="24"/>
                <w:cs/>
              </w:rPr>
              <w:t xml:space="preserve"> </w:t>
            </w:r>
          </w:p>
        </w:tc>
      </w:tr>
    </w:tbl>
    <w:p w14:paraId="1825F5A5" w14:textId="77777777" w:rsidR="00E75A83" w:rsidRPr="00B97B69" w:rsidRDefault="00E75A83" w:rsidP="00710A62">
      <w:pPr>
        <w:pBdr>
          <w:top w:val="nil"/>
          <w:left w:val="nil"/>
          <w:bottom w:val="nil"/>
          <w:right w:val="nil"/>
          <w:between w:val="nil"/>
        </w:pBd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8" w:name="_Hlk213613961"/>
      <w:r w:rsidRPr="00B97B69">
        <w:rPr>
          <w:rFonts w:ascii="Arial" w:hAnsi="Arial" w:cs="Arial"/>
          <w:color w:val="000000" w:themeColor="text1"/>
          <w:sz w:val="20"/>
          <w:szCs w:val="20"/>
        </w:rPr>
        <w:t xml:space="preserve">Office of the National Economic and Social Development Council. 2025. GDP. </w:t>
      </w:r>
      <w:hyperlink r:id="rId64" w:history="1">
        <w:r w:rsidRPr="00B97B69">
          <w:rPr>
            <w:rStyle w:val="Hyperlink"/>
            <w:rFonts w:ascii="Arial" w:hAnsi="Arial" w:cs="Arial"/>
            <w:color w:val="000000" w:themeColor="text1"/>
            <w:sz w:val="20"/>
            <w:szCs w:val="20"/>
          </w:rPr>
          <w:t>https://www.nesdc.go.th/nesdb_en/more_news.php?cid=156&amp;filename=index</w:t>
        </w:r>
      </w:hyperlink>
      <w:r w:rsidRPr="00B97B69">
        <w:rPr>
          <w:rFonts w:ascii="Arial" w:hAnsi="Arial" w:cs="Arial"/>
          <w:color w:val="000000" w:themeColor="text1"/>
          <w:sz w:val="20"/>
          <w:szCs w:val="20"/>
        </w:rPr>
        <w:t xml:space="preserve"> (Accessed 21 Apr 2025)</w:t>
      </w:r>
    </w:p>
    <w:bookmarkEnd w:id="8"/>
    <w:p w14:paraId="034D753D"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p>
    <w:p w14:paraId="22F6D3F7" w14:textId="05D7A593" w:rsidR="00D8496F" w:rsidRPr="00DB2AD7" w:rsidRDefault="00DB2AD7" w:rsidP="002B7167">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DB2AD7">
        <w:rPr>
          <w:rFonts w:ascii="Arial" w:hAnsi="Arial" w:cs="Arial"/>
          <w:color w:val="000000" w:themeColor="text1"/>
          <w:sz w:val="24"/>
          <w:szCs w:val="24"/>
        </w:rPr>
        <w:t>A broader comparison highlights clear differences between the national economy and Bangkok. The capital is heavily reliant on the service sector, consistent with its role as the primary commercial hub. Nationally, the economic structure is more balanced, featuring strong contributions from both services and industry, the latter supported by export-oriented investments. In both contexts, agriculture is no longer the dominant sector, though it remains a supporting pillar of the economy</w:t>
      </w:r>
      <w:r>
        <w:rPr>
          <w:rFonts w:ascii="Arial" w:hAnsi="Arial"/>
          <w:color w:val="000000" w:themeColor="text1"/>
          <w:sz w:val="24"/>
          <w:szCs w:val="24"/>
        </w:rPr>
        <w:t>.</w:t>
      </w:r>
    </w:p>
    <w:p w14:paraId="4D5491D1" w14:textId="77777777" w:rsidR="00DB2AD7" w:rsidRPr="00DB2AD7" w:rsidRDefault="00DB2AD7" w:rsidP="002B7167">
      <w:pPr>
        <w:pBdr>
          <w:top w:val="nil"/>
          <w:left w:val="nil"/>
          <w:bottom w:val="nil"/>
          <w:right w:val="nil"/>
          <w:between w:val="nil"/>
        </w:pBdr>
        <w:spacing w:after="0" w:line="360" w:lineRule="auto"/>
        <w:contextualSpacing/>
        <w:jc w:val="both"/>
        <w:rPr>
          <w:rFonts w:ascii="Arial" w:hAnsi="Arial"/>
          <w:color w:val="000000" w:themeColor="text1"/>
          <w:sz w:val="24"/>
          <w:szCs w:val="24"/>
        </w:rPr>
      </w:pPr>
    </w:p>
    <w:p w14:paraId="1BD4D651"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 xml:space="preserve">Sustainable fisheries contribution to GDP </w:t>
      </w:r>
    </w:p>
    <w:p w14:paraId="0B9FB41F" w14:textId="3A720ADB" w:rsidR="00E75A83" w:rsidRPr="00B97B69" w:rsidRDefault="006967D9" w:rsidP="00710A62">
      <w:pPr>
        <w:pBdr>
          <w:top w:val="nil"/>
          <w:left w:val="nil"/>
          <w:bottom w:val="nil"/>
          <w:right w:val="nil"/>
          <w:between w:val="nil"/>
        </w:pBdr>
        <w:spacing w:after="0" w:line="360" w:lineRule="auto"/>
        <w:contextualSpacing/>
        <w:jc w:val="thaiDistribute"/>
        <w:rPr>
          <w:rFonts w:ascii="Arial" w:hAnsi="Arial" w:cs="Arial"/>
          <w:color w:val="000000" w:themeColor="text1"/>
          <w:sz w:val="24"/>
          <w:szCs w:val="24"/>
        </w:rPr>
      </w:pPr>
      <w:r w:rsidRPr="006967D9">
        <w:rPr>
          <w:rFonts w:ascii="Arial" w:hAnsi="Arial" w:cs="Arial"/>
          <w:color w:val="000000" w:themeColor="text1"/>
          <w:sz w:val="24"/>
          <w:szCs w:val="24"/>
        </w:rPr>
        <w:t xml:space="preserve">Between 2011 and 2021, the contribution of sustainable fisheries to Thailand’s GDP dropped from 0.45% to 0.28% </w:t>
      </w:r>
      <w:r w:rsidRPr="006967D9">
        <w:rPr>
          <w:rFonts w:ascii="Arial" w:hAnsi="Arial" w:cs="Arial"/>
          <w:b/>
          <w:bCs/>
          <w:color w:val="000000" w:themeColor="text1"/>
          <w:sz w:val="24"/>
          <w:szCs w:val="24"/>
        </w:rPr>
        <w:t>(Figure 2.1</w:t>
      </w:r>
      <w:r w:rsidR="00A9351A">
        <w:rPr>
          <w:rFonts w:ascii="Arial" w:hAnsi="Arial" w:cs="Arial"/>
          <w:b/>
          <w:bCs/>
          <w:color w:val="000000" w:themeColor="text1"/>
          <w:sz w:val="24"/>
          <w:szCs w:val="24"/>
        </w:rPr>
        <w:t>5</w:t>
      </w:r>
      <w:r w:rsidRPr="006967D9">
        <w:rPr>
          <w:rFonts w:ascii="Arial" w:hAnsi="Arial" w:cs="Arial"/>
          <w:b/>
          <w:bCs/>
          <w:color w:val="000000" w:themeColor="text1"/>
          <w:sz w:val="24"/>
          <w:szCs w:val="24"/>
        </w:rPr>
        <w:t>)</w:t>
      </w:r>
      <w:r w:rsidRPr="006967D9">
        <w:rPr>
          <w:rFonts w:ascii="Arial" w:hAnsi="Arial" w:cs="Arial"/>
          <w:color w:val="000000" w:themeColor="text1"/>
          <w:sz w:val="24"/>
          <w:szCs w:val="24"/>
        </w:rPr>
        <w:t xml:space="preserve">. This downward trend coincided with a period of broader structural shifts in the economy and the </w:t>
      </w:r>
      <w:r w:rsidR="00CE0C6A">
        <w:rPr>
          <w:rFonts w:ascii="Arial" w:hAnsi="Arial" w:cs="Arial"/>
          <w:color w:val="000000" w:themeColor="text1"/>
          <w:sz w:val="24"/>
          <w:szCs w:val="24"/>
        </w:rPr>
        <w:t>strict</w:t>
      </w:r>
      <w:r w:rsidRPr="006967D9">
        <w:rPr>
          <w:rFonts w:ascii="Arial" w:hAnsi="Arial" w:cs="Arial"/>
          <w:color w:val="000000" w:themeColor="text1"/>
          <w:sz w:val="24"/>
          <w:szCs w:val="24"/>
        </w:rPr>
        <w:t xml:space="preserve"> enforcement of measures against Illegal, Unreported, and Unregulated (IUU) fishing. In this changing </w:t>
      </w:r>
      <w:r w:rsidR="00CE0C6A">
        <w:rPr>
          <w:rFonts w:ascii="Arial" w:hAnsi="Arial" w:cs="Arial"/>
          <w:color w:val="000000" w:themeColor="text1"/>
          <w:sz w:val="24"/>
          <w:szCs w:val="24"/>
        </w:rPr>
        <w:t>environment</w:t>
      </w:r>
      <w:r w:rsidRPr="006967D9">
        <w:rPr>
          <w:rFonts w:ascii="Arial" w:hAnsi="Arial" w:cs="Arial"/>
          <w:color w:val="000000" w:themeColor="text1"/>
          <w:sz w:val="24"/>
          <w:szCs w:val="24"/>
        </w:rPr>
        <w:t>, the sector faces the critical task of balancing ecological compliance with the economic stability of fishing communities.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6EAF278C" w14:textId="77777777" w:rsidTr="00CD40CC">
        <w:tc>
          <w:tcPr>
            <w:tcW w:w="9027" w:type="dxa"/>
          </w:tcPr>
          <w:p w14:paraId="317EF5F9"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6412BD81" wp14:editId="3DFCE5CA">
                  <wp:extent cx="5039560" cy="2604943"/>
                  <wp:effectExtent l="0" t="0" r="8890" b="5080"/>
                  <wp:docPr id="5272407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rotWithShape="1">
                          <a:blip r:embed="rId65">
                            <a:extLst>
                              <a:ext uri="{28A0092B-C50C-407E-A947-70E740481C1C}">
                                <a14:useLocalDpi xmlns:a14="http://schemas.microsoft.com/office/drawing/2010/main" val="0"/>
                              </a:ext>
                            </a:extLst>
                          </a:blip>
                          <a:srcRect t="8737"/>
                          <a:stretch>
                            <a:fillRect/>
                          </a:stretch>
                        </pic:blipFill>
                        <pic:spPr bwMode="auto">
                          <a:xfrm>
                            <a:off x="0" y="0"/>
                            <a:ext cx="5040000" cy="260517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7322E" w:rsidRPr="00B97B69" w14:paraId="5047F903" w14:textId="77777777" w:rsidTr="00CD40CC">
        <w:tc>
          <w:tcPr>
            <w:tcW w:w="9027" w:type="dxa"/>
          </w:tcPr>
          <w:p w14:paraId="508D1ABF"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5BD82B4B" w14:textId="77777777" w:rsidTr="00CD40CC">
        <w:tc>
          <w:tcPr>
            <w:tcW w:w="9027" w:type="dxa"/>
          </w:tcPr>
          <w:p w14:paraId="7428C9F1" w14:textId="4BB0C2DB"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2.1</w:t>
            </w:r>
            <w:r w:rsidR="00A9351A">
              <w:rPr>
                <w:rFonts w:ascii="Arial" w:hAnsi="Arial" w:cs="Arial"/>
                <w:b/>
                <w:bCs/>
                <w:color w:val="000000" w:themeColor="text1"/>
                <w:sz w:val="24"/>
                <w:szCs w:val="24"/>
              </w:rPr>
              <w:t>5</w:t>
            </w:r>
            <w:r w:rsidRPr="00B97B69">
              <w:rPr>
                <w:rFonts w:ascii="Arial" w:hAnsi="Arial" w:cs="Arial"/>
                <w:color w:val="000000" w:themeColor="text1"/>
                <w:sz w:val="24"/>
                <w:szCs w:val="24"/>
              </w:rPr>
              <w:t xml:space="preserve"> Sustainable fisheries as a percentage of GDP in Thailand (2011-2021)</w:t>
            </w:r>
          </w:p>
        </w:tc>
      </w:tr>
    </w:tbl>
    <w:p w14:paraId="0F01C91F" w14:textId="77777777" w:rsidR="00E75A83" w:rsidRPr="00B97B69" w:rsidRDefault="00E75A83" w:rsidP="00710A62">
      <w:pPr>
        <w:pBdr>
          <w:top w:val="nil"/>
          <w:left w:val="nil"/>
          <w:bottom w:val="nil"/>
          <w:right w:val="nil"/>
          <w:between w:val="nil"/>
        </w:pBd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9" w:name="_Hlk213613999"/>
      <w:r w:rsidRPr="00B97B69">
        <w:rPr>
          <w:rFonts w:ascii="Arial" w:hAnsi="Arial" w:cs="Arial"/>
          <w:color w:val="000000" w:themeColor="text1"/>
          <w:sz w:val="20"/>
          <w:szCs w:val="20"/>
        </w:rPr>
        <w:t xml:space="preserve">FAO. 2025. Sustainable fisheries as a proportion of GDP. </w:t>
      </w:r>
      <w:hyperlink r:id="rId66" w:history="1">
        <w:r w:rsidRPr="00B97B69">
          <w:rPr>
            <w:rStyle w:val="Hyperlink"/>
            <w:rFonts w:ascii="Arial" w:hAnsi="Arial" w:cs="Arial"/>
            <w:color w:val="000000" w:themeColor="text1"/>
            <w:sz w:val="20"/>
            <w:szCs w:val="20"/>
          </w:rPr>
          <w:t>https://de-public-statsuite.fao.org/</w:t>
        </w:r>
      </w:hyperlink>
      <w:r w:rsidRPr="00B97B69">
        <w:rPr>
          <w:rFonts w:ascii="Arial" w:hAnsi="Arial" w:cs="Arial"/>
          <w:color w:val="000000" w:themeColor="text1"/>
          <w:sz w:val="20"/>
          <w:szCs w:val="20"/>
        </w:rPr>
        <w:t xml:space="preserve"> (Accessed 25 June 2025)</w:t>
      </w:r>
    </w:p>
    <w:bookmarkEnd w:id="9"/>
    <w:p w14:paraId="528D5AD0"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p>
    <w:p w14:paraId="13E1D261"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Tourism percent of GDP</w:t>
      </w:r>
    </w:p>
    <w:p w14:paraId="77055134" w14:textId="704AC6DE" w:rsidR="00E75A83" w:rsidRDefault="00A90279" w:rsidP="00A90279">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A90279">
        <w:rPr>
          <w:rFonts w:ascii="Arial" w:hAnsi="Arial" w:cs="Arial"/>
          <w:color w:val="000000" w:themeColor="text1"/>
          <w:sz w:val="24"/>
          <w:szCs w:val="24"/>
        </w:rPr>
        <w:t xml:space="preserve">Thailand’s tourism sector saw robust growth between 2010 and 2019, with its GDP contribution climbing from 3.56% to a peak of over 7.4% </w:t>
      </w:r>
      <w:r w:rsidRPr="00A90279">
        <w:rPr>
          <w:rFonts w:ascii="Arial" w:hAnsi="Arial" w:cs="Arial"/>
          <w:b/>
          <w:bCs/>
          <w:color w:val="000000" w:themeColor="text1"/>
          <w:sz w:val="24"/>
          <w:szCs w:val="24"/>
        </w:rPr>
        <w:t>(Figure 2.1</w:t>
      </w:r>
      <w:r w:rsidR="00A9351A">
        <w:rPr>
          <w:rFonts w:ascii="Arial" w:hAnsi="Arial" w:cs="Arial"/>
          <w:b/>
          <w:bCs/>
          <w:color w:val="000000" w:themeColor="text1"/>
          <w:sz w:val="24"/>
          <w:szCs w:val="24"/>
        </w:rPr>
        <w:t>6</w:t>
      </w:r>
      <w:r w:rsidRPr="00A90279">
        <w:rPr>
          <w:rFonts w:ascii="Arial" w:hAnsi="Arial" w:cs="Arial"/>
          <w:b/>
          <w:bCs/>
          <w:color w:val="000000" w:themeColor="text1"/>
          <w:sz w:val="24"/>
          <w:szCs w:val="24"/>
        </w:rPr>
        <w:t>)</w:t>
      </w:r>
      <w:r w:rsidRPr="00A90279">
        <w:rPr>
          <w:rFonts w:ascii="Arial" w:hAnsi="Arial" w:cs="Arial"/>
          <w:color w:val="000000" w:themeColor="text1"/>
          <w:sz w:val="24"/>
          <w:szCs w:val="24"/>
        </w:rPr>
        <w:t>. This expansion established tourism as a critical economic driver, particularly for coastal destinations like Phuket and Chon Buri, while also increasing the demand for infrastructure and resources. The trend, however, was drastically reversed by the COVID-19 pandemic, which caused the sector’s share to drop to 0.84% by 2021 due to global travel disruptions.</w:t>
      </w:r>
    </w:p>
    <w:p w14:paraId="46ABD5E3" w14:textId="77777777" w:rsidR="00A90279" w:rsidRPr="00B97B69" w:rsidRDefault="00A90279" w:rsidP="00A90279">
      <w:pPr>
        <w:pBdr>
          <w:top w:val="nil"/>
          <w:left w:val="nil"/>
          <w:bottom w:val="nil"/>
          <w:right w:val="nil"/>
          <w:between w:val="nil"/>
        </w:pBdr>
        <w:spacing w:after="0" w:line="360" w:lineRule="auto"/>
        <w:contextualSpacing/>
        <w:jc w:val="both"/>
        <w:rPr>
          <w:rFonts w:ascii="Arial" w:hAnsi="Arial" w:cs="Arial"/>
          <w:b/>
          <w:bCs/>
          <w:color w:val="000000" w:themeColor="text1"/>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2"/>
      </w:tblGrid>
      <w:tr w:rsidR="00B7322E" w:rsidRPr="00B97B69" w14:paraId="54B459BE" w14:textId="77777777" w:rsidTr="0031702B">
        <w:tc>
          <w:tcPr>
            <w:tcW w:w="9350" w:type="dxa"/>
          </w:tcPr>
          <w:p w14:paraId="22092A9C" w14:textId="7777777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noProof/>
                <w:color w:val="000000" w:themeColor="text1"/>
                <w:sz w:val="24"/>
                <w:szCs w:val="24"/>
              </w:rPr>
              <w:drawing>
                <wp:inline distT="0" distB="0" distL="0" distR="0" wp14:anchorId="2A084DC0" wp14:editId="1B9B90A6">
                  <wp:extent cx="5400000" cy="2406354"/>
                  <wp:effectExtent l="0" t="0" r="0" b="0"/>
                  <wp:docPr id="28925670"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00000" cy="2406354"/>
                          </a:xfrm>
                          <a:prstGeom prst="rect">
                            <a:avLst/>
                          </a:prstGeom>
                          <a:noFill/>
                        </pic:spPr>
                      </pic:pic>
                    </a:graphicData>
                  </a:graphic>
                </wp:inline>
              </w:drawing>
            </w:r>
          </w:p>
        </w:tc>
      </w:tr>
      <w:tr w:rsidR="00B7322E" w:rsidRPr="00B97B69" w14:paraId="2C941977" w14:textId="77777777" w:rsidTr="0031702B">
        <w:tc>
          <w:tcPr>
            <w:tcW w:w="9350" w:type="dxa"/>
          </w:tcPr>
          <w:p w14:paraId="25E3BB45" w14:textId="77777777" w:rsidR="00E75A83" w:rsidRPr="00B97B69" w:rsidRDefault="00E75A83" w:rsidP="00710A62">
            <w:pPr>
              <w:spacing w:line="360" w:lineRule="auto"/>
              <w:contextualSpacing/>
              <w:rPr>
                <w:rFonts w:ascii="Arial" w:hAnsi="Arial" w:cs="Arial"/>
                <w:color w:val="000000" w:themeColor="text1"/>
                <w:sz w:val="24"/>
                <w:szCs w:val="24"/>
              </w:rPr>
            </w:pPr>
          </w:p>
        </w:tc>
      </w:tr>
      <w:tr w:rsidR="00B7322E" w:rsidRPr="00B97B69" w14:paraId="7C204F6E" w14:textId="77777777" w:rsidTr="0031702B">
        <w:tc>
          <w:tcPr>
            <w:tcW w:w="9350" w:type="dxa"/>
          </w:tcPr>
          <w:p w14:paraId="48A1A413" w14:textId="6E5CF087" w:rsidR="00E75A83" w:rsidRPr="00B97B69" w:rsidRDefault="00E75A83" w:rsidP="00710A62">
            <w:pPr>
              <w:spacing w:line="360" w:lineRule="auto"/>
              <w:contextualSpacing/>
              <w:jc w:val="center"/>
              <w:rPr>
                <w:rFonts w:ascii="Arial" w:hAnsi="Arial" w:cs="Arial"/>
                <w:color w:val="000000" w:themeColor="text1"/>
                <w:sz w:val="24"/>
                <w:szCs w:val="24"/>
              </w:rPr>
            </w:pPr>
            <w:r w:rsidRPr="00B97B69">
              <w:rPr>
                <w:rFonts w:ascii="Arial" w:hAnsi="Arial" w:cs="Arial"/>
                <w:b/>
                <w:bCs/>
                <w:color w:val="000000" w:themeColor="text1"/>
                <w:sz w:val="24"/>
                <w:szCs w:val="24"/>
              </w:rPr>
              <w:t>Figure 2.1</w:t>
            </w:r>
            <w:r w:rsidR="00A9351A">
              <w:rPr>
                <w:rFonts w:ascii="Arial" w:hAnsi="Arial" w:cs="Arial"/>
                <w:b/>
                <w:bCs/>
                <w:color w:val="000000" w:themeColor="text1"/>
                <w:sz w:val="24"/>
                <w:szCs w:val="24"/>
              </w:rPr>
              <w:t>6</w:t>
            </w:r>
            <w:r w:rsidRPr="00B97B69">
              <w:rPr>
                <w:rFonts w:ascii="Arial" w:hAnsi="Arial" w:cs="Arial"/>
                <w:color w:val="000000" w:themeColor="text1"/>
                <w:sz w:val="24"/>
                <w:szCs w:val="24"/>
              </w:rPr>
              <w:t xml:space="preserve"> Tourism as a percentage of GDP in Thailand (2011-2021)</w:t>
            </w:r>
          </w:p>
        </w:tc>
      </w:tr>
    </w:tbl>
    <w:p w14:paraId="7E9429B1" w14:textId="77777777" w:rsidR="00E75A83" w:rsidRPr="00B97B69" w:rsidRDefault="00E75A83" w:rsidP="00710A62">
      <w:pP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10" w:name="_Hlk213614030"/>
      <w:r w:rsidRPr="00B97B69">
        <w:rPr>
          <w:rFonts w:ascii="Arial" w:hAnsi="Arial" w:cs="Arial"/>
          <w:color w:val="000000" w:themeColor="text1"/>
          <w:sz w:val="20"/>
          <w:szCs w:val="20"/>
        </w:rPr>
        <w:t xml:space="preserve">Our World in Data. 2024.  Tourism’s contribution to GDP. </w:t>
      </w:r>
      <w:hyperlink r:id="rId68" w:tgtFrame="_blank" w:history="1">
        <w:r w:rsidRPr="00B97B69">
          <w:rPr>
            <w:rStyle w:val="Hyperlink"/>
            <w:rFonts w:ascii="Arial" w:hAnsi="Arial" w:cs="Arial"/>
            <w:color w:val="000000" w:themeColor="text1"/>
            <w:sz w:val="20"/>
            <w:szCs w:val="20"/>
          </w:rPr>
          <w:t>https://www.unwto.org/tourism-statistics/economic-contribution-SDG</w:t>
        </w:r>
      </w:hyperlink>
      <w:r w:rsidRPr="00B97B69">
        <w:rPr>
          <w:rFonts w:ascii="Arial" w:hAnsi="Arial" w:cs="Arial"/>
          <w:color w:val="000000" w:themeColor="text1"/>
          <w:sz w:val="20"/>
          <w:szCs w:val="20"/>
        </w:rPr>
        <w:t xml:space="preserve"> (Accessed 25 June 2025)</w:t>
      </w:r>
    </w:p>
    <w:bookmarkEnd w:id="10"/>
    <w:p w14:paraId="15105986" w14:textId="77777777" w:rsidR="00E75A83" w:rsidRPr="00B97B69" w:rsidRDefault="00E75A83" w:rsidP="00710A62">
      <w:pPr>
        <w:spacing w:after="0" w:line="360" w:lineRule="auto"/>
        <w:contextualSpacing/>
        <w:rPr>
          <w:rFonts w:ascii="Arial" w:hAnsi="Arial" w:cs="Arial"/>
          <w:b/>
          <w:bCs/>
          <w:color w:val="000000" w:themeColor="text1"/>
          <w:sz w:val="24"/>
          <w:szCs w:val="24"/>
        </w:rPr>
      </w:pPr>
    </w:p>
    <w:p w14:paraId="2F4724A6" w14:textId="77777777" w:rsidR="00E75A83" w:rsidRPr="00B97B69" w:rsidRDefault="00E75A83" w:rsidP="00710A62">
      <w:pP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2.2.4 Climate-related threats</w:t>
      </w:r>
    </w:p>
    <w:p w14:paraId="031F61A9" w14:textId="5ACA638E" w:rsidR="00E75A83" w:rsidRPr="00DD7F11" w:rsidRDefault="00591845" w:rsidP="00710A62">
      <w:pPr>
        <w:pBdr>
          <w:top w:val="nil"/>
          <w:left w:val="nil"/>
          <w:bottom w:val="nil"/>
          <w:right w:val="nil"/>
          <w:between w:val="nil"/>
        </w:pBdr>
        <w:spacing w:after="0" w:line="360" w:lineRule="auto"/>
        <w:contextualSpacing/>
        <w:jc w:val="thaiDistribute"/>
        <w:rPr>
          <w:rFonts w:ascii="Arial" w:hAnsi="Arial" w:cs="Arial"/>
          <w:color w:val="000000" w:themeColor="text1"/>
          <w:sz w:val="24"/>
          <w:szCs w:val="24"/>
        </w:rPr>
      </w:pPr>
      <w:r w:rsidRPr="00591845">
        <w:rPr>
          <w:rFonts w:ascii="Arial" w:hAnsi="Arial" w:cs="Arial"/>
          <w:color w:val="000000" w:themeColor="text1"/>
          <w:sz w:val="24"/>
          <w:szCs w:val="24"/>
        </w:rPr>
        <w:t xml:space="preserve">Tropical cyclones remain a major threat to Thailand’s coastal economies and natural resources. Data from the Thai Meteorological Department (2000–2024) indicates an annual average of 1.6 cyclones, peaking at three in specific years </w:t>
      </w:r>
      <w:r w:rsidRPr="00591845">
        <w:rPr>
          <w:rFonts w:ascii="Arial" w:hAnsi="Arial" w:cs="Arial"/>
          <w:b/>
          <w:bCs/>
          <w:color w:val="000000" w:themeColor="text1"/>
          <w:sz w:val="24"/>
          <w:szCs w:val="24"/>
        </w:rPr>
        <w:t>(Figure 2.17)</w:t>
      </w:r>
      <w:r w:rsidRPr="00591845">
        <w:rPr>
          <w:rFonts w:ascii="Arial" w:hAnsi="Arial" w:cs="Arial"/>
          <w:color w:val="000000" w:themeColor="text1"/>
          <w:sz w:val="24"/>
          <w:szCs w:val="24"/>
        </w:rPr>
        <w:t>. Although long-term frequency shows no clear increase, significant annual variation highlights climate uncertainty, demanding strong disaster response mechanisms to protect high-risk areas from storm surges.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2B58879A" w14:textId="77777777" w:rsidTr="0077565D">
        <w:tc>
          <w:tcPr>
            <w:tcW w:w="9027" w:type="dxa"/>
          </w:tcPr>
          <w:p w14:paraId="1CBD75AF" w14:textId="77777777" w:rsidR="00E75A83" w:rsidRPr="00B97B69" w:rsidRDefault="00E75A83" w:rsidP="00710A62">
            <w:pPr>
              <w:spacing w:line="360" w:lineRule="auto"/>
              <w:contextualSpacing/>
              <w:rPr>
                <w:rFonts w:ascii="Arial" w:hAnsi="Arial" w:cs="Arial"/>
                <w:iCs/>
                <w:color w:val="000000" w:themeColor="text1"/>
                <w:sz w:val="24"/>
                <w:szCs w:val="24"/>
              </w:rPr>
            </w:pPr>
            <w:r w:rsidRPr="00B97B69">
              <w:rPr>
                <w:rFonts w:ascii="Arial" w:hAnsi="Arial" w:cs="Arial"/>
                <w:iCs/>
                <w:noProof/>
                <w:color w:val="000000" w:themeColor="text1"/>
                <w:sz w:val="24"/>
                <w:szCs w:val="24"/>
              </w:rPr>
              <w:lastRenderedPageBreak/>
              <w:drawing>
                <wp:inline distT="0" distB="0" distL="0" distR="0" wp14:anchorId="3A08F83D" wp14:editId="0527FE07">
                  <wp:extent cx="5400000" cy="2273301"/>
                  <wp:effectExtent l="0" t="0" r="0" b="0"/>
                  <wp:docPr id="305834132"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00000" cy="2273301"/>
                          </a:xfrm>
                          <a:prstGeom prst="rect">
                            <a:avLst/>
                          </a:prstGeom>
                          <a:noFill/>
                        </pic:spPr>
                      </pic:pic>
                    </a:graphicData>
                  </a:graphic>
                </wp:inline>
              </w:drawing>
            </w:r>
          </w:p>
        </w:tc>
      </w:tr>
      <w:tr w:rsidR="00B7322E" w:rsidRPr="00B97B69" w14:paraId="68009ACB" w14:textId="77777777" w:rsidTr="0077565D">
        <w:tc>
          <w:tcPr>
            <w:tcW w:w="9027" w:type="dxa"/>
          </w:tcPr>
          <w:p w14:paraId="7E56EE4A" w14:textId="77777777" w:rsidR="00E75A83" w:rsidRPr="00B97B69" w:rsidRDefault="00E75A83" w:rsidP="00710A62">
            <w:pPr>
              <w:spacing w:line="360" w:lineRule="auto"/>
              <w:contextualSpacing/>
              <w:rPr>
                <w:rFonts w:ascii="Arial" w:hAnsi="Arial" w:cs="Arial"/>
                <w:iCs/>
                <w:color w:val="000000" w:themeColor="text1"/>
                <w:sz w:val="24"/>
                <w:szCs w:val="24"/>
              </w:rPr>
            </w:pPr>
          </w:p>
        </w:tc>
      </w:tr>
      <w:tr w:rsidR="00B7322E" w:rsidRPr="00B97B69" w14:paraId="6C3202E1" w14:textId="77777777" w:rsidTr="0077565D">
        <w:tc>
          <w:tcPr>
            <w:tcW w:w="9027" w:type="dxa"/>
          </w:tcPr>
          <w:p w14:paraId="7A3F5F25" w14:textId="74B8848F" w:rsidR="00E75A83" w:rsidRPr="00B97B69" w:rsidRDefault="00E75A83" w:rsidP="00710A62">
            <w:pPr>
              <w:spacing w:line="360" w:lineRule="auto"/>
              <w:contextualSpacing/>
              <w:jc w:val="center"/>
              <w:rPr>
                <w:rFonts w:ascii="Arial" w:hAnsi="Arial" w:cs="Arial"/>
                <w:iCs/>
                <w:color w:val="000000" w:themeColor="text1"/>
                <w:sz w:val="24"/>
                <w:szCs w:val="24"/>
              </w:rPr>
            </w:pPr>
            <w:r w:rsidRPr="00B97B69">
              <w:rPr>
                <w:rFonts w:ascii="Arial" w:hAnsi="Arial" w:cs="Arial"/>
                <w:b/>
                <w:bCs/>
                <w:iCs/>
                <w:color w:val="000000" w:themeColor="text1"/>
                <w:sz w:val="24"/>
                <w:szCs w:val="24"/>
              </w:rPr>
              <w:t>Figure 2.</w:t>
            </w:r>
            <w:r w:rsidR="00B242EA">
              <w:rPr>
                <w:rFonts w:ascii="Arial" w:hAnsi="Arial" w:cs="Arial"/>
                <w:b/>
                <w:bCs/>
                <w:iCs/>
                <w:color w:val="000000" w:themeColor="text1"/>
                <w:sz w:val="24"/>
                <w:szCs w:val="24"/>
              </w:rPr>
              <w:t>1</w:t>
            </w:r>
            <w:r w:rsidR="00A9351A">
              <w:rPr>
                <w:rFonts w:ascii="Arial" w:hAnsi="Arial" w:cs="Arial"/>
                <w:b/>
                <w:bCs/>
                <w:iCs/>
                <w:color w:val="000000" w:themeColor="text1"/>
                <w:sz w:val="24"/>
                <w:szCs w:val="24"/>
              </w:rPr>
              <w:t>7</w:t>
            </w:r>
            <w:r w:rsidRPr="00B97B69">
              <w:rPr>
                <w:rFonts w:ascii="Arial" w:hAnsi="Arial" w:cs="Arial"/>
                <w:iCs/>
                <w:color w:val="000000" w:themeColor="text1"/>
                <w:sz w:val="24"/>
                <w:szCs w:val="24"/>
              </w:rPr>
              <w:t xml:space="preserve"> Number of tropical cyclones per year of Thailand (2000-2024) from Thai Meteorological Department (TMD) and EM-DAT</w:t>
            </w:r>
          </w:p>
        </w:tc>
      </w:tr>
    </w:tbl>
    <w:p w14:paraId="55A55611" w14:textId="77777777" w:rsidR="00E75A83" w:rsidRPr="00B97B69" w:rsidRDefault="00E75A83" w:rsidP="00710A62">
      <w:pP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11" w:name="_Hlk213614065"/>
      <w:r w:rsidRPr="00B97B69">
        <w:rPr>
          <w:rFonts w:ascii="Arial" w:hAnsi="Arial" w:cs="Arial"/>
          <w:color w:val="000000" w:themeColor="text1"/>
          <w:sz w:val="20"/>
          <w:szCs w:val="20"/>
        </w:rPr>
        <w:t xml:space="preserve">EM-DAT, CRED / </w:t>
      </w:r>
      <w:proofErr w:type="spellStart"/>
      <w:r w:rsidRPr="00B97B69">
        <w:rPr>
          <w:rFonts w:ascii="Arial" w:hAnsi="Arial" w:cs="Arial"/>
          <w:color w:val="000000" w:themeColor="text1"/>
          <w:sz w:val="20"/>
          <w:szCs w:val="20"/>
        </w:rPr>
        <w:t>UCLouvain</w:t>
      </w:r>
      <w:proofErr w:type="spellEnd"/>
      <w:r w:rsidRPr="00B97B69">
        <w:rPr>
          <w:rFonts w:ascii="Arial" w:hAnsi="Arial" w:cs="Arial"/>
          <w:color w:val="000000" w:themeColor="text1"/>
          <w:sz w:val="20"/>
          <w:szCs w:val="20"/>
        </w:rPr>
        <w:t>. 2025. </w:t>
      </w:r>
      <w:hyperlink r:id="rId70" w:history="1">
        <w:r w:rsidRPr="00B97B69">
          <w:rPr>
            <w:rStyle w:val="Hyperlink"/>
            <w:rFonts w:ascii="Arial" w:hAnsi="Arial" w:cs="Arial"/>
            <w:color w:val="000000" w:themeColor="text1"/>
            <w:sz w:val="20"/>
            <w:szCs w:val="20"/>
          </w:rPr>
          <w:t>www.emdat.be</w:t>
        </w:r>
      </w:hyperlink>
      <w:r w:rsidRPr="00B97B69">
        <w:rPr>
          <w:rFonts w:ascii="Arial" w:hAnsi="Arial" w:cs="Arial"/>
          <w:color w:val="000000" w:themeColor="text1"/>
          <w:sz w:val="20"/>
          <w:szCs w:val="20"/>
        </w:rPr>
        <w:t xml:space="preserve"> (Accessed 25 Jun 2025)</w:t>
      </w:r>
      <w:bookmarkEnd w:id="11"/>
      <w:r w:rsidRPr="00B97B69">
        <w:rPr>
          <w:rFonts w:ascii="Arial" w:hAnsi="Arial" w:cs="Arial"/>
          <w:color w:val="000000" w:themeColor="text1"/>
          <w:sz w:val="20"/>
          <w:szCs w:val="20"/>
        </w:rPr>
        <w:t xml:space="preserve">; </w:t>
      </w:r>
      <w:bookmarkStart w:id="12" w:name="_Hlk213614098"/>
      <w:r w:rsidRPr="00B97B69">
        <w:rPr>
          <w:rFonts w:ascii="Arial" w:hAnsi="Arial" w:cs="Arial"/>
          <w:color w:val="000000" w:themeColor="text1"/>
          <w:sz w:val="20"/>
          <w:szCs w:val="20"/>
        </w:rPr>
        <w:t>TMD. 2025. Tropical Cyclones in Thailand (1951-2024)</w:t>
      </w:r>
      <w:bookmarkEnd w:id="12"/>
      <w:r w:rsidRPr="00B97B69">
        <w:rPr>
          <w:rFonts w:ascii="Arial" w:hAnsi="Arial" w:cs="Arial"/>
          <w:color w:val="000000" w:themeColor="text1"/>
          <w:sz w:val="20"/>
          <w:szCs w:val="20"/>
        </w:rPr>
        <w:t xml:space="preserve">. </w:t>
      </w:r>
    </w:p>
    <w:p w14:paraId="42E3AC68" w14:textId="77777777" w:rsidR="00E75A83" w:rsidRPr="00B97B69" w:rsidRDefault="00E75A83" w:rsidP="00710A62">
      <w:pPr>
        <w:spacing w:after="0" w:line="360" w:lineRule="auto"/>
        <w:contextualSpacing/>
        <w:rPr>
          <w:rFonts w:ascii="Arial" w:hAnsi="Arial" w:cs="Arial"/>
          <w:color w:val="000000" w:themeColor="text1"/>
          <w:sz w:val="24"/>
          <w:szCs w:val="24"/>
        </w:rPr>
      </w:pPr>
    </w:p>
    <w:p w14:paraId="26D722B5" w14:textId="2D666E29" w:rsidR="00D02BA6" w:rsidRPr="004E7AFE" w:rsidRDefault="004E7AFE" w:rsidP="00552AB1">
      <w:pPr>
        <w:pBdr>
          <w:top w:val="nil"/>
          <w:left w:val="nil"/>
          <w:bottom w:val="nil"/>
          <w:right w:val="nil"/>
          <w:between w:val="nil"/>
        </w:pBdr>
        <w:spacing w:after="0" w:line="360" w:lineRule="auto"/>
        <w:contextualSpacing/>
        <w:jc w:val="both"/>
        <w:rPr>
          <w:rFonts w:ascii="Arial" w:hAnsi="Arial"/>
          <w:i/>
          <w:color w:val="000000" w:themeColor="text1"/>
          <w:sz w:val="24"/>
          <w:szCs w:val="24"/>
        </w:rPr>
      </w:pPr>
      <w:r w:rsidRPr="004E7AFE">
        <w:rPr>
          <w:rFonts w:ascii="Arial" w:hAnsi="Arial" w:cs="Arial"/>
          <w:iCs/>
          <w:color w:val="000000" w:themeColor="text1"/>
          <w:sz w:val="24"/>
          <w:szCs w:val="24"/>
        </w:rPr>
        <w:t xml:space="preserve">Although storm frequency has not steadily increased, human impact varies significantly. Data between 2000 and 2024 highlights this unpredictability, with death tolls surging to 45 in 2024 and exceeding 10 in 2005 and 2020, in sharp contrast to years like 2008 and 2017 with zero recorded deaths </w:t>
      </w:r>
      <w:r w:rsidRPr="004E7AFE">
        <w:rPr>
          <w:rFonts w:ascii="Arial" w:hAnsi="Arial" w:cs="Arial"/>
          <w:b/>
          <w:bCs/>
          <w:iCs/>
          <w:color w:val="000000" w:themeColor="text1"/>
          <w:sz w:val="24"/>
          <w:szCs w:val="24"/>
        </w:rPr>
        <w:t>(Figure 2.18)</w:t>
      </w:r>
      <w:r w:rsidRPr="004E7AFE">
        <w:rPr>
          <w:rFonts w:ascii="Arial" w:hAnsi="Arial" w:cs="Arial"/>
          <w:iCs/>
          <w:color w:val="000000" w:themeColor="text1"/>
          <w:sz w:val="24"/>
          <w:szCs w:val="24"/>
        </w:rPr>
        <w:t>. These contrasts expose the fragility of low-lying coastal areas, reinforcing the urgent need for effective early warning systems and community-based risk reduction to minimize fatalities</w:t>
      </w:r>
      <w:r>
        <w:rPr>
          <w:rFonts w:ascii="Arial" w:hAnsi="Arial" w:cs="Arial"/>
          <w:iCs/>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68795DEF" w14:textId="77777777" w:rsidTr="0031702B">
        <w:tc>
          <w:tcPr>
            <w:tcW w:w="9350" w:type="dxa"/>
          </w:tcPr>
          <w:p w14:paraId="2203023B" w14:textId="77777777" w:rsidR="00E75A83" w:rsidRPr="00B97B69" w:rsidRDefault="00E75A83" w:rsidP="00710A62">
            <w:pPr>
              <w:spacing w:line="360" w:lineRule="auto"/>
              <w:contextualSpacing/>
              <w:jc w:val="center"/>
              <w:rPr>
                <w:rFonts w:ascii="Arial" w:hAnsi="Arial" w:cs="Arial"/>
                <w:iCs/>
                <w:color w:val="000000" w:themeColor="text1"/>
                <w:sz w:val="24"/>
                <w:szCs w:val="24"/>
              </w:rPr>
            </w:pPr>
            <w:r w:rsidRPr="00B97B69">
              <w:rPr>
                <w:rFonts w:ascii="Arial" w:hAnsi="Arial" w:cs="Arial"/>
                <w:iCs/>
                <w:noProof/>
                <w:color w:val="000000" w:themeColor="text1"/>
                <w:sz w:val="24"/>
                <w:szCs w:val="24"/>
              </w:rPr>
              <w:drawing>
                <wp:inline distT="0" distB="0" distL="0" distR="0" wp14:anchorId="6A48F90E" wp14:editId="0C8775DD">
                  <wp:extent cx="4731328" cy="2518953"/>
                  <wp:effectExtent l="0" t="0" r="0" b="0"/>
                  <wp:docPr id="46112890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740872" cy="2524034"/>
                          </a:xfrm>
                          <a:prstGeom prst="rect">
                            <a:avLst/>
                          </a:prstGeom>
                          <a:noFill/>
                        </pic:spPr>
                      </pic:pic>
                    </a:graphicData>
                  </a:graphic>
                </wp:inline>
              </w:drawing>
            </w:r>
          </w:p>
        </w:tc>
      </w:tr>
      <w:tr w:rsidR="00B7322E" w:rsidRPr="00B97B69" w14:paraId="3BA0D44C" w14:textId="77777777" w:rsidTr="0031702B">
        <w:tc>
          <w:tcPr>
            <w:tcW w:w="9350" w:type="dxa"/>
          </w:tcPr>
          <w:p w14:paraId="13158520" w14:textId="77777777" w:rsidR="00E75A83" w:rsidRPr="00B97B69" w:rsidRDefault="00E75A83" w:rsidP="00710A62">
            <w:pPr>
              <w:spacing w:line="360" w:lineRule="auto"/>
              <w:contextualSpacing/>
              <w:rPr>
                <w:rFonts w:ascii="Arial" w:hAnsi="Arial" w:cs="Arial"/>
                <w:iCs/>
                <w:color w:val="000000" w:themeColor="text1"/>
                <w:sz w:val="24"/>
                <w:szCs w:val="24"/>
              </w:rPr>
            </w:pPr>
          </w:p>
        </w:tc>
      </w:tr>
      <w:tr w:rsidR="00B7322E" w:rsidRPr="00B97B69" w14:paraId="45884D2A" w14:textId="77777777" w:rsidTr="0031702B">
        <w:tc>
          <w:tcPr>
            <w:tcW w:w="9350" w:type="dxa"/>
          </w:tcPr>
          <w:p w14:paraId="23FD3FE0" w14:textId="5D23F268" w:rsidR="00E75A83" w:rsidRPr="00B97B69" w:rsidRDefault="00E75A83" w:rsidP="00710A62">
            <w:pPr>
              <w:spacing w:line="360" w:lineRule="auto"/>
              <w:contextualSpacing/>
              <w:jc w:val="center"/>
              <w:rPr>
                <w:rFonts w:ascii="Arial" w:hAnsi="Arial" w:cs="Arial"/>
                <w:iCs/>
                <w:color w:val="000000" w:themeColor="text1"/>
                <w:spacing w:val="-6"/>
                <w:sz w:val="24"/>
                <w:szCs w:val="24"/>
              </w:rPr>
            </w:pPr>
            <w:r w:rsidRPr="00B97B69">
              <w:rPr>
                <w:rFonts w:ascii="Arial" w:hAnsi="Arial" w:cs="Arial"/>
                <w:b/>
                <w:bCs/>
                <w:iCs/>
                <w:color w:val="000000" w:themeColor="text1"/>
                <w:spacing w:val="-6"/>
                <w:sz w:val="24"/>
                <w:szCs w:val="24"/>
              </w:rPr>
              <w:t>Figure 2.</w:t>
            </w:r>
            <w:r w:rsidR="00A9351A">
              <w:rPr>
                <w:rFonts w:ascii="Arial" w:hAnsi="Arial" w:cs="Arial"/>
                <w:b/>
                <w:bCs/>
                <w:iCs/>
                <w:color w:val="000000" w:themeColor="text1"/>
                <w:spacing w:val="-6"/>
                <w:sz w:val="24"/>
                <w:szCs w:val="24"/>
              </w:rPr>
              <w:t>18</w:t>
            </w:r>
            <w:r w:rsidRPr="00B97B69">
              <w:rPr>
                <w:rFonts w:ascii="Arial" w:hAnsi="Arial" w:cs="Arial"/>
                <w:iCs/>
                <w:color w:val="000000" w:themeColor="text1"/>
                <w:spacing w:val="-6"/>
                <w:sz w:val="24"/>
                <w:szCs w:val="24"/>
              </w:rPr>
              <w:t xml:space="preserve"> Number of deaths from tropical cyclones per year of Thailand (2000-2024)</w:t>
            </w:r>
          </w:p>
        </w:tc>
      </w:tr>
    </w:tbl>
    <w:p w14:paraId="19052777" w14:textId="77777777" w:rsidR="00E75A83" w:rsidRPr="00B97B69" w:rsidRDefault="00E75A83" w:rsidP="00710A62">
      <w:pP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w:t>
      </w:r>
      <w:bookmarkStart w:id="13" w:name="_Hlk213614346"/>
      <w:r w:rsidRPr="00B97B69">
        <w:rPr>
          <w:rFonts w:ascii="Arial" w:hAnsi="Arial" w:cs="Arial"/>
          <w:color w:val="000000" w:themeColor="text1"/>
          <w:sz w:val="20"/>
          <w:szCs w:val="20"/>
        </w:rPr>
        <w:t xml:space="preserve">EM-DAT, CRED / </w:t>
      </w:r>
      <w:proofErr w:type="spellStart"/>
      <w:r w:rsidRPr="00B97B69">
        <w:rPr>
          <w:rFonts w:ascii="Arial" w:hAnsi="Arial" w:cs="Arial"/>
          <w:color w:val="000000" w:themeColor="text1"/>
          <w:sz w:val="20"/>
          <w:szCs w:val="20"/>
        </w:rPr>
        <w:t>UCLouvain</w:t>
      </w:r>
      <w:proofErr w:type="spellEnd"/>
      <w:r w:rsidRPr="00B97B69">
        <w:rPr>
          <w:rFonts w:ascii="Arial" w:hAnsi="Arial" w:cs="Arial"/>
          <w:color w:val="000000" w:themeColor="text1"/>
          <w:sz w:val="20"/>
          <w:szCs w:val="20"/>
        </w:rPr>
        <w:t>. 2025. </w:t>
      </w:r>
      <w:hyperlink r:id="rId72" w:history="1">
        <w:r w:rsidRPr="00B97B69">
          <w:rPr>
            <w:rStyle w:val="Hyperlink"/>
            <w:rFonts w:ascii="Arial" w:hAnsi="Arial" w:cs="Arial"/>
            <w:color w:val="000000" w:themeColor="text1"/>
            <w:sz w:val="20"/>
            <w:szCs w:val="20"/>
          </w:rPr>
          <w:t>www.emdat.be</w:t>
        </w:r>
      </w:hyperlink>
      <w:r w:rsidRPr="00B97B69">
        <w:rPr>
          <w:rFonts w:ascii="Arial" w:hAnsi="Arial" w:cs="Arial"/>
          <w:color w:val="000000" w:themeColor="text1"/>
          <w:sz w:val="20"/>
          <w:szCs w:val="20"/>
        </w:rPr>
        <w:t xml:space="preserve"> (Accessed 25 Jun 2025) </w:t>
      </w:r>
      <w:bookmarkEnd w:id="13"/>
    </w:p>
    <w:p w14:paraId="75C7C696" w14:textId="77777777" w:rsidR="00E75A83" w:rsidRPr="00B97B69" w:rsidRDefault="00E75A83" w:rsidP="00710A62">
      <w:pPr>
        <w:pBdr>
          <w:top w:val="nil"/>
          <w:left w:val="nil"/>
          <w:bottom w:val="nil"/>
          <w:right w:val="nil"/>
          <w:between w:val="nil"/>
        </w:pBdr>
        <w:spacing w:after="0" w:line="360" w:lineRule="auto"/>
        <w:contextualSpacing/>
        <w:rPr>
          <w:rFonts w:ascii="Arial" w:hAnsi="Arial" w:cs="Arial"/>
          <w:iCs/>
          <w:color w:val="000000" w:themeColor="text1"/>
          <w:sz w:val="24"/>
          <w:szCs w:val="24"/>
        </w:rPr>
      </w:pPr>
    </w:p>
    <w:p w14:paraId="69A88395" w14:textId="153E6919" w:rsidR="00E75A83" w:rsidRDefault="000153B9" w:rsidP="00710A62">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0153B9">
        <w:rPr>
          <w:rFonts w:ascii="Arial" w:hAnsi="Arial" w:cs="Arial"/>
          <w:color w:val="000000" w:themeColor="text1"/>
          <w:sz w:val="24"/>
          <w:szCs w:val="24"/>
        </w:rPr>
        <w:t xml:space="preserve">Data on cyclone-related damages in Thailand (2005–2024) reveal significant annual variation. Losses ranged from USD 20 million in 2005 (USD 32.1 million adjusted) and a minor USD 561,000 in 2015 (USD 742,000 adjusted) to a peak of USD 904 million in 2024 </w:t>
      </w:r>
      <w:r w:rsidRPr="000153B9">
        <w:rPr>
          <w:rFonts w:ascii="Arial" w:hAnsi="Arial" w:cs="Arial"/>
          <w:b/>
          <w:bCs/>
          <w:color w:val="000000" w:themeColor="text1"/>
          <w:sz w:val="24"/>
          <w:szCs w:val="24"/>
        </w:rPr>
        <w:t>(Figure 2.19)</w:t>
      </w:r>
      <w:r w:rsidRPr="000153B9">
        <w:rPr>
          <w:rFonts w:ascii="Arial" w:hAnsi="Arial" w:cs="Arial"/>
          <w:color w:val="000000" w:themeColor="text1"/>
          <w:sz w:val="24"/>
          <w:szCs w:val="24"/>
        </w:rPr>
        <w:t>.</w:t>
      </w:r>
    </w:p>
    <w:p w14:paraId="591B4B4A" w14:textId="77777777" w:rsidR="000153B9" w:rsidRPr="00B97B69" w:rsidRDefault="000153B9" w:rsidP="00710A62">
      <w:pPr>
        <w:pBdr>
          <w:top w:val="nil"/>
          <w:left w:val="nil"/>
          <w:bottom w:val="nil"/>
          <w:right w:val="nil"/>
          <w:between w:val="nil"/>
        </w:pBdr>
        <w:spacing w:after="0" w:line="360" w:lineRule="auto"/>
        <w:contextualSpacing/>
        <w:rPr>
          <w:rFonts w:ascii="Arial" w:hAnsi="Arial" w:cs="Arial"/>
          <w:b/>
          <w:bCs/>
          <w:i/>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B7322E" w:rsidRPr="00B97B69" w14:paraId="4DACAD3C" w14:textId="77777777" w:rsidTr="0031702B">
        <w:trPr>
          <w:jc w:val="center"/>
        </w:trPr>
        <w:tc>
          <w:tcPr>
            <w:tcW w:w="9350" w:type="dxa"/>
          </w:tcPr>
          <w:p w14:paraId="00CCD8FA" w14:textId="77777777" w:rsidR="00E75A83" w:rsidRPr="00B97B69" w:rsidRDefault="00E75A83" w:rsidP="00710A62">
            <w:pPr>
              <w:spacing w:line="360" w:lineRule="auto"/>
              <w:contextualSpacing/>
              <w:jc w:val="center"/>
              <w:rPr>
                <w:rFonts w:ascii="Arial" w:hAnsi="Arial" w:cs="Arial"/>
                <w:iCs/>
                <w:color w:val="000000" w:themeColor="text1"/>
                <w:sz w:val="24"/>
                <w:szCs w:val="24"/>
              </w:rPr>
            </w:pPr>
            <w:r w:rsidRPr="00B97B69">
              <w:rPr>
                <w:rFonts w:ascii="Arial" w:hAnsi="Arial" w:cs="Arial"/>
                <w:iCs/>
                <w:noProof/>
                <w:color w:val="000000" w:themeColor="text1"/>
                <w:sz w:val="24"/>
                <w:szCs w:val="24"/>
              </w:rPr>
              <w:drawing>
                <wp:inline distT="0" distB="0" distL="0" distR="0" wp14:anchorId="43C168B7" wp14:editId="6DDB0E9E">
                  <wp:extent cx="4565073" cy="2074133"/>
                  <wp:effectExtent l="0" t="0" r="6985" b="2540"/>
                  <wp:docPr id="9722117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574714" cy="2078513"/>
                          </a:xfrm>
                          <a:prstGeom prst="rect">
                            <a:avLst/>
                          </a:prstGeom>
                          <a:noFill/>
                        </pic:spPr>
                      </pic:pic>
                    </a:graphicData>
                  </a:graphic>
                </wp:inline>
              </w:drawing>
            </w:r>
          </w:p>
        </w:tc>
      </w:tr>
      <w:tr w:rsidR="00B7322E" w:rsidRPr="00B97B69" w14:paraId="3D0E860C" w14:textId="77777777" w:rsidTr="0031702B">
        <w:trPr>
          <w:jc w:val="center"/>
        </w:trPr>
        <w:tc>
          <w:tcPr>
            <w:tcW w:w="9350" w:type="dxa"/>
          </w:tcPr>
          <w:p w14:paraId="747EBC66" w14:textId="77777777" w:rsidR="00E75A83" w:rsidRPr="00B97B69" w:rsidRDefault="00E75A83" w:rsidP="00710A62">
            <w:pPr>
              <w:spacing w:line="360" w:lineRule="auto"/>
              <w:contextualSpacing/>
              <w:rPr>
                <w:rFonts w:ascii="Arial" w:hAnsi="Arial" w:cs="Arial"/>
                <w:iCs/>
                <w:color w:val="000000" w:themeColor="text1"/>
                <w:sz w:val="24"/>
                <w:szCs w:val="24"/>
              </w:rPr>
            </w:pPr>
          </w:p>
        </w:tc>
      </w:tr>
      <w:tr w:rsidR="00B7322E" w:rsidRPr="00B97B69" w14:paraId="6BF41CE0" w14:textId="77777777" w:rsidTr="0031702B">
        <w:trPr>
          <w:jc w:val="center"/>
        </w:trPr>
        <w:tc>
          <w:tcPr>
            <w:tcW w:w="9350" w:type="dxa"/>
          </w:tcPr>
          <w:p w14:paraId="713950E6" w14:textId="6AD37872" w:rsidR="00E75A83" w:rsidRPr="00B97B69" w:rsidRDefault="00E75A83" w:rsidP="00710A62">
            <w:pPr>
              <w:spacing w:line="360" w:lineRule="auto"/>
              <w:contextualSpacing/>
              <w:jc w:val="center"/>
              <w:rPr>
                <w:rFonts w:ascii="Arial" w:hAnsi="Arial" w:cs="Arial"/>
                <w:iCs/>
                <w:color w:val="000000" w:themeColor="text1"/>
                <w:sz w:val="24"/>
                <w:szCs w:val="24"/>
              </w:rPr>
            </w:pPr>
            <w:r w:rsidRPr="00B97B69">
              <w:rPr>
                <w:rFonts w:ascii="Arial" w:hAnsi="Arial" w:cs="Arial"/>
                <w:b/>
                <w:bCs/>
                <w:iCs/>
                <w:color w:val="000000" w:themeColor="text1"/>
                <w:sz w:val="24"/>
                <w:szCs w:val="24"/>
              </w:rPr>
              <w:t>Figure 2.</w:t>
            </w:r>
            <w:r w:rsidR="00A9351A">
              <w:rPr>
                <w:rFonts w:ascii="Arial" w:hAnsi="Arial" w:cs="Arial"/>
                <w:b/>
                <w:bCs/>
                <w:iCs/>
                <w:color w:val="000000" w:themeColor="text1"/>
                <w:sz w:val="24"/>
                <w:szCs w:val="24"/>
              </w:rPr>
              <w:t>19</w:t>
            </w:r>
            <w:r w:rsidRPr="00B97B69">
              <w:rPr>
                <w:rFonts w:ascii="Arial" w:hAnsi="Arial" w:cs="Arial"/>
                <w:iCs/>
                <w:color w:val="000000" w:themeColor="text1"/>
                <w:sz w:val="24"/>
                <w:szCs w:val="24"/>
              </w:rPr>
              <w:t xml:space="preserve"> Total damage and total damage (adjusted)</w:t>
            </w:r>
          </w:p>
          <w:p w14:paraId="3EE17FE4" w14:textId="77777777" w:rsidR="00E75A83" w:rsidRPr="00B97B69" w:rsidRDefault="00E75A83" w:rsidP="00710A62">
            <w:pPr>
              <w:spacing w:line="360" w:lineRule="auto"/>
              <w:contextualSpacing/>
              <w:jc w:val="center"/>
              <w:rPr>
                <w:rFonts w:ascii="Arial" w:hAnsi="Arial" w:cs="Arial"/>
                <w:iCs/>
                <w:color w:val="000000" w:themeColor="text1"/>
                <w:sz w:val="24"/>
                <w:szCs w:val="24"/>
                <w:cs/>
              </w:rPr>
            </w:pPr>
            <w:r w:rsidRPr="00B97B69">
              <w:rPr>
                <w:rFonts w:ascii="Arial" w:hAnsi="Arial" w:cs="Arial"/>
                <w:iCs/>
                <w:color w:val="000000" w:themeColor="text1"/>
                <w:sz w:val="24"/>
                <w:szCs w:val="24"/>
              </w:rPr>
              <w:t>due to tropical cyclones of Thailand (2000-2024)</w:t>
            </w:r>
          </w:p>
        </w:tc>
      </w:tr>
    </w:tbl>
    <w:p w14:paraId="0F04AF6B" w14:textId="77777777" w:rsidR="00E75A83" w:rsidRPr="00B97B69" w:rsidRDefault="00E75A83" w:rsidP="00710A62">
      <w:pPr>
        <w:spacing w:after="0" w:line="360" w:lineRule="auto"/>
        <w:contextualSpacing/>
        <w:jc w:val="center"/>
        <w:rPr>
          <w:rFonts w:ascii="Arial" w:hAnsi="Arial" w:cs="Arial"/>
          <w:color w:val="000000" w:themeColor="text1"/>
          <w:sz w:val="20"/>
          <w:szCs w:val="20"/>
        </w:rPr>
      </w:pPr>
      <w:r w:rsidRPr="00B97B69">
        <w:rPr>
          <w:rFonts w:ascii="Arial" w:hAnsi="Arial" w:cs="Arial"/>
          <w:color w:val="000000" w:themeColor="text1"/>
          <w:sz w:val="20"/>
          <w:szCs w:val="20"/>
        </w:rPr>
        <w:t xml:space="preserve">Source: EM-DAT, CRED / </w:t>
      </w:r>
      <w:proofErr w:type="spellStart"/>
      <w:r w:rsidRPr="00B97B69">
        <w:rPr>
          <w:rFonts w:ascii="Arial" w:hAnsi="Arial" w:cs="Arial"/>
          <w:color w:val="000000" w:themeColor="text1"/>
          <w:sz w:val="20"/>
          <w:szCs w:val="20"/>
        </w:rPr>
        <w:t>UCLouvain</w:t>
      </w:r>
      <w:proofErr w:type="spellEnd"/>
      <w:r w:rsidRPr="00B97B69">
        <w:rPr>
          <w:rFonts w:ascii="Arial" w:hAnsi="Arial" w:cs="Arial"/>
          <w:color w:val="000000" w:themeColor="text1"/>
          <w:sz w:val="20"/>
          <w:szCs w:val="20"/>
        </w:rPr>
        <w:t>. 2025. </w:t>
      </w:r>
      <w:hyperlink r:id="rId74" w:history="1">
        <w:r w:rsidRPr="00B97B69">
          <w:rPr>
            <w:rStyle w:val="Hyperlink"/>
            <w:rFonts w:ascii="Arial" w:hAnsi="Arial" w:cs="Arial"/>
            <w:color w:val="000000" w:themeColor="text1"/>
            <w:sz w:val="20"/>
            <w:szCs w:val="20"/>
          </w:rPr>
          <w:t>www.emdat.be</w:t>
        </w:r>
      </w:hyperlink>
      <w:r w:rsidRPr="00B97B69">
        <w:rPr>
          <w:rFonts w:ascii="Arial" w:hAnsi="Arial" w:cs="Arial"/>
          <w:color w:val="000000" w:themeColor="text1"/>
          <w:sz w:val="20"/>
          <w:szCs w:val="20"/>
        </w:rPr>
        <w:t xml:space="preserve"> (Accessed 25 Jun 2025)</w:t>
      </w:r>
    </w:p>
    <w:p w14:paraId="05DA997B" w14:textId="77777777" w:rsidR="001D5363" w:rsidRDefault="001D5363" w:rsidP="00710A62">
      <w:pPr>
        <w:spacing w:after="0" w:line="360" w:lineRule="auto"/>
        <w:contextualSpacing/>
        <w:rPr>
          <w:rFonts w:ascii="Arial" w:hAnsi="Arial" w:cs="Arial"/>
          <w:b/>
          <w:bCs/>
          <w:color w:val="000000" w:themeColor="text1"/>
          <w:sz w:val="24"/>
          <w:szCs w:val="24"/>
        </w:rPr>
      </w:pPr>
    </w:p>
    <w:p w14:paraId="41CA6108" w14:textId="39CCEE31" w:rsidR="00E75A83" w:rsidRPr="00B97B69" w:rsidRDefault="00E75A83" w:rsidP="00710A62">
      <w:pPr>
        <w:spacing w:after="0" w:line="360" w:lineRule="auto"/>
        <w:contextualSpacing/>
        <w:rPr>
          <w:rFonts w:ascii="Arial" w:hAnsi="Arial"/>
          <w:b/>
          <w:bCs/>
          <w:color w:val="000000" w:themeColor="text1"/>
          <w:sz w:val="24"/>
          <w:szCs w:val="24"/>
          <w:cs/>
        </w:rPr>
      </w:pPr>
      <w:r w:rsidRPr="00B97B69">
        <w:rPr>
          <w:rFonts w:ascii="Arial" w:hAnsi="Arial" w:cs="Arial"/>
          <w:b/>
          <w:bCs/>
          <w:color w:val="000000" w:themeColor="text1"/>
          <w:sz w:val="24"/>
          <w:szCs w:val="24"/>
        </w:rPr>
        <w:t>2.3 Discussion and conclusions</w:t>
      </w:r>
    </w:p>
    <w:p w14:paraId="0BF93C7D" w14:textId="77777777" w:rsidR="00E75A83" w:rsidRPr="00B97B69" w:rsidRDefault="00E75A83" w:rsidP="00710A62">
      <w:pPr>
        <w:spacing w:after="0" w:line="360" w:lineRule="auto"/>
        <w:contextualSpacing/>
        <w:rPr>
          <w:rFonts w:ascii="Arial" w:hAnsi="Arial" w:cs="Arial"/>
          <w:b/>
          <w:bCs/>
          <w:color w:val="000000" w:themeColor="text1"/>
          <w:sz w:val="24"/>
          <w:szCs w:val="24"/>
        </w:rPr>
      </w:pPr>
    </w:p>
    <w:p w14:paraId="73922CF2" w14:textId="43CBA6AE" w:rsidR="00E75A83" w:rsidRPr="00B97B69" w:rsidRDefault="00E75A83" w:rsidP="00710A62">
      <w:pP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2.3.1 Risk assessment from socioeconomic trend</w:t>
      </w:r>
      <w:r w:rsidR="00180E02">
        <w:rPr>
          <w:rFonts w:ascii="Arial" w:hAnsi="Arial" w:cs="Arial"/>
          <w:b/>
          <w:bCs/>
          <w:color w:val="000000" w:themeColor="text1"/>
          <w:sz w:val="24"/>
          <w:szCs w:val="24"/>
        </w:rPr>
        <w:t>s</w:t>
      </w:r>
    </w:p>
    <w:p w14:paraId="54F00B0B" w14:textId="26B703CB" w:rsidR="00767928" w:rsidRDefault="00785D80" w:rsidP="00710A62">
      <w:pPr>
        <w:spacing w:after="0" w:line="360" w:lineRule="auto"/>
        <w:contextualSpacing/>
        <w:jc w:val="thaiDistribute"/>
        <w:rPr>
          <w:rFonts w:ascii="Arial" w:hAnsi="Arial" w:cs="Arial"/>
          <w:color w:val="000000" w:themeColor="text1"/>
          <w:sz w:val="24"/>
          <w:szCs w:val="24"/>
        </w:rPr>
      </w:pPr>
      <w:bookmarkStart w:id="14" w:name="_Hlk213348490"/>
      <w:r w:rsidRPr="00785D80">
        <w:rPr>
          <w:rFonts w:ascii="Arial" w:hAnsi="Arial" w:cs="Arial"/>
          <w:color w:val="000000" w:themeColor="text1"/>
          <w:sz w:val="24"/>
          <w:szCs w:val="24"/>
        </w:rPr>
        <w:t>For sustainable management, a Composite Risk Index (CRI) was established to quantify risk across 17 Gulf of Thailand provinces based on the DPSIR framework (EEA, 1999; Kristensen, 2004). Calculated as CRI = 0.5×PI + 0.5×VI, the index equally weights Pressure (PI) and Vulnerability (VI). The PI aggregates three socioeconomic drivers: population dynamics (2000–2020), current population density (2020), and economic pressure derived from gross provincial product (</w:t>
      </w:r>
      <w:r w:rsidR="00DD4683">
        <w:rPr>
          <w:rFonts w:ascii="Arial" w:hAnsi="Arial" w:cs="Arial"/>
          <w:color w:val="000000" w:themeColor="text1"/>
          <w:sz w:val="24"/>
          <w:szCs w:val="24"/>
        </w:rPr>
        <w:t>2000-2020</w:t>
      </w:r>
      <w:r w:rsidRPr="00785D80">
        <w:rPr>
          <w:rFonts w:ascii="Arial" w:hAnsi="Arial" w:cs="Arial"/>
          <w:color w:val="000000" w:themeColor="text1"/>
          <w:sz w:val="24"/>
          <w:szCs w:val="24"/>
        </w:rPr>
        <w:t>). The VI averages social sensitivity proxies: changes in poverty headcount and gender ratio imbalance (2000–2020). All indicators are normalized to a [0,1] scale. Notably, critical physical exposure variables such as elevation metrics and tropical cyclone statistics were excluded due to a lack of provincial resolution, ensuring the index remains spatially consistent and comparable across all provinces.</w:t>
      </w:r>
    </w:p>
    <w:bookmarkEnd w:id="14"/>
    <w:p w14:paraId="4EFD5656" w14:textId="658083C6" w:rsidR="008C1B5C" w:rsidRDefault="00785D80" w:rsidP="00710A62">
      <w:pPr>
        <w:spacing w:after="0" w:line="360" w:lineRule="auto"/>
        <w:contextualSpacing/>
        <w:jc w:val="thaiDistribute"/>
        <w:rPr>
          <w:rFonts w:ascii="Arial" w:hAnsi="Arial" w:cs="Arial"/>
          <w:color w:val="000000" w:themeColor="text1"/>
          <w:sz w:val="24"/>
          <w:szCs w:val="24"/>
        </w:rPr>
      </w:pPr>
      <w:r w:rsidRPr="00785D80">
        <w:rPr>
          <w:rFonts w:ascii="Arial" w:hAnsi="Arial" w:cs="Arial"/>
          <w:color w:val="000000" w:themeColor="text1"/>
          <w:sz w:val="24"/>
          <w:szCs w:val="24"/>
        </w:rPr>
        <w:lastRenderedPageBreak/>
        <w:t>The 'Risk intensity' format (</w:t>
      </w:r>
      <w:proofErr w:type="spellStart"/>
      <w:r w:rsidRPr="00785D80">
        <w:rPr>
          <w:rFonts w:ascii="Arial" w:hAnsi="Arial" w:cs="Arial"/>
          <w:color w:val="000000" w:themeColor="text1"/>
          <w:sz w:val="24"/>
          <w:szCs w:val="24"/>
        </w:rPr>
        <w:t>CRI_Unweighted</w:t>
      </w:r>
      <w:proofErr w:type="spellEnd"/>
      <w:r w:rsidRPr="00785D80">
        <w:rPr>
          <w:rFonts w:ascii="Arial" w:hAnsi="Arial" w:cs="Arial"/>
          <w:color w:val="000000" w:themeColor="text1"/>
          <w:sz w:val="24"/>
          <w:szCs w:val="24"/>
        </w:rPr>
        <w:t>) measures severity independent of physical size, identifying Bangkok (</w:t>
      </w:r>
      <w:r w:rsidR="00250CC0">
        <w:rPr>
          <w:rFonts w:ascii="Arial" w:hAnsi="Arial"/>
          <w:color w:val="000000" w:themeColor="text1"/>
          <w:sz w:val="24"/>
          <w:szCs w:val="24"/>
        </w:rPr>
        <w:t>0.</w:t>
      </w:r>
      <w:r w:rsidR="002A520F">
        <w:rPr>
          <w:rFonts w:ascii="Arial" w:hAnsi="Arial"/>
          <w:color w:val="000000" w:themeColor="text1"/>
          <w:sz w:val="24"/>
          <w:szCs w:val="24"/>
        </w:rPr>
        <w:t>646</w:t>
      </w:r>
      <w:r w:rsidRPr="00785D80">
        <w:rPr>
          <w:rFonts w:ascii="Arial" w:hAnsi="Arial" w:cs="Arial"/>
          <w:color w:val="000000" w:themeColor="text1"/>
          <w:sz w:val="24"/>
          <w:szCs w:val="24"/>
        </w:rPr>
        <w:t>),</w:t>
      </w:r>
      <w:r w:rsidR="00250CC0" w:rsidRPr="00250CC0">
        <w:rPr>
          <w:rFonts w:ascii="Arial" w:hAnsi="Arial" w:cs="Arial"/>
          <w:color w:val="000000" w:themeColor="text1"/>
          <w:sz w:val="24"/>
          <w:szCs w:val="24"/>
        </w:rPr>
        <w:t xml:space="preserve"> </w:t>
      </w:r>
      <w:r w:rsidR="002A520F" w:rsidRPr="00785D80">
        <w:rPr>
          <w:rFonts w:ascii="Arial" w:hAnsi="Arial" w:cs="Arial"/>
          <w:color w:val="000000" w:themeColor="text1"/>
          <w:sz w:val="24"/>
          <w:szCs w:val="24"/>
        </w:rPr>
        <w:t>Samut Songkhram (0.</w:t>
      </w:r>
      <w:r w:rsidR="002A520F">
        <w:rPr>
          <w:rFonts w:ascii="Arial" w:hAnsi="Arial" w:cs="Arial"/>
          <w:color w:val="000000" w:themeColor="text1"/>
          <w:sz w:val="24"/>
          <w:szCs w:val="24"/>
        </w:rPr>
        <w:t>538</w:t>
      </w:r>
      <w:r w:rsidR="002A520F" w:rsidRPr="00785D80">
        <w:rPr>
          <w:rFonts w:ascii="Arial" w:hAnsi="Arial" w:cs="Arial"/>
          <w:color w:val="000000" w:themeColor="text1"/>
          <w:sz w:val="24"/>
          <w:szCs w:val="24"/>
        </w:rPr>
        <w:t>)</w:t>
      </w:r>
      <w:r w:rsidR="002A520F">
        <w:rPr>
          <w:rFonts w:ascii="Arial" w:hAnsi="Arial" w:cs="Arial"/>
          <w:color w:val="000000" w:themeColor="text1"/>
          <w:sz w:val="24"/>
          <w:szCs w:val="24"/>
        </w:rPr>
        <w:t xml:space="preserve">, and </w:t>
      </w:r>
      <w:r w:rsidR="00250CC0" w:rsidRPr="00785D80">
        <w:rPr>
          <w:rFonts w:ascii="Arial" w:hAnsi="Arial" w:cs="Arial"/>
          <w:color w:val="000000" w:themeColor="text1"/>
          <w:sz w:val="24"/>
          <w:szCs w:val="24"/>
        </w:rPr>
        <w:t>Samut Prakan (0.</w:t>
      </w:r>
      <w:r w:rsidR="002A520F">
        <w:rPr>
          <w:rFonts w:ascii="Arial" w:hAnsi="Arial" w:cs="Arial"/>
          <w:color w:val="000000" w:themeColor="text1"/>
          <w:sz w:val="24"/>
          <w:szCs w:val="24"/>
        </w:rPr>
        <w:t>419</w:t>
      </w:r>
      <w:r w:rsidR="00250CC0" w:rsidRPr="00785D80">
        <w:rPr>
          <w:rFonts w:ascii="Arial" w:hAnsi="Arial" w:cs="Arial"/>
          <w:color w:val="000000" w:themeColor="text1"/>
          <w:sz w:val="24"/>
          <w:szCs w:val="24"/>
        </w:rPr>
        <w:t xml:space="preserve">) </w:t>
      </w:r>
      <w:r w:rsidRPr="00785D80">
        <w:rPr>
          <w:rFonts w:ascii="Arial" w:hAnsi="Arial" w:cs="Arial"/>
          <w:color w:val="000000" w:themeColor="text1"/>
          <w:sz w:val="24"/>
          <w:szCs w:val="24"/>
        </w:rPr>
        <w:t xml:space="preserve">as highest-risk </w:t>
      </w:r>
      <w:r w:rsidRPr="00785D80">
        <w:rPr>
          <w:rFonts w:ascii="Arial" w:hAnsi="Arial" w:cs="Arial"/>
          <w:b/>
          <w:bCs/>
          <w:color w:val="000000" w:themeColor="text1"/>
          <w:sz w:val="24"/>
          <w:szCs w:val="24"/>
        </w:rPr>
        <w:t>(Table 2.3)</w:t>
      </w:r>
      <w:r w:rsidRPr="00785D80">
        <w:rPr>
          <w:rFonts w:ascii="Arial" w:hAnsi="Arial" w:cs="Arial"/>
          <w:color w:val="000000" w:themeColor="text1"/>
          <w:sz w:val="24"/>
          <w:szCs w:val="24"/>
        </w:rPr>
        <w:t xml:space="preserve">. Drivers vary from concentrated economic and industrial activity in Bangkok and Samut Prakan to high population density within Samut Songkhram’s confined territory. Conversely, </w:t>
      </w:r>
      <w:r w:rsidR="002A520F">
        <w:rPr>
          <w:rFonts w:ascii="Arial" w:hAnsi="Arial" w:cs="Arial"/>
          <w:color w:val="000000" w:themeColor="text1"/>
          <w:sz w:val="24"/>
          <w:szCs w:val="24"/>
        </w:rPr>
        <w:t>Rayong</w:t>
      </w:r>
      <w:r w:rsidRPr="00785D80">
        <w:rPr>
          <w:rFonts w:ascii="Arial" w:hAnsi="Arial" w:cs="Arial"/>
          <w:color w:val="000000" w:themeColor="text1"/>
          <w:sz w:val="24"/>
          <w:szCs w:val="24"/>
        </w:rPr>
        <w:t xml:space="preserve"> registered the lowest intensity at 0.</w:t>
      </w:r>
      <w:r w:rsidR="002A520F">
        <w:rPr>
          <w:rFonts w:ascii="Arial" w:hAnsi="Arial" w:cs="Arial"/>
          <w:color w:val="000000" w:themeColor="text1"/>
          <w:sz w:val="24"/>
          <w:szCs w:val="24"/>
        </w:rPr>
        <w:t>261</w:t>
      </w:r>
      <w:r w:rsidRPr="00785D80">
        <w:rPr>
          <w:rFonts w:ascii="Arial" w:hAnsi="Arial" w:cs="Arial"/>
          <w:color w:val="000000" w:themeColor="text1"/>
          <w:sz w:val="24"/>
          <w:szCs w:val="24"/>
        </w:rPr>
        <w:t>.</w:t>
      </w:r>
    </w:p>
    <w:p w14:paraId="1F4E7954" w14:textId="77777777" w:rsidR="003F3D65" w:rsidRPr="005214FC" w:rsidRDefault="003F3D65" w:rsidP="00710A62">
      <w:pPr>
        <w:spacing w:after="0" w:line="360" w:lineRule="auto"/>
        <w:contextualSpacing/>
        <w:jc w:val="thaiDistribute"/>
        <w:rPr>
          <w:rFonts w:ascii="Arial" w:hAnsi="Arial"/>
          <w:color w:val="000000" w:themeColor="text1"/>
          <w:sz w:val="24"/>
          <w:szCs w:val="24"/>
        </w:rPr>
      </w:pPr>
    </w:p>
    <w:p w14:paraId="55286A25" w14:textId="77777777" w:rsidR="00E75A83" w:rsidRPr="00B97B69" w:rsidRDefault="00E75A83" w:rsidP="00710A62">
      <w:pPr>
        <w:spacing w:after="0" w:line="360" w:lineRule="auto"/>
        <w:contextualSpacing/>
        <w:jc w:val="thaiDistribute"/>
        <w:rPr>
          <w:rFonts w:ascii="Arial" w:hAnsi="Arial"/>
          <w:color w:val="000000" w:themeColor="text1"/>
          <w:sz w:val="24"/>
          <w:szCs w:val="24"/>
          <w:cs/>
        </w:rPr>
      </w:pPr>
      <w:r w:rsidRPr="00B97B69">
        <w:rPr>
          <w:rFonts w:ascii="Arial" w:hAnsi="Arial" w:cs="Arial"/>
          <w:b/>
          <w:bCs/>
          <w:color w:val="000000" w:themeColor="text1"/>
          <w:sz w:val="24"/>
          <w:szCs w:val="24"/>
        </w:rPr>
        <w:t xml:space="preserve">Table 2.3 </w:t>
      </w:r>
      <w:r w:rsidRPr="00B97B69">
        <w:rPr>
          <w:rFonts w:ascii="Arial" w:hAnsi="Arial" w:cs="Arial"/>
          <w:color w:val="000000" w:themeColor="text1"/>
          <w:sz w:val="24"/>
          <w:szCs w:val="24"/>
        </w:rPr>
        <w:t xml:space="preserve">Risk </w:t>
      </w:r>
      <w:r w:rsidRPr="00B97B69">
        <w:rPr>
          <w:rFonts w:ascii="Arial" w:hAnsi="Arial" w:cs="Browallia New"/>
          <w:color w:val="000000" w:themeColor="text1"/>
          <w:sz w:val="24"/>
          <w:szCs w:val="30"/>
        </w:rPr>
        <w:t>i</w:t>
      </w:r>
      <w:r w:rsidRPr="00B97B69">
        <w:rPr>
          <w:rFonts w:ascii="Arial" w:hAnsi="Arial" w:cs="Arial"/>
          <w:color w:val="000000" w:themeColor="text1"/>
          <w:sz w:val="24"/>
          <w:szCs w:val="24"/>
        </w:rPr>
        <w:t>ntensity assessment (</w:t>
      </w:r>
      <w:proofErr w:type="spellStart"/>
      <w:r w:rsidRPr="00B97B69">
        <w:rPr>
          <w:rFonts w:ascii="Arial" w:hAnsi="Arial" w:cs="Arial"/>
          <w:color w:val="000000" w:themeColor="text1"/>
          <w:sz w:val="24"/>
          <w:szCs w:val="24"/>
        </w:rPr>
        <w:t>CRI_Unweighted</w:t>
      </w:r>
      <w:proofErr w:type="spellEnd"/>
      <w:r w:rsidRPr="00B97B69">
        <w:rPr>
          <w:rFonts w:ascii="Arial" w:hAnsi="Arial" w:cs="Arial"/>
          <w:color w:val="000000" w:themeColor="text1"/>
          <w:sz w:val="24"/>
          <w:szCs w:val="24"/>
        </w:rPr>
        <w:t>) and provincial ranking</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701"/>
        <w:gridCol w:w="1842"/>
        <w:gridCol w:w="2268"/>
        <w:gridCol w:w="1084"/>
      </w:tblGrid>
      <w:tr w:rsidR="00B7322E" w:rsidRPr="00525CB0" w14:paraId="59DA0FEF" w14:textId="77777777" w:rsidTr="00D237B6">
        <w:trPr>
          <w:trHeight w:val="340"/>
        </w:trPr>
        <w:tc>
          <w:tcPr>
            <w:tcW w:w="2122" w:type="dxa"/>
            <w:tcBorders>
              <w:top w:val="single" w:sz="4" w:space="0" w:color="auto"/>
              <w:bottom w:val="single" w:sz="4" w:space="0" w:color="auto"/>
            </w:tcBorders>
            <w:vAlign w:val="center"/>
          </w:tcPr>
          <w:p w14:paraId="0A7D0302" w14:textId="77777777" w:rsidR="00E75A83" w:rsidRPr="00525CB0" w:rsidRDefault="00E75A83" w:rsidP="003F3D65">
            <w:pPr>
              <w:contextualSpacing/>
              <w:rPr>
                <w:rFonts w:ascii="Arial" w:hAnsi="Arial"/>
                <w:color w:val="000000" w:themeColor="text1"/>
                <w:sz w:val="20"/>
                <w:szCs w:val="20"/>
                <w:cs/>
              </w:rPr>
            </w:pPr>
            <w:bookmarkStart w:id="15" w:name="_Hlk215692142"/>
            <w:r w:rsidRPr="00525CB0">
              <w:rPr>
                <w:rFonts w:ascii="Arial" w:eastAsia="Times New Roman" w:hAnsi="Arial" w:cs="Arial"/>
                <w:b/>
                <w:bCs/>
                <w:color w:val="000000" w:themeColor="text1"/>
                <w:kern w:val="0"/>
                <w:sz w:val="20"/>
                <w:szCs w:val="20"/>
                <w14:ligatures w14:val="none"/>
              </w:rPr>
              <w:t>Province</w:t>
            </w:r>
          </w:p>
        </w:tc>
        <w:tc>
          <w:tcPr>
            <w:tcW w:w="1701" w:type="dxa"/>
            <w:tcBorders>
              <w:top w:val="single" w:sz="4" w:space="0" w:color="auto"/>
              <w:bottom w:val="single" w:sz="4" w:space="0" w:color="auto"/>
            </w:tcBorders>
            <w:vAlign w:val="center"/>
          </w:tcPr>
          <w:p w14:paraId="78E916F9" w14:textId="77777777" w:rsidR="00E75A83" w:rsidRPr="00525CB0" w:rsidRDefault="00E75A83" w:rsidP="003F3D65">
            <w:pPr>
              <w:contextualSpacing/>
              <w:jc w:val="center"/>
              <w:rPr>
                <w:rFonts w:ascii="Arial" w:hAnsi="Arial" w:cs="Arial"/>
                <w:color w:val="000000" w:themeColor="text1"/>
                <w:sz w:val="20"/>
                <w:szCs w:val="20"/>
              </w:rPr>
            </w:pPr>
            <w:r w:rsidRPr="00525CB0">
              <w:rPr>
                <w:rFonts w:ascii="Arial" w:eastAsia="Times New Roman" w:hAnsi="Arial" w:cs="Arial"/>
                <w:b/>
                <w:bCs/>
                <w:color w:val="000000" w:themeColor="text1"/>
                <w:kern w:val="0"/>
                <w:sz w:val="20"/>
                <w:szCs w:val="20"/>
                <w14:ligatures w14:val="none"/>
              </w:rPr>
              <w:t>Pressure index (PI) score</w:t>
            </w:r>
          </w:p>
        </w:tc>
        <w:tc>
          <w:tcPr>
            <w:tcW w:w="1842" w:type="dxa"/>
            <w:tcBorders>
              <w:top w:val="single" w:sz="4" w:space="0" w:color="auto"/>
              <w:bottom w:val="single" w:sz="4" w:space="0" w:color="auto"/>
            </w:tcBorders>
            <w:vAlign w:val="center"/>
          </w:tcPr>
          <w:p w14:paraId="212357F4" w14:textId="77777777" w:rsidR="00E75A83" w:rsidRPr="00525CB0" w:rsidRDefault="00E75A83" w:rsidP="003F3D65">
            <w:pPr>
              <w:contextualSpacing/>
              <w:jc w:val="center"/>
              <w:rPr>
                <w:rFonts w:ascii="Arial" w:hAnsi="Arial" w:cs="Arial"/>
                <w:color w:val="000000" w:themeColor="text1"/>
                <w:sz w:val="20"/>
                <w:szCs w:val="20"/>
              </w:rPr>
            </w:pPr>
            <w:r w:rsidRPr="00525CB0">
              <w:rPr>
                <w:rFonts w:ascii="Arial" w:eastAsia="Times New Roman" w:hAnsi="Arial" w:cs="Arial"/>
                <w:b/>
                <w:bCs/>
                <w:color w:val="000000" w:themeColor="text1"/>
                <w:kern w:val="0"/>
                <w:sz w:val="20"/>
                <w:szCs w:val="20"/>
                <w14:ligatures w14:val="none"/>
              </w:rPr>
              <w:t>Vulnerability index (VI) score</w:t>
            </w:r>
          </w:p>
        </w:tc>
        <w:tc>
          <w:tcPr>
            <w:tcW w:w="2268" w:type="dxa"/>
            <w:tcBorders>
              <w:top w:val="single" w:sz="4" w:space="0" w:color="auto"/>
              <w:bottom w:val="single" w:sz="4" w:space="0" w:color="auto"/>
            </w:tcBorders>
            <w:vAlign w:val="center"/>
          </w:tcPr>
          <w:p w14:paraId="63F1EB1A" w14:textId="77777777" w:rsidR="00E75A83" w:rsidRPr="00525CB0" w:rsidRDefault="00E75A83" w:rsidP="003F3D65">
            <w:pPr>
              <w:contextualSpacing/>
              <w:jc w:val="center"/>
              <w:rPr>
                <w:rFonts w:ascii="Arial" w:hAnsi="Arial" w:cs="Arial"/>
                <w:color w:val="000000" w:themeColor="text1"/>
                <w:sz w:val="20"/>
                <w:szCs w:val="20"/>
              </w:rPr>
            </w:pPr>
            <w:r w:rsidRPr="00525CB0">
              <w:rPr>
                <w:rFonts w:ascii="Arial" w:eastAsia="Times New Roman" w:hAnsi="Arial" w:cs="Arial"/>
                <w:b/>
                <w:bCs/>
                <w:color w:val="000000" w:themeColor="text1"/>
                <w:kern w:val="0"/>
                <w:sz w:val="20"/>
                <w:szCs w:val="20"/>
                <w14:ligatures w14:val="none"/>
              </w:rPr>
              <w:t>Risk intensity score (</w:t>
            </w:r>
            <w:proofErr w:type="spellStart"/>
            <w:r w:rsidRPr="00525CB0">
              <w:rPr>
                <w:rFonts w:ascii="Arial" w:eastAsia="Times New Roman" w:hAnsi="Arial" w:cs="Arial"/>
                <w:b/>
                <w:bCs/>
                <w:color w:val="000000" w:themeColor="text1"/>
                <w:kern w:val="0"/>
                <w:sz w:val="20"/>
                <w:szCs w:val="20"/>
                <w14:ligatures w14:val="none"/>
              </w:rPr>
              <w:t>CRI_Unweighted</w:t>
            </w:r>
            <w:proofErr w:type="spellEnd"/>
            <w:r w:rsidRPr="00525CB0">
              <w:rPr>
                <w:rFonts w:ascii="Arial" w:eastAsia="Times New Roman" w:hAnsi="Arial" w:cs="Arial"/>
                <w:b/>
                <w:bCs/>
                <w:color w:val="000000" w:themeColor="text1"/>
                <w:kern w:val="0"/>
                <w:sz w:val="20"/>
                <w:szCs w:val="20"/>
                <w14:ligatures w14:val="none"/>
              </w:rPr>
              <w:t>)</w:t>
            </w:r>
          </w:p>
        </w:tc>
        <w:tc>
          <w:tcPr>
            <w:tcW w:w="1084" w:type="dxa"/>
            <w:tcBorders>
              <w:top w:val="single" w:sz="4" w:space="0" w:color="auto"/>
              <w:bottom w:val="single" w:sz="4" w:space="0" w:color="auto"/>
            </w:tcBorders>
            <w:vAlign w:val="center"/>
          </w:tcPr>
          <w:p w14:paraId="52D53EE1" w14:textId="77777777" w:rsidR="00E75A83" w:rsidRPr="00525CB0" w:rsidRDefault="00E75A83" w:rsidP="003F3D65">
            <w:pPr>
              <w:contextualSpacing/>
              <w:jc w:val="center"/>
              <w:rPr>
                <w:rFonts w:ascii="Arial" w:eastAsia="Times New Roman" w:hAnsi="Arial" w:cs="Arial"/>
                <w:b/>
                <w:bCs/>
                <w:color w:val="000000" w:themeColor="text1"/>
                <w:kern w:val="0"/>
                <w:sz w:val="20"/>
                <w:szCs w:val="20"/>
                <w14:ligatures w14:val="none"/>
              </w:rPr>
            </w:pPr>
            <w:r w:rsidRPr="00525CB0">
              <w:rPr>
                <w:rFonts w:ascii="Arial" w:hAnsi="Arial" w:cs="Arial"/>
                <w:b/>
                <w:bCs/>
                <w:color w:val="000000" w:themeColor="text1"/>
                <w:sz w:val="20"/>
                <w:szCs w:val="20"/>
              </w:rPr>
              <w:t>Intensity rank</w:t>
            </w:r>
          </w:p>
        </w:tc>
      </w:tr>
      <w:tr w:rsidR="007E2044" w:rsidRPr="00525CB0" w14:paraId="2773D9BA" w14:textId="77777777" w:rsidTr="00E94BFC">
        <w:trPr>
          <w:trHeight w:val="340"/>
        </w:trPr>
        <w:tc>
          <w:tcPr>
            <w:tcW w:w="2122" w:type="dxa"/>
            <w:tcBorders>
              <w:top w:val="single" w:sz="4" w:space="0" w:color="auto"/>
            </w:tcBorders>
            <w:vAlign w:val="bottom"/>
          </w:tcPr>
          <w:p w14:paraId="1DA227A2" w14:textId="4D5F7682"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Bangkok</w:t>
            </w:r>
          </w:p>
        </w:tc>
        <w:tc>
          <w:tcPr>
            <w:tcW w:w="1701" w:type="dxa"/>
            <w:tcBorders>
              <w:top w:val="single" w:sz="4" w:space="0" w:color="auto"/>
            </w:tcBorders>
            <w:vAlign w:val="bottom"/>
          </w:tcPr>
          <w:p w14:paraId="70D7233A" w14:textId="0678251C"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0.586</w:t>
            </w:r>
          </w:p>
        </w:tc>
        <w:tc>
          <w:tcPr>
            <w:tcW w:w="1842" w:type="dxa"/>
            <w:tcBorders>
              <w:top w:val="single" w:sz="4" w:space="0" w:color="auto"/>
            </w:tcBorders>
            <w:vAlign w:val="bottom"/>
          </w:tcPr>
          <w:p w14:paraId="086F5CD0" w14:textId="5617E287"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0.706</w:t>
            </w:r>
          </w:p>
        </w:tc>
        <w:tc>
          <w:tcPr>
            <w:tcW w:w="2268" w:type="dxa"/>
            <w:tcBorders>
              <w:top w:val="single" w:sz="4" w:space="0" w:color="auto"/>
            </w:tcBorders>
            <w:vAlign w:val="bottom"/>
          </w:tcPr>
          <w:p w14:paraId="33484B0A" w14:textId="36B731EE"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0.646</w:t>
            </w:r>
          </w:p>
        </w:tc>
        <w:tc>
          <w:tcPr>
            <w:tcW w:w="1084" w:type="dxa"/>
            <w:tcBorders>
              <w:top w:val="single" w:sz="4" w:space="0" w:color="auto"/>
            </w:tcBorders>
            <w:vAlign w:val="bottom"/>
          </w:tcPr>
          <w:p w14:paraId="7773904D" w14:textId="73D142F4"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w:t>
            </w:r>
          </w:p>
        </w:tc>
      </w:tr>
      <w:tr w:rsidR="007E2044" w:rsidRPr="00525CB0" w14:paraId="30F91283" w14:textId="77777777" w:rsidTr="00E94BFC">
        <w:trPr>
          <w:trHeight w:val="340"/>
        </w:trPr>
        <w:tc>
          <w:tcPr>
            <w:tcW w:w="2122" w:type="dxa"/>
            <w:vAlign w:val="bottom"/>
          </w:tcPr>
          <w:p w14:paraId="227482DF" w14:textId="7E56C319"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Samut Songkhram</w:t>
            </w:r>
          </w:p>
        </w:tc>
        <w:tc>
          <w:tcPr>
            <w:tcW w:w="1701" w:type="dxa"/>
            <w:vAlign w:val="bottom"/>
          </w:tcPr>
          <w:p w14:paraId="6ACD77BB" w14:textId="2852AF11"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0.337</w:t>
            </w:r>
          </w:p>
        </w:tc>
        <w:tc>
          <w:tcPr>
            <w:tcW w:w="1842" w:type="dxa"/>
            <w:vAlign w:val="bottom"/>
          </w:tcPr>
          <w:p w14:paraId="67772F27" w14:textId="7A1F2BB4"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0.740</w:t>
            </w:r>
          </w:p>
        </w:tc>
        <w:tc>
          <w:tcPr>
            <w:tcW w:w="2268" w:type="dxa"/>
            <w:vAlign w:val="bottom"/>
          </w:tcPr>
          <w:p w14:paraId="6258CC80" w14:textId="62EDA458"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0.538</w:t>
            </w:r>
          </w:p>
        </w:tc>
        <w:tc>
          <w:tcPr>
            <w:tcW w:w="1084" w:type="dxa"/>
            <w:vAlign w:val="bottom"/>
          </w:tcPr>
          <w:p w14:paraId="03AA2278" w14:textId="4EE55A3D"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2</w:t>
            </w:r>
          </w:p>
        </w:tc>
      </w:tr>
      <w:tr w:rsidR="007E2044" w:rsidRPr="00525CB0" w14:paraId="6E141E76" w14:textId="77777777" w:rsidTr="00E94BFC">
        <w:trPr>
          <w:trHeight w:val="340"/>
        </w:trPr>
        <w:tc>
          <w:tcPr>
            <w:tcW w:w="2122" w:type="dxa"/>
            <w:vAlign w:val="bottom"/>
          </w:tcPr>
          <w:p w14:paraId="5E47F8EA" w14:textId="1FB433A7" w:rsidR="007E2044" w:rsidRPr="003F3D65" w:rsidRDefault="007E2044" w:rsidP="007E2044">
            <w:pPr>
              <w:contextualSpacing/>
              <w:rPr>
                <w:rFonts w:ascii="Arial" w:hAnsi="Arial" w:cs="Arial"/>
                <w:color w:val="000000" w:themeColor="text1"/>
                <w:szCs w:val="22"/>
              </w:rPr>
            </w:pPr>
            <w:r>
              <w:rPr>
                <w:rFonts w:ascii="Arial" w:hAnsi="Arial" w:cs="Arial"/>
                <w:color w:val="000000"/>
              </w:rPr>
              <w:t>Samut Prakan</w:t>
            </w:r>
          </w:p>
        </w:tc>
        <w:tc>
          <w:tcPr>
            <w:tcW w:w="1701" w:type="dxa"/>
            <w:vAlign w:val="bottom"/>
          </w:tcPr>
          <w:p w14:paraId="0A25143C" w14:textId="0C101F6B"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0.332</w:t>
            </w:r>
          </w:p>
        </w:tc>
        <w:tc>
          <w:tcPr>
            <w:tcW w:w="1842" w:type="dxa"/>
            <w:vAlign w:val="bottom"/>
          </w:tcPr>
          <w:p w14:paraId="4B85F280" w14:textId="3B3F9103"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0.506</w:t>
            </w:r>
          </w:p>
        </w:tc>
        <w:tc>
          <w:tcPr>
            <w:tcW w:w="2268" w:type="dxa"/>
            <w:vAlign w:val="bottom"/>
          </w:tcPr>
          <w:p w14:paraId="6CB4F4E2" w14:textId="06CAB919"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0.419</w:t>
            </w:r>
          </w:p>
        </w:tc>
        <w:tc>
          <w:tcPr>
            <w:tcW w:w="1084" w:type="dxa"/>
            <w:vAlign w:val="bottom"/>
          </w:tcPr>
          <w:p w14:paraId="752380E1" w14:textId="68D33E97"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3</w:t>
            </w:r>
          </w:p>
        </w:tc>
      </w:tr>
      <w:tr w:rsidR="007E2044" w:rsidRPr="00525CB0" w14:paraId="4CED348A" w14:textId="77777777" w:rsidTr="00E94BFC">
        <w:trPr>
          <w:trHeight w:val="340"/>
        </w:trPr>
        <w:tc>
          <w:tcPr>
            <w:tcW w:w="2122" w:type="dxa"/>
            <w:vAlign w:val="bottom"/>
          </w:tcPr>
          <w:p w14:paraId="14E19645" w14:textId="45855C40"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Samut Sakhon</w:t>
            </w:r>
          </w:p>
        </w:tc>
        <w:tc>
          <w:tcPr>
            <w:tcW w:w="1701" w:type="dxa"/>
            <w:vAlign w:val="bottom"/>
          </w:tcPr>
          <w:p w14:paraId="2D4EA338" w14:textId="762B66B0"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0.316</w:t>
            </w:r>
          </w:p>
        </w:tc>
        <w:tc>
          <w:tcPr>
            <w:tcW w:w="1842" w:type="dxa"/>
            <w:vAlign w:val="bottom"/>
          </w:tcPr>
          <w:p w14:paraId="3CD86021" w14:textId="3B6BDF23"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0.438</w:t>
            </w:r>
          </w:p>
        </w:tc>
        <w:tc>
          <w:tcPr>
            <w:tcW w:w="2268" w:type="dxa"/>
            <w:vAlign w:val="bottom"/>
          </w:tcPr>
          <w:p w14:paraId="53ECA216" w14:textId="49BA095D"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0.377</w:t>
            </w:r>
          </w:p>
        </w:tc>
        <w:tc>
          <w:tcPr>
            <w:tcW w:w="1084" w:type="dxa"/>
            <w:vAlign w:val="bottom"/>
          </w:tcPr>
          <w:p w14:paraId="38130680" w14:textId="633A8177"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4</w:t>
            </w:r>
          </w:p>
        </w:tc>
      </w:tr>
      <w:tr w:rsidR="007E2044" w:rsidRPr="00525CB0" w14:paraId="70650308" w14:textId="77777777" w:rsidTr="00E94BFC">
        <w:trPr>
          <w:trHeight w:val="340"/>
        </w:trPr>
        <w:tc>
          <w:tcPr>
            <w:tcW w:w="2122" w:type="dxa"/>
            <w:vAlign w:val="bottom"/>
          </w:tcPr>
          <w:p w14:paraId="43057C62" w14:textId="5D1EE2E1"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Chumphon</w:t>
            </w:r>
          </w:p>
        </w:tc>
        <w:tc>
          <w:tcPr>
            <w:tcW w:w="1701" w:type="dxa"/>
            <w:vAlign w:val="bottom"/>
          </w:tcPr>
          <w:p w14:paraId="448184CE" w14:textId="6F679F02"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0.382</w:t>
            </w:r>
          </w:p>
        </w:tc>
        <w:tc>
          <w:tcPr>
            <w:tcW w:w="1842" w:type="dxa"/>
            <w:vAlign w:val="bottom"/>
          </w:tcPr>
          <w:p w14:paraId="37D0BE6F" w14:textId="016256C4"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0.362</w:t>
            </w:r>
          </w:p>
        </w:tc>
        <w:tc>
          <w:tcPr>
            <w:tcW w:w="2268" w:type="dxa"/>
            <w:vAlign w:val="bottom"/>
          </w:tcPr>
          <w:p w14:paraId="5E267BDE" w14:textId="13B1DF29"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0.372</w:t>
            </w:r>
          </w:p>
        </w:tc>
        <w:tc>
          <w:tcPr>
            <w:tcW w:w="1084" w:type="dxa"/>
            <w:vAlign w:val="bottom"/>
          </w:tcPr>
          <w:p w14:paraId="056AE1CC" w14:textId="67B19D36"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5</w:t>
            </w:r>
          </w:p>
        </w:tc>
      </w:tr>
      <w:tr w:rsidR="007E2044" w:rsidRPr="00525CB0" w14:paraId="7D80FA05" w14:textId="77777777" w:rsidTr="00E94BFC">
        <w:trPr>
          <w:trHeight w:val="340"/>
        </w:trPr>
        <w:tc>
          <w:tcPr>
            <w:tcW w:w="2122" w:type="dxa"/>
            <w:vAlign w:val="bottom"/>
          </w:tcPr>
          <w:p w14:paraId="6E324563" w14:textId="3D236D89"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Pattani</w:t>
            </w:r>
          </w:p>
        </w:tc>
        <w:tc>
          <w:tcPr>
            <w:tcW w:w="1701" w:type="dxa"/>
            <w:vAlign w:val="bottom"/>
          </w:tcPr>
          <w:p w14:paraId="199CCDFE" w14:textId="654D4BD8"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0.209</w:t>
            </w:r>
          </w:p>
        </w:tc>
        <w:tc>
          <w:tcPr>
            <w:tcW w:w="1842" w:type="dxa"/>
            <w:vAlign w:val="bottom"/>
          </w:tcPr>
          <w:p w14:paraId="2F9759D3" w14:textId="4126D4E3"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0.531</w:t>
            </w:r>
          </w:p>
        </w:tc>
        <w:tc>
          <w:tcPr>
            <w:tcW w:w="2268" w:type="dxa"/>
            <w:vAlign w:val="bottom"/>
          </w:tcPr>
          <w:p w14:paraId="5C5DB13E" w14:textId="6DD45ED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0.370</w:t>
            </w:r>
          </w:p>
        </w:tc>
        <w:tc>
          <w:tcPr>
            <w:tcW w:w="1084" w:type="dxa"/>
            <w:vAlign w:val="bottom"/>
          </w:tcPr>
          <w:p w14:paraId="11657D34" w14:textId="657EB2BC"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6</w:t>
            </w:r>
          </w:p>
        </w:tc>
      </w:tr>
      <w:tr w:rsidR="007E2044" w:rsidRPr="00525CB0" w14:paraId="030BBE42" w14:textId="77777777" w:rsidTr="00E94BFC">
        <w:trPr>
          <w:trHeight w:val="340"/>
        </w:trPr>
        <w:tc>
          <w:tcPr>
            <w:tcW w:w="2122" w:type="dxa"/>
            <w:vAlign w:val="bottom"/>
          </w:tcPr>
          <w:p w14:paraId="5804929E" w14:textId="1C8C692B"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Songkhla</w:t>
            </w:r>
          </w:p>
        </w:tc>
        <w:tc>
          <w:tcPr>
            <w:tcW w:w="1701" w:type="dxa"/>
            <w:vAlign w:val="bottom"/>
          </w:tcPr>
          <w:p w14:paraId="42799A87" w14:textId="33F5CADE"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0.264</w:t>
            </w:r>
          </w:p>
        </w:tc>
        <w:tc>
          <w:tcPr>
            <w:tcW w:w="1842" w:type="dxa"/>
            <w:vAlign w:val="bottom"/>
          </w:tcPr>
          <w:p w14:paraId="4E2A12CC" w14:textId="48335275"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0.470</w:t>
            </w:r>
          </w:p>
        </w:tc>
        <w:tc>
          <w:tcPr>
            <w:tcW w:w="2268" w:type="dxa"/>
            <w:vAlign w:val="bottom"/>
          </w:tcPr>
          <w:p w14:paraId="3F1FE936" w14:textId="39B8BB50"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0.367</w:t>
            </w:r>
          </w:p>
        </w:tc>
        <w:tc>
          <w:tcPr>
            <w:tcW w:w="1084" w:type="dxa"/>
            <w:vAlign w:val="bottom"/>
          </w:tcPr>
          <w:p w14:paraId="464292EF" w14:textId="5C637CF8"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7</w:t>
            </w:r>
          </w:p>
        </w:tc>
      </w:tr>
      <w:tr w:rsidR="007E2044" w:rsidRPr="00525CB0" w14:paraId="4DF80EDE" w14:textId="77777777" w:rsidTr="00E94BFC">
        <w:trPr>
          <w:trHeight w:val="340"/>
        </w:trPr>
        <w:tc>
          <w:tcPr>
            <w:tcW w:w="2122" w:type="dxa"/>
            <w:vAlign w:val="bottom"/>
          </w:tcPr>
          <w:p w14:paraId="748E9EE0" w14:textId="695F1687"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Chachoengsao</w:t>
            </w:r>
          </w:p>
        </w:tc>
        <w:tc>
          <w:tcPr>
            <w:tcW w:w="1701" w:type="dxa"/>
            <w:vAlign w:val="bottom"/>
          </w:tcPr>
          <w:p w14:paraId="1E71DA5C" w14:textId="3CF68163"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0.458</w:t>
            </w:r>
          </w:p>
        </w:tc>
        <w:tc>
          <w:tcPr>
            <w:tcW w:w="1842" w:type="dxa"/>
            <w:vAlign w:val="bottom"/>
          </w:tcPr>
          <w:p w14:paraId="10D2C3E1" w14:textId="2AE2822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0.253</w:t>
            </w:r>
          </w:p>
        </w:tc>
        <w:tc>
          <w:tcPr>
            <w:tcW w:w="2268" w:type="dxa"/>
            <w:vAlign w:val="bottom"/>
          </w:tcPr>
          <w:p w14:paraId="00B15B05" w14:textId="28D9FBD9"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0.355</w:t>
            </w:r>
          </w:p>
        </w:tc>
        <w:tc>
          <w:tcPr>
            <w:tcW w:w="1084" w:type="dxa"/>
            <w:vAlign w:val="bottom"/>
          </w:tcPr>
          <w:p w14:paraId="2EFD7ED9" w14:textId="78F4803A"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8</w:t>
            </w:r>
          </w:p>
        </w:tc>
      </w:tr>
      <w:tr w:rsidR="007E2044" w:rsidRPr="00525CB0" w14:paraId="084179EC" w14:textId="77777777" w:rsidTr="00E94BFC">
        <w:trPr>
          <w:trHeight w:val="340"/>
        </w:trPr>
        <w:tc>
          <w:tcPr>
            <w:tcW w:w="2122" w:type="dxa"/>
            <w:vAlign w:val="bottom"/>
          </w:tcPr>
          <w:p w14:paraId="405F3D4B" w14:textId="253B563B"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Surat-Thani</w:t>
            </w:r>
          </w:p>
        </w:tc>
        <w:tc>
          <w:tcPr>
            <w:tcW w:w="1701" w:type="dxa"/>
            <w:vAlign w:val="bottom"/>
          </w:tcPr>
          <w:p w14:paraId="20BF31ED" w14:textId="59E3B52F"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0.369</w:t>
            </w:r>
          </w:p>
        </w:tc>
        <w:tc>
          <w:tcPr>
            <w:tcW w:w="1842" w:type="dxa"/>
            <w:vAlign w:val="bottom"/>
          </w:tcPr>
          <w:p w14:paraId="61EB161B" w14:textId="2318B7BF"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0.326</w:t>
            </w:r>
          </w:p>
        </w:tc>
        <w:tc>
          <w:tcPr>
            <w:tcW w:w="2268" w:type="dxa"/>
            <w:vAlign w:val="bottom"/>
          </w:tcPr>
          <w:p w14:paraId="12BBEED1" w14:textId="7662F4F7"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0.348</w:t>
            </w:r>
          </w:p>
        </w:tc>
        <w:tc>
          <w:tcPr>
            <w:tcW w:w="1084" w:type="dxa"/>
            <w:vAlign w:val="bottom"/>
          </w:tcPr>
          <w:p w14:paraId="4EC575B5" w14:textId="7583DA80"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9</w:t>
            </w:r>
          </w:p>
        </w:tc>
      </w:tr>
      <w:tr w:rsidR="007E2044" w:rsidRPr="00525CB0" w14:paraId="2B10BFB3" w14:textId="77777777" w:rsidTr="00E94BFC">
        <w:trPr>
          <w:trHeight w:val="340"/>
        </w:trPr>
        <w:tc>
          <w:tcPr>
            <w:tcW w:w="2122" w:type="dxa"/>
            <w:vAlign w:val="bottom"/>
          </w:tcPr>
          <w:p w14:paraId="52EF0C0E" w14:textId="7EA35107"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Phetchaburi</w:t>
            </w:r>
          </w:p>
        </w:tc>
        <w:tc>
          <w:tcPr>
            <w:tcW w:w="1701" w:type="dxa"/>
            <w:vAlign w:val="bottom"/>
          </w:tcPr>
          <w:p w14:paraId="37AE4D34" w14:textId="762479EB"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0.219</w:t>
            </w:r>
          </w:p>
        </w:tc>
        <w:tc>
          <w:tcPr>
            <w:tcW w:w="1842" w:type="dxa"/>
            <w:vAlign w:val="bottom"/>
          </w:tcPr>
          <w:p w14:paraId="34D48EBF" w14:textId="1BA06B87"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0.452</w:t>
            </w:r>
          </w:p>
        </w:tc>
        <w:tc>
          <w:tcPr>
            <w:tcW w:w="2268" w:type="dxa"/>
            <w:vAlign w:val="bottom"/>
          </w:tcPr>
          <w:p w14:paraId="5974FA78" w14:textId="50132554"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0.336</w:t>
            </w:r>
          </w:p>
        </w:tc>
        <w:tc>
          <w:tcPr>
            <w:tcW w:w="1084" w:type="dxa"/>
            <w:vAlign w:val="bottom"/>
          </w:tcPr>
          <w:p w14:paraId="77B9B990" w14:textId="5A2285C2"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10</w:t>
            </w:r>
          </w:p>
        </w:tc>
      </w:tr>
      <w:tr w:rsidR="007E2044" w:rsidRPr="00525CB0" w14:paraId="6A27A1FA" w14:textId="77777777" w:rsidTr="00E94BFC">
        <w:trPr>
          <w:trHeight w:val="340"/>
        </w:trPr>
        <w:tc>
          <w:tcPr>
            <w:tcW w:w="2122" w:type="dxa"/>
            <w:vAlign w:val="bottom"/>
          </w:tcPr>
          <w:p w14:paraId="3C970F91" w14:textId="31533F52"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Chon Buri</w:t>
            </w:r>
          </w:p>
        </w:tc>
        <w:tc>
          <w:tcPr>
            <w:tcW w:w="1701" w:type="dxa"/>
            <w:vAlign w:val="bottom"/>
          </w:tcPr>
          <w:p w14:paraId="0A3D09D7" w14:textId="5C054670"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0.497</w:t>
            </w:r>
          </w:p>
        </w:tc>
        <w:tc>
          <w:tcPr>
            <w:tcW w:w="1842" w:type="dxa"/>
            <w:vAlign w:val="bottom"/>
          </w:tcPr>
          <w:p w14:paraId="62AF409D" w14:textId="3E4668B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0.160</w:t>
            </w:r>
          </w:p>
        </w:tc>
        <w:tc>
          <w:tcPr>
            <w:tcW w:w="2268" w:type="dxa"/>
            <w:vAlign w:val="bottom"/>
          </w:tcPr>
          <w:p w14:paraId="784EBA1F" w14:textId="7B4DF7BF"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0.329</w:t>
            </w:r>
          </w:p>
        </w:tc>
        <w:tc>
          <w:tcPr>
            <w:tcW w:w="1084" w:type="dxa"/>
            <w:vAlign w:val="bottom"/>
          </w:tcPr>
          <w:p w14:paraId="7F473776" w14:textId="4DE17673"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11</w:t>
            </w:r>
          </w:p>
        </w:tc>
      </w:tr>
      <w:tr w:rsidR="007E2044" w:rsidRPr="00525CB0" w14:paraId="52E0764D" w14:textId="77777777" w:rsidTr="00E94BFC">
        <w:trPr>
          <w:trHeight w:val="340"/>
        </w:trPr>
        <w:tc>
          <w:tcPr>
            <w:tcW w:w="2122" w:type="dxa"/>
            <w:vAlign w:val="bottom"/>
          </w:tcPr>
          <w:p w14:paraId="0D7DD442" w14:textId="104E0655"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Chanthaburi</w:t>
            </w:r>
          </w:p>
        </w:tc>
        <w:tc>
          <w:tcPr>
            <w:tcW w:w="1701" w:type="dxa"/>
            <w:vAlign w:val="bottom"/>
          </w:tcPr>
          <w:p w14:paraId="2F4492B0" w14:textId="1CD3CD48"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0.249</w:t>
            </w:r>
          </w:p>
        </w:tc>
        <w:tc>
          <w:tcPr>
            <w:tcW w:w="1842" w:type="dxa"/>
            <w:vAlign w:val="bottom"/>
          </w:tcPr>
          <w:p w14:paraId="74BC31F1" w14:textId="67920077"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0.378</w:t>
            </w:r>
          </w:p>
        </w:tc>
        <w:tc>
          <w:tcPr>
            <w:tcW w:w="2268" w:type="dxa"/>
            <w:vAlign w:val="bottom"/>
          </w:tcPr>
          <w:p w14:paraId="72D4D9BE" w14:textId="1F4F9186"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0.314</w:t>
            </w:r>
          </w:p>
        </w:tc>
        <w:tc>
          <w:tcPr>
            <w:tcW w:w="1084" w:type="dxa"/>
            <w:vAlign w:val="bottom"/>
          </w:tcPr>
          <w:p w14:paraId="6AB23D24" w14:textId="57B27FDF"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12</w:t>
            </w:r>
          </w:p>
        </w:tc>
      </w:tr>
      <w:tr w:rsidR="007E2044" w:rsidRPr="00525CB0" w14:paraId="28D33BDA" w14:textId="77777777" w:rsidTr="00E94BFC">
        <w:trPr>
          <w:trHeight w:val="340"/>
        </w:trPr>
        <w:tc>
          <w:tcPr>
            <w:tcW w:w="2122" w:type="dxa"/>
            <w:vAlign w:val="bottom"/>
          </w:tcPr>
          <w:p w14:paraId="08275B37" w14:textId="4066C08D"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Narathiwat</w:t>
            </w:r>
          </w:p>
        </w:tc>
        <w:tc>
          <w:tcPr>
            <w:tcW w:w="1701" w:type="dxa"/>
            <w:vAlign w:val="bottom"/>
          </w:tcPr>
          <w:p w14:paraId="68E30E64" w14:textId="3004903E"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0.226</w:t>
            </w:r>
          </w:p>
        </w:tc>
        <w:tc>
          <w:tcPr>
            <w:tcW w:w="1842" w:type="dxa"/>
            <w:vAlign w:val="bottom"/>
          </w:tcPr>
          <w:p w14:paraId="69AC021E" w14:textId="3A9445C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0.401</w:t>
            </w:r>
          </w:p>
        </w:tc>
        <w:tc>
          <w:tcPr>
            <w:tcW w:w="2268" w:type="dxa"/>
            <w:vAlign w:val="bottom"/>
          </w:tcPr>
          <w:p w14:paraId="06DA3967" w14:textId="4FCED6B9"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0.314</w:t>
            </w:r>
          </w:p>
        </w:tc>
        <w:tc>
          <w:tcPr>
            <w:tcW w:w="1084" w:type="dxa"/>
            <w:vAlign w:val="bottom"/>
          </w:tcPr>
          <w:p w14:paraId="7CD8EB99" w14:textId="095AA47F"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13</w:t>
            </w:r>
          </w:p>
        </w:tc>
      </w:tr>
      <w:tr w:rsidR="007E2044" w:rsidRPr="00525CB0" w14:paraId="076037B2" w14:textId="77777777" w:rsidTr="00E94BFC">
        <w:trPr>
          <w:trHeight w:val="340"/>
        </w:trPr>
        <w:tc>
          <w:tcPr>
            <w:tcW w:w="2122" w:type="dxa"/>
            <w:vAlign w:val="bottom"/>
          </w:tcPr>
          <w:p w14:paraId="4AABE9FE" w14:textId="4A898D42" w:rsidR="007E2044" w:rsidRPr="003F3D65" w:rsidRDefault="007E2044" w:rsidP="007E2044">
            <w:pPr>
              <w:contextualSpacing/>
              <w:rPr>
                <w:rFonts w:ascii="Arial" w:hAnsi="Arial" w:cs="Arial"/>
                <w:color w:val="000000" w:themeColor="text1"/>
                <w:sz w:val="24"/>
                <w:szCs w:val="24"/>
              </w:rPr>
            </w:pPr>
            <w:r w:rsidRPr="007E2044">
              <w:rPr>
                <w:rFonts w:ascii="Arial" w:hAnsi="Arial" w:cs="Arial"/>
                <w:color w:val="000000"/>
                <w:sz w:val="20"/>
                <w:szCs w:val="24"/>
              </w:rPr>
              <w:t>Prachuap Khiri Khan</w:t>
            </w:r>
          </w:p>
        </w:tc>
        <w:tc>
          <w:tcPr>
            <w:tcW w:w="1701" w:type="dxa"/>
            <w:vAlign w:val="bottom"/>
          </w:tcPr>
          <w:p w14:paraId="403CA045" w14:textId="1A336EF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0.387</w:t>
            </w:r>
          </w:p>
        </w:tc>
        <w:tc>
          <w:tcPr>
            <w:tcW w:w="1842" w:type="dxa"/>
            <w:vAlign w:val="bottom"/>
          </w:tcPr>
          <w:p w14:paraId="70DD5F97" w14:textId="0E2172E2"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0.148</w:t>
            </w:r>
          </w:p>
        </w:tc>
        <w:tc>
          <w:tcPr>
            <w:tcW w:w="2268" w:type="dxa"/>
            <w:vAlign w:val="bottom"/>
          </w:tcPr>
          <w:p w14:paraId="77A90C9A" w14:textId="3E619305"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0.268</w:t>
            </w:r>
          </w:p>
        </w:tc>
        <w:tc>
          <w:tcPr>
            <w:tcW w:w="1084" w:type="dxa"/>
            <w:vAlign w:val="bottom"/>
          </w:tcPr>
          <w:p w14:paraId="2B556DC0" w14:textId="262C307B"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14</w:t>
            </w:r>
          </w:p>
        </w:tc>
      </w:tr>
      <w:tr w:rsidR="007E2044" w:rsidRPr="00525CB0" w14:paraId="07AD3D24" w14:textId="77777777" w:rsidTr="00E94BFC">
        <w:trPr>
          <w:trHeight w:val="340"/>
        </w:trPr>
        <w:tc>
          <w:tcPr>
            <w:tcW w:w="2122" w:type="dxa"/>
            <w:vAlign w:val="bottom"/>
          </w:tcPr>
          <w:p w14:paraId="11454C15" w14:textId="7D8CF52F"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Trat</w:t>
            </w:r>
          </w:p>
        </w:tc>
        <w:tc>
          <w:tcPr>
            <w:tcW w:w="1701" w:type="dxa"/>
            <w:vAlign w:val="bottom"/>
          </w:tcPr>
          <w:p w14:paraId="2A847FBF" w14:textId="57E2B051"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0.183</w:t>
            </w:r>
          </w:p>
        </w:tc>
        <w:tc>
          <w:tcPr>
            <w:tcW w:w="1842" w:type="dxa"/>
            <w:vAlign w:val="bottom"/>
          </w:tcPr>
          <w:p w14:paraId="38258C1E" w14:textId="59E0CA9E"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0.346</w:t>
            </w:r>
          </w:p>
        </w:tc>
        <w:tc>
          <w:tcPr>
            <w:tcW w:w="2268" w:type="dxa"/>
            <w:vAlign w:val="bottom"/>
          </w:tcPr>
          <w:p w14:paraId="137D2A8D" w14:textId="22D71A60"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0.265</w:t>
            </w:r>
          </w:p>
        </w:tc>
        <w:tc>
          <w:tcPr>
            <w:tcW w:w="1084" w:type="dxa"/>
            <w:vAlign w:val="bottom"/>
          </w:tcPr>
          <w:p w14:paraId="43D619EC" w14:textId="087014B1"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15</w:t>
            </w:r>
          </w:p>
        </w:tc>
      </w:tr>
      <w:tr w:rsidR="007E2044" w:rsidRPr="00525CB0" w14:paraId="1BA352C9" w14:textId="77777777" w:rsidTr="00E94BFC">
        <w:trPr>
          <w:trHeight w:val="340"/>
        </w:trPr>
        <w:tc>
          <w:tcPr>
            <w:tcW w:w="2122" w:type="dxa"/>
            <w:vAlign w:val="bottom"/>
          </w:tcPr>
          <w:p w14:paraId="1C0F4FB8" w14:textId="134B47FF" w:rsidR="007E2044" w:rsidRPr="003F3D65" w:rsidRDefault="007E2044" w:rsidP="007E2044">
            <w:pPr>
              <w:contextualSpacing/>
              <w:rPr>
                <w:rFonts w:ascii="Arial" w:hAnsi="Arial" w:cs="Arial"/>
                <w:color w:val="000000" w:themeColor="text1"/>
                <w:sz w:val="24"/>
                <w:szCs w:val="24"/>
              </w:rPr>
            </w:pPr>
            <w:r w:rsidRPr="007E2044">
              <w:rPr>
                <w:rFonts w:ascii="Arial" w:hAnsi="Arial" w:cs="Arial"/>
                <w:color w:val="000000"/>
                <w:sz w:val="18"/>
                <w:szCs w:val="22"/>
              </w:rPr>
              <w:t>Nakhon Si Thammarat</w:t>
            </w:r>
          </w:p>
        </w:tc>
        <w:tc>
          <w:tcPr>
            <w:tcW w:w="1701" w:type="dxa"/>
            <w:vAlign w:val="bottom"/>
          </w:tcPr>
          <w:p w14:paraId="1271FDD1" w14:textId="4058AE1C"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0.231</w:t>
            </w:r>
          </w:p>
        </w:tc>
        <w:tc>
          <w:tcPr>
            <w:tcW w:w="1842" w:type="dxa"/>
            <w:vAlign w:val="bottom"/>
          </w:tcPr>
          <w:p w14:paraId="3A2308B4" w14:textId="4711EACA"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0.293</w:t>
            </w:r>
          </w:p>
        </w:tc>
        <w:tc>
          <w:tcPr>
            <w:tcW w:w="2268" w:type="dxa"/>
            <w:vAlign w:val="bottom"/>
          </w:tcPr>
          <w:p w14:paraId="6D11A9B2" w14:textId="7D0CBACC"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0.262</w:t>
            </w:r>
          </w:p>
        </w:tc>
        <w:tc>
          <w:tcPr>
            <w:tcW w:w="1084" w:type="dxa"/>
            <w:vAlign w:val="bottom"/>
          </w:tcPr>
          <w:p w14:paraId="59A7F65E" w14:textId="4CE2F7A2"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16</w:t>
            </w:r>
          </w:p>
        </w:tc>
      </w:tr>
      <w:tr w:rsidR="007E2044" w:rsidRPr="00525CB0" w14:paraId="73C71FB5" w14:textId="77777777" w:rsidTr="00E94BFC">
        <w:trPr>
          <w:trHeight w:val="340"/>
        </w:trPr>
        <w:tc>
          <w:tcPr>
            <w:tcW w:w="2122" w:type="dxa"/>
            <w:vAlign w:val="bottom"/>
          </w:tcPr>
          <w:p w14:paraId="63ABAC4E" w14:textId="31FE6675" w:rsidR="007E2044" w:rsidRPr="003F3D65" w:rsidRDefault="007E2044" w:rsidP="007E2044">
            <w:pPr>
              <w:contextualSpacing/>
              <w:rPr>
                <w:rFonts w:ascii="Arial" w:hAnsi="Arial" w:cs="Arial"/>
                <w:color w:val="000000" w:themeColor="text1"/>
                <w:sz w:val="24"/>
                <w:szCs w:val="24"/>
              </w:rPr>
            </w:pPr>
            <w:r>
              <w:rPr>
                <w:rFonts w:ascii="Arial" w:hAnsi="Arial" w:cs="Arial"/>
                <w:color w:val="000000"/>
              </w:rPr>
              <w:t>Rayong</w:t>
            </w:r>
          </w:p>
        </w:tc>
        <w:tc>
          <w:tcPr>
            <w:tcW w:w="1701" w:type="dxa"/>
            <w:vAlign w:val="bottom"/>
          </w:tcPr>
          <w:p w14:paraId="4BFE0A85" w14:textId="21320EDF"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0.425</w:t>
            </w:r>
          </w:p>
        </w:tc>
        <w:tc>
          <w:tcPr>
            <w:tcW w:w="1842" w:type="dxa"/>
            <w:vAlign w:val="bottom"/>
          </w:tcPr>
          <w:p w14:paraId="6BE67684" w14:textId="4B7E5F7E"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0.098</w:t>
            </w:r>
          </w:p>
        </w:tc>
        <w:tc>
          <w:tcPr>
            <w:tcW w:w="2268" w:type="dxa"/>
            <w:vAlign w:val="bottom"/>
          </w:tcPr>
          <w:p w14:paraId="035D9CDE" w14:textId="20F6859F" w:rsidR="007E2044" w:rsidRPr="003F3D65" w:rsidRDefault="007E2044" w:rsidP="007E2044">
            <w:pPr>
              <w:contextualSpacing/>
              <w:jc w:val="center"/>
              <w:rPr>
                <w:rFonts w:ascii="Arial" w:hAnsi="Arial" w:cs="Arial"/>
                <w:color w:val="000000" w:themeColor="text1"/>
                <w:sz w:val="24"/>
                <w:szCs w:val="24"/>
              </w:rPr>
            </w:pPr>
            <w:r>
              <w:rPr>
                <w:rFonts w:ascii="Arial" w:hAnsi="Arial" w:cs="Arial"/>
                <w:color w:val="000000"/>
              </w:rPr>
              <w:t>0.261</w:t>
            </w:r>
          </w:p>
        </w:tc>
        <w:tc>
          <w:tcPr>
            <w:tcW w:w="1084" w:type="dxa"/>
            <w:vAlign w:val="bottom"/>
          </w:tcPr>
          <w:p w14:paraId="3957AE51" w14:textId="00FEE402" w:rsidR="007E2044" w:rsidRPr="003F3D65" w:rsidRDefault="007E2044" w:rsidP="007E2044">
            <w:pPr>
              <w:contextualSpacing/>
              <w:jc w:val="center"/>
              <w:rPr>
                <w:rFonts w:ascii="Arial" w:eastAsia="Times New Roman" w:hAnsi="Arial" w:cs="Arial"/>
                <w:color w:val="000000" w:themeColor="text1"/>
                <w:kern w:val="0"/>
                <w:sz w:val="24"/>
                <w:szCs w:val="24"/>
                <w14:ligatures w14:val="none"/>
              </w:rPr>
            </w:pPr>
            <w:r>
              <w:rPr>
                <w:rFonts w:ascii="Arial" w:hAnsi="Arial" w:cs="Arial"/>
                <w:color w:val="000000"/>
              </w:rPr>
              <w:t>17</w:t>
            </w:r>
          </w:p>
        </w:tc>
      </w:tr>
      <w:bookmarkEnd w:id="15"/>
    </w:tbl>
    <w:p w14:paraId="39184B21" w14:textId="77777777" w:rsidR="00E75A83" w:rsidRPr="00B97B69" w:rsidRDefault="00E75A83" w:rsidP="00710A62">
      <w:pPr>
        <w:spacing w:after="0" w:line="360" w:lineRule="auto"/>
        <w:contextualSpacing/>
        <w:jc w:val="thaiDistribute"/>
        <w:rPr>
          <w:rFonts w:ascii="Arial" w:hAnsi="Arial"/>
          <w:color w:val="000000" w:themeColor="text1"/>
          <w:sz w:val="24"/>
          <w:szCs w:val="24"/>
        </w:rPr>
      </w:pPr>
    </w:p>
    <w:p w14:paraId="4EACD7AD" w14:textId="4C51FBA0" w:rsidR="00CB4CDE" w:rsidRDefault="00785D80" w:rsidP="00710A62">
      <w:pPr>
        <w:spacing w:after="0" w:line="360" w:lineRule="auto"/>
        <w:contextualSpacing/>
        <w:jc w:val="thaiDistribute"/>
        <w:rPr>
          <w:rFonts w:ascii="Arial" w:hAnsi="Arial" w:cs="Arial"/>
          <w:color w:val="000000" w:themeColor="text1"/>
          <w:sz w:val="24"/>
          <w:szCs w:val="24"/>
        </w:rPr>
      </w:pPr>
      <w:bookmarkStart w:id="16" w:name="_Hlk215692620"/>
      <w:r w:rsidRPr="00785D80">
        <w:rPr>
          <w:rFonts w:ascii="Arial" w:hAnsi="Arial" w:cs="Arial"/>
          <w:color w:val="000000" w:themeColor="text1"/>
          <w:sz w:val="24"/>
          <w:szCs w:val="24"/>
        </w:rPr>
        <w:t>Incorporating area weighting, the 'Overall risk magnitude' (</w:t>
      </w:r>
      <w:proofErr w:type="spellStart"/>
      <w:r w:rsidRPr="00785D80">
        <w:rPr>
          <w:rFonts w:ascii="Arial" w:hAnsi="Arial" w:cs="Arial"/>
          <w:color w:val="000000" w:themeColor="text1"/>
          <w:sz w:val="24"/>
          <w:szCs w:val="24"/>
        </w:rPr>
        <w:t>CRI_Final</w:t>
      </w:r>
      <w:proofErr w:type="spellEnd"/>
      <w:r w:rsidRPr="00785D80">
        <w:rPr>
          <w:rFonts w:ascii="Arial" w:hAnsi="Arial" w:cs="Arial"/>
          <w:color w:val="000000" w:themeColor="text1"/>
          <w:sz w:val="24"/>
          <w:szCs w:val="24"/>
        </w:rPr>
        <w:t>) measures total risk volume rather than concentration, causing a distinct shift in priorities. Surat Thani (0.0</w:t>
      </w:r>
      <w:r w:rsidR="00AC2961">
        <w:rPr>
          <w:rFonts w:ascii="Arial" w:hAnsi="Arial" w:cs="Arial"/>
          <w:color w:val="000000" w:themeColor="text1"/>
          <w:sz w:val="24"/>
          <w:szCs w:val="24"/>
        </w:rPr>
        <w:t>5</w:t>
      </w:r>
      <w:r w:rsidR="00C022BD">
        <w:rPr>
          <w:rFonts w:ascii="Arial" w:hAnsi="Arial" w:cs="Arial"/>
          <w:color w:val="000000" w:themeColor="text1"/>
          <w:sz w:val="24"/>
          <w:szCs w:val="24"/>
        </w:rPr>
        <w:t>5</w:t>
      </w:r>
      <w:r w:rsidRPr="00785D80">
        <w:rPr>
          <w:rFonts w:ascii="Arial" w:hAnsi="Arial" w:cs="Arial"/>
          <w:color w:val="000000" w:themeColor="text1"/>
          <w:sz w:val="24"/>
          <w:szCs w:val="24"/>
        </w:rPr>
        <w:t>), Songkhla (0.0</w:t>
      </w:r>
      <w:r w:rsidR="00AC2961">
        <w:rPr>
          <w:rFonts w:ascii="Arial" w:hAnsi="Arial" w:cs="Arial"/>
          <w:color w:val="000000" w:themeColor="text1"/>
          <w:sz w:val="24"/>
          <w:szCs w:val="24"/>
        </w:rPr>
        <w:t>3</w:t>
      </w:r>
      <w:r w:rsidR="00C022BD">
        <w:rPr>
          <w:rFonts w:ascii="Arial" w:hAnsi="Arial" w:cs="Arial"/>
          <w:color w:val="000000" w:themeColor="text1"/>
          <w:sz w:val="24"/>
          <w:szCs w:val="24"/>
        </w:rPr>
        <w:t>3</w:t>
      </w:r>
      <w:r w:rsidRPr="00785D80">
        <w:rPr>
          <w:rFonts w:ascii="Arial" w:hAnsi="Arial" w:cs="Arial"/>
          <w:color w:val="000000" w:themeColor="text1"/>
          <w:sz w:val="24"/>
          <w:szCs w:val="24"/>
        </w:rPr>
        <w:t>)</w:t>
      </w:r>
      <w:r w:rsidR="00AC2961">
        <w:rPr>
          <w:rFonts w:ascii="Arial" w:hAnsi="Arial" w:cs="Arial"/>
          <w:color w:val="000000" w:themeColor="text1"/>
          <w:sz w:val="24"/>
          <w:szCs w:val="24"/>
        </w:rPr>
        <w:t>, and Nakhon Si Thammarat (0.03</w:t>
      </w:r>
      <w:r w:rsidR="00C022BD">
        <w:rPr>
          <w:rFonts w:ascii="Arial" w:hAnsi="Arial" w:cs="Arial"/>
          <w:color w:val="000000" w:themeColor="text1"/>
          <w:sz w:val="24"/>
          <w:szCs w:val="24"/>
        </w:rPr>
        <w:t>2</w:t>
      </w:r>
      <w:r w:rsidR="00AC2961">
        <w:rPr>
          <w:rFonts w:ascii="Arial" w:hAnsi="Arial" w:cs="Arial"/>
          <w:color w:val="000000" w:themeColor="text1"/>
          <w:sz w:val="24"/>
          <w:szCs w:val="24"/>
        </w:rPr>
        <w:t>)</w:t>
      </w:r>
      <w:r w:rsidRPr="00785D80">
        <w:rPr>
          <w:rFonts w:ascii="Arial" w:hAnsi="Arial" w:cs="Arial"/>
          <w:color w:val="000000" w:themeColor="text1"/>
          <w:sz w:val="24"/>
          <w:szCs w:val="24"/>
        </w:rPr>
        <w:t xml:space="preserve"> rise to the top </w:t>
      </w:r>
      <w:r w:rsidRPr="00785D80">
        <w:rPr>
          <w:rFonts w:ascii="Arial" w:hAnsi="Arial" w:cs="Arial"/>
          <w:b/>
          <w:bCs/>
          <w:color w:val="000000" w:themeColor="text1"/>
          <w:sz w:val="24"/>
          <w:szCs w:val="24"/>
        </w:rPr>
        <w:t>(Table 2.4)</w:t>
      </w:r>
      <w:r w:rsidRPr="00785D80">
        <w:rPr>
          <w:rFonts w:ascii="Arial" w:hAnsi="Arial" w:cs="Arial"/>
          <w:color w:val="000000" w:themeColor="text1"/>
          <w:sz w:val="24"/>
          <w:szCs w:val="24"/>
        </w:rPr>
        <w:t xml:space="preserve"> as extensive geography increases the aggregate exposure of critical habitats </w:t>
      </w:r>
      <w:bookmarkEnd w:id="16"/>
      <w:r w:rsidRPr="00785D80">
        <w:rPr>
          <w:rFonts w:ascii="Arial" w:hAnsi="Arial" w:cs="Arial"/>
          <w:color w:val="000000" w:themeColor="text1"/>
          <w:sz w:val="24"/>
          <w:szCs w:val="24"/>
        </w:rPr>
        <w:t>and communities. Conversely, rankings for smaller provinces like Samut Songkhram and Samut Sakhon decline, confirming that while local pressures are intense, overall resource exposure is limited by size.</w:t>
      </w:r>
    </w:p>
    <w:p w14:paraId="2FB1E305" w14:textId="77777777" w:rsidR="00785D80" w:rsidRPr="00B97B69" w:rsidRDefault="00785D80" w:rsidP="00710A62">
      <w:pPr>
        <w:spacing w:after="0" w:line="360" w:lineRule="auto"/>
        <w:contextualSpacing/>
        <w:jc w:val="thaiDistribute"/>
        <w:rPr>
          <w:rFonts w:ascii="Arial" w:hAnsi="Arial" w:cs="Arial"/>
          <w:color w:val="000000" w:themeColor="text1"/>
          <w:sz w:val="24"/>
          <w:szCs w:val="24"/>
        </w:rPr>
      </w:pPr>
    </w:p>
    <w:p w14:paraId="25AE7495" w14:textId="77777777" w:rsidR="00E75A83" w:rsidRPr="00B97B69" w:rsidRDefault="00E75A83" w:rsidP="00710A62">
      <w:pPr>
        <w:spacing w:after="0" w:line="360" w:lineRule="auto"/>
        <w:contextualSpacing/>
        <w:jc w:val="thaiDistribute"/>
        <w:rPr>
          <w:rFonts w:ascii="Arial" w:hAnsi="Arial"/>
          <w:color w:val="000000" w:themeColor="text1"/>
          <w:sz w:val="24"/>
          <w:szCs w:val="24"/>
        </w:rPr>
      </w:pPr>
      <w:r w:rsidRPr="00B97B69">
        <w:rPr>
          <w:rFonts w:ascii="Arial" w:hAnsi="Arial"/>
          <w:b/>
          <w:bCs/>
          <w:color w:val="000000" w:themeColor="text1"/>
          <w:sz w:val="24"/>
          <w:szCs w:val="24"/>
        </w:rPr>
        <w:lastRenderedPageBreak/>
        <w:t>Table 2.4</w:t>
      </w:r>
      <w:r w:rsidRPr="00B97B69">
        <w:rPr>
          <w:rFonts w:ascii="Arial" w:hAnsi="Arial"/>
          <w:color w:val="000000" w:themeColor="text1"/>
          <w:sz w:val="24"/>
          <w:szCs w:val="24"/>
        </w:rPr>
        <w:t xml:space="preserve"> Overall risk magnitude assessment (</w:t>
      </w:r>
      <w:proofErr w:type="spellStart"/>
      <w:r w:rsidRPr="00B97B69">
        <w:rPr>
          <w:rFonts w:ascii="Arial" w:hAnsi="Arial"/>
          <w:color w:val="000000" w:themeColor="text1"/>
          <w:sz w:val="24"/>
          <w:szCs w:val="24"/>
        </w:rPr>
        <w:t>CRI_Final</w:t>
      </w:r>
      <w:proofErr w:type="spellEnd"/>
      <w:r w:rsidRPr="00B97B69">
        <w:rPr>
          <w:rFonts w:ascii="Arial" w:hAnsi="Arial"/>
          <w:color w:val="000000" w:themeColor="text1"/>
          <w:sz w:val="24"/>
          <w:szCs w:val="24"/>
        </w:rPr>
        <w:t>) and provincial ranking after area weighting</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0"/>
        <w:gridCol w:w="2168"/>
        <w:gridCol w:w="1040"/>
        <w:gridCol w:w="879"/>
        <w:gridCol w:w="2154"/>
        <w:gridCol w:w="706"/>
      </w:tblGrid>
      <w:tr w:rsidR="001948C8" w:rsidRPr="001948C8" w14:paraId="417CD5E0" w14:textId="77777777" w:rsidTr="00BB7C85">
        <w:trPr>
          <w:trHeight w:val="340"/>
        </w:trPr>
        <w:tc>
          <w:tcPr>
            <w:tcW w:w="1152" w:type="pct"/>
            <w:tcBorders>
              <w:top w:val="single" w:sz="4" w:space="0" w:color="auto"/>
              <w:bottom w:val="single" w:sz="4" w:space="0" w:color="auto"/>
            </w:tcBorders>
            <w:vAlign w:val="center"/>
          </w:tcPr>
          <w:p w14:paraId="30BB38F1"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Province</w:t>
            </w:r>
          </w:p>
        </w:tc>
        <w:tc>
          <w:tcPr>
            <w:tcW w:w="1201" w:type="pct"/>
            <w:tcBorders>
              <w:top w:val="single" w:sz="4" w:space="0" w:color="auto"/>
              <w:bottom w:val="single" w:sz="4" w:space="0" w:color="auto"/>
            </w:tcBorders>
            <w:vAlign w:val="center"/>
          </w:tcPr>
          <w:p w14:paraId="198453F7"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Risk intensity score (</w:t>
            </w:r>
            <w:proofErr w:type="spellStart"/>
            <w:r w:rsidRPr="001948C8">
              <w:rPr>
                <w:rFonts w:ascii="Arial" w:hAnsi="Arial" w:cs="Arial"/>
                <w:b/>
                <w:bCs/>
                <w:color w:val="000000" w:themeColor="text1"/>
                <w:sz w:val="20"/>
                <w:szCs w:val="20"/>
              </w:rPr>
              <w:t>CRI_Unweighted</w:t>
            </w:r>
            <w:proofErr w:type="spellEnd"/>
            <w:r w:rsidRPr="001948C8">
              <w:rPr>
                <w:rFonts w:ascii="Arial" w:hAnsi="Arial" w:cs="Arial"/>
                <w:b/>
                <w:bCs/>
                <w:color w:val="000000" w:themeColor="text1"/>
                <w:sz w:val="20"/>
                <w:szCs w:val="20"/>
              </w:rPr>
              <w:t>)</w:t>
            </w:r>
          </w:p>
        </w:tc>
        <w:tc>
          <w:tcPr>
            <w:tcW w:w="576" w:type="pct"/>
            <w:tcBorders>
              <w:top w:val="single" w:sz="4" w:space="0" w:color="auto"/>
              <w:bottom w:val="single" w:sz="4" w:space="0" w:color="auto"/>
            </w:tcBorders>
            <w:vAlign w:val="center"/>
          </w:tcPr>
          <w:p w14:paraId="0495D91D"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Intensity rank</w:t>
            </w:r>
          </w:p>
        </w:tc>
        <w:tc>
          <w:tcPr>
            <w:tcW w:w="487" w:type="pct"/>
            <w:tcBorders>
              <w:top w:val="single" w:sz="4" w:space="0" w:color="auto"/>
              <w:bottom w:val="single" w:sz="4" w:space="0" w:color="auto"/>
            </w:tcBorders>
            <w:vAlign w:val="center"/>
          </w:tcPr>
          <w:p w14:paraId="03B6F1B9"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Area weight</w:t>
            </w:r>
          </w:p>
        </w:tc>
        <w:tc>
          <w:tcPr>
            <w:tcW w:w="1193" w:type="pct"/>
            <w:tcBorders>
              <w:top w:val="single" w:sz="4" w:space="0" w:color="auto"/>
              <w:bottom w:val="single" w:sz="4" w:space="0" w:color="auto"/>
            </w:tcBorders>
            <w:vAlign w:val="center"/>
          </w:tcPr>
          <w:p w14:paraId="1C6404ED"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Risk magnitude score (</w:t>
            </w:r>
            <w:proofErr w:type="spellStart"/>
            <w:r w:rsidRPr="001948C8">
              <w:rPr>
                <w:rFonts w:ascii="Arial" w:hAnsi="Arial" w:cs="Arial"/>
                <w:b/>
                <w:bCs/>
                <w:color w:val="000000" w:themeColor="text1"/>
                <w:sz w:val="20"/>
                <w:szCs w:val="20"/>
              </w:rPr>
              <w:t>CRI_Final</w:t>
            </w:r>
            <w:proofErr w:type="spellEnd"/>
            <w:r w:rsidRPr="001948C8">
              <w:rPr>
                <w:rFonts w:ascii="Arial" w:hAnsi="Arial" w:cs="Arial"/>
                <w:b/>
                <w:bCs/>
                <w:color w:val="000000" w:themeColor="text1"/>
                <w:sz w:val="20"/>
                <w:szCs w:val="20"/>
              </w:rPr>
              <w:t>)</w:t>
            </w:r>
          </w:p>
        </w:tc>
        <w:tc>
          <w:tcPr>
            <w:tcW w:w="391" w:type="pct"/>
            <w:tcBorders>
              <w:top w:val="single" w:sz="4" w:space="0" w:color="auto"/>
              <w:bottom w:val="single" w:sz="4" w:space="0" w:color="auto"/>
            </w:tcBorders>
            <w:vAlign w:val="center"/>
          </w:tcPr>
          <w:p w14:paraId="441DACD9" w14:textId="77777777" w:rsidR="00E75A83" w:rsidRPr="001948C8" w:rsidRDefault="00E75A83" w:rsidP="00BB7C85">
            <w:pPr>
              <w:contextualSpacing/>
              <w:jc w:val="center"/>
              <w:rPr>
                <w:rFonts w:ascii="Arial" w:hAnsi="Arial" w:cs="Arial"/>
                <w:b/>
                <w:bCs/>
                <w:color w:val="000000" w:themeColor="text1"/>
                <w:sz w:val="20"/>
                <w:szCs w:val="20"/>
              </w:rPr>
            </w:pPr>
            <w:r w:rsidRPr="001948C8">
              <w:rPr>
                <w:rFonts w:ascii="Arial" w:hAnsi="Arial" w:cs="Arial"/>
                <w:b/>
                <w:bCs/>
                <w:color w:val="000000" w:themeColor="text1"/>
                <w:sz w:val="20"/>
                <w:szCs w:val="20"/>
              </w:rPr>
              <w:t>Final rank</w:t>
            </w:r>
          </w:p>
        </w:tc>
      </w:tr>
      <w:tr w:rsidR="007E2044" w:rsidRPr="001948C8" w14:paraId="6561ADAD" w14:textId="77777777" w:rsidTr="00BB7C85">
        <w:trPr>
          <w:trHeight w:val="340"/>
        </w:trPr>
        <w:tc>
          <w:tcPr>
            <w:tcW w:w="1152" w:type="pct"/>
            <w:tcBorders>
              <w:top w:val="single" w:sz="4" w:space="0" w:color="auto"/>
            </w:tcBorders>
            <w:vAlign w:val="bottom"/>
          </w:tcPr>
          <w:p w14:paraId="6D25D26E" w14:textId="42035744" w:rsidR="007E2044" w:rsidRPr="007E2044" w:rsidRDefault="007E2044" w:rsidP="007E2044">
            <w:pPr>
              <w:contextualSpacing/>
              <w:rPr>
                <w:rFonts w:ascii="Arial" w:hAnsi="Arial" w:cs="Arial"/>
                <w:sz w:val="20"/>
                <w:szCs w:val="20"/>
              </w:rPr>
            </w:pPr>
            <w:r w:rsidRPr="007E2044">
              <w:rPr>
                <w:rFonts w:ascii="Arial" w:hAnsi="Arial" w:cs="Arial"/>
                <w:sz w:val="20"/>
                <w:szCs w:val="20"/>
              </w:rPr>
              <w:t>Surat-Thani</w:t>
            </w:r>
          </w:p>
        </w:tc>
        <w:tc>
          <w:tcPr>
            <w:tcW w:w="1201" w:type="pct"/>
            <w:tcBorders>
              <w:top w:val="single" w:sz="4" w:space="0" w:color="auto"/>
            </w:tcBorders>
            <w:vAlign w:val="bottom"/>
          </w:tcPr>
          <w:p w14:paraId="5F06C0EB" w14:textId="104CF466"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0.348</w:t>
            </w:r>
          </w:p>
        </w:tc>
        <w:tc>
          <w:tcPr>
            <w:tcW w:w="576" w:type="pct"/>
            <w:tcBorders>
              <w:top w:val="single" w:sz="4" w:space="0" w:color="auto"/>
            </w:tcBorders>
            <w:vAlign w:val="bottom"/>
          </w:tcPr>
          <w:p w14:paraId="2123D40F" w14:textId="45CA417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9</w:t>
            </w:r>
          </w:p>
        </w:tc>
        <w:tc>
          <w:tcPr>
            <w:tcW w:w="487" w:type="pct"/>
            <w:tcBorders>
              <w:top w:val="single" w:sz="4" w:space="0" w:color="auto"/>
            </w:tcBorders>
            <w:vAlign w:val="bottom"/>
          </w:tcPr>
          <w:p w14:paraId="768B115F" w14:textId="44AAF99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0.158</w:t>
            </w:r>
          </w:p>
        </w:tc>
        <w:tc>
          <w:tcPr>
            <w:tcW w:w="1193" w:type="pct"/>
            <w:tcBorders>
              <w:top w:val="single" w:sz="4" w:space="0" w:color="auto"/>
            </w:tcBorders>
            <w:vAlign w:val="bottom"/>
          </w:tcPr>
          <w:p w14:paraId="5026661E" w14:textId="0EDE5E56"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0.055</w:t>
            </w:r>
          </w:p>
        </w:tc>
        <w:tc>
          <w:tcPr>
            <w:tcW w:w="391" w:type="pct"/>
            <w:tcBorders>
              <w:top w:val="single" w:sz="4" w:space="0" w:color="auto"/>
            </w:tcBorders>
            <w:vAlign w:val="bottom"/>
          </w:tcPr>
          <w:p w14:paraId="6C28696F" w14:textId="3C2E1411"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w:t>
            </w:r>
          </w:p>
        </w:tc>
      </w:tr>
      <w:tr w:rsidR="007E2044" w:rsidRPr="001948C8" w14:paraId="1553590F" w14:textId="77777777" w:rsidTr="00BB7C85">
        <w:trPr>
          <w:trHeight w:val="340"/>
        </w:trPr>
        <w:tc>
          <w:tcPr>
            <w:tcW w:w="1152" w:type="pct"/>
            <w:vAlign w:val="bottom"/>
          </w:tcPr>
          <w:p w14:paraId="6F50A47B" w14:textId="660697CD" w:rsidR="007E2044" w:rsidRPr="007E2044" w:rsidRDefault="007E2044" w:rsidP="007E2044">
            <w:pPr>
              <w:contextualSpacing/>
              <w:rPr>
                <w:rFonts w:ascii="Arial" w:hAnsi="Arial" w:cs="Arial"/>
                <w:sz w:val="20"/>
                <w:szCs w:val="20"/>
              </w:rPr>
            </w:pPr>
            <w:r w:rsidRPr="007E2044">
              <w:rPr>
                <w:rFonts w:ascii="Arial" w:hAnsi="Arial" w:cs="Arial"/>
                <w:sz w:val="20"/>
                <w:szCs w:val="20"/>
              </w:rPr>
              <w:t>Songkhla</w:t>
            </w:r>
          </w:p>
        </w:tc>
        <w:tc>
          <w:tcPr>
            <w:tcW w:w="1201" w:type="pct"/>
            <w:vAlign w:val="bottom"/>
          </w:tcPr>
          <w:p w14:paraId="03C2EC56" w14:textId="15C44AC5"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0.367</w:t>
            </w:r>
          </w:p>
        </w:tc>
        <w:tc>
          <w:tcPr>
            <w:tcW w:w="576" w:type="pct"/>
            <w:vAlign w:val="bottom"/>
          </w:tcPr>
          <w:p w14:paraId="67F15736" w14:textId="752E0B94"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7</w:t>
            </w:r>
          </w:p>
        </w:tc>
        <w:tc>
          <w:tcPr>
            <w:tcW w:w="487" w:type="pct"/>
            <w:vAlign w:val="bottom"/>
          </w:tcPr>
          <w:p w14:paraId="30ABA6C2" w14:textId="6454732F"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0.091</w:t>
            </w:r>
          </w:p>
        </w:tc>
        <w:tc>
          <w:tcPr>
            <w:tcW w:w="1193" w:type="pct"/>
            <w:vAlign w:val="bottom"/>
          </w:tcPr>
          <w:p w14:paraId="442928C8" w14:textId="5334A4A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0.033</w:t>
            </w:r>
          </w:p>
        </w:tc>
        <w:tc>
          <w:tcPr>
            <w:tcW w:w="391" w:type="pct"/>
            <w:vAlign w:val="bottom"/>
          </w:tcPr>
          <w:p w14:paraId="7A0E655B" w14:textId="0E21F30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2</w:t>
            </w:r>
          </w:p>
        </w:tc>
      </w:tr>
      <w:tr w:rsidR="007E2044" w:rsidRPr="001948C8" w14:paraId="6C46BF22" w14:textId="77777777" w:rsidTr="00BB7C85">
        <w:trPr>
          <w:trHeight w:val="340"/>
        </w:trPr>
        <w:tc>
          <w:tcPr>
            <w:tcW w:w="1152" w:type="pct"/>
            <w:vAlign w:val="bottom"/>
          </w:tcPr>
          <w:p w14:paraId="398C57CF" w14:textId="7D6ABD6A" w:rsidR="007E2044" w:rsidRPr="007E2044" w:rsidRDefault="007E2044" w:rsidP="007E2044">
            <w:pPr>
              <w:contextualSpacing/>
              <w:rPr>
                <w:rFonts w:ascii="Arial" w:hAnsi="Arial" w:cs="Arial"/>
                <w:sz w:val="20"/>
                <w:szCs w:val="20"/>
              </w:rPr>
            </w:pPr>
            <w:r w:rsidRPr="007E2044">
              <w:rPr>
                <w:rFonts w:ascii="Arial" w:hAnsi="Arial" w:cs="Arial"/>
                <w:sz w:val="18"/>
                <w:szCs w:val="18"/>
              </w:rPr>
              <w:t>Nakhon Si Thammarat</w:t>
            </w:r>
          </w:p>
        </w:tc>
        <w:tc>
          <w:tcPr>
            <w:tcW w:w="1201" w:type="pct"/>
            <w:vAlign w:val="bottom"/>
          </w:tcPr>
          <w:p w14:paraId="5811855A" w14:textId="06BAA02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0.262</w:t>
            </w:r>
          </w:p>
        </w:tc>
        <w:tc>
          <w:tcPr>
            <w:tcW w:w="576" w:type="pct"/>
            <w:vAlign w:val="bottom"/>
          </w:tcPr>
          <w:p w14:paraId="3335AFC7" w14:textId="49DD1871"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16</w:t>
            </w:r>
          </w:p>
        </w:tc>
        <w:tc>
          <w:tcPr>
            <w:tcW w:w="487" w:type="pct"/>
            <w:vAlign w:val="bottom"/>
          </w:tcPr>
          <w:p w14:paraId="2DA53638" w14:textId="7FCD15D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0.122</w:t>
            </w:r>
          </w:p>
        </w:tc>
        <w:tc>
          <w:tcPr>
            <w:tcW w:w="1193" w:type="pct"/>
            <w:vAlign w:val="bottom"/>
          </w:tcPr>
          <w:p w14:paraId="361DBC6A" w14:textId="225B786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0.032</w:t>
            </w:r>
          </w:p>
        </w:tc>
        <w:tc>
          <w:tcPr>
            <w:tcW w:w="391" w:type="pct"/>
            <w:vAlign w:val="bottom"/>
          </w:tcPr>
          <w:p w14:paraId="2DD1FF95" w14:textId="1883C82F"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3</w:t>
            </w:r>
          </w:p>
        </w:tc>
      </w:tr>
      <w:tr w:rsidR="007E2044" w:rsidRPr="001948C8" w14:paraId="0849ED6C" w14:textId="77777777" w:rsidTr="00BB7C85">
        <w:trPr>
          <w:trHeight w:val="340"/>
        </w:trPr>
        <w:tc>
          <w:tcPr>
            <w:tcW w:w="1152" w:type="pct"/>
            <w:vAlign w:val="bottom"/>
          </w:tcPr>
          <w:p w14:paraId="711F6A8B" w14:textId="2498DEC1" w:rsidR="007E2044" w:rsidRPr="007E2044" w:rsidRDefault="007E2044" w:rsidP="007E2044">
            <w:pPr>
              <w:contextualSpacing/>
              <w:rPr>
                <w:rFonts w:ascii="Arial" w:hAnsi="Arial" w:cs="Arial"/>
                <w:sz w:val="20"/>
                <w:szCs w:val="20"/>
              </w:rPr>
            </w:pPr>
            <w:r w:rsidRPr="007E2044">
              <w:rPr>
                <w:rFonts w:ascii="Arial" w:hAnsi="Arial" w:cs="Arial"/>
                <w:sz w:val="20"/>
                <w:szCs w:val="20"/>
              </w:rPr>
              <w:t>Chumphon</w:t>
            </w:r>
          </w:p>
        </w:tc>
        <w:tc>
          <w:tcPr>
            <w:tcW w:w="1201" w:type="pct"/>
            <w:vAlign w:val="bottom"/>
          </w:tcPr>
          <w:p w14:paraId="5D47459D" w14:textId="646619E2"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0.372</w:t>
            </w:r>
          </w:p>
        </w:tc>
        <w:tc>
          <w:tcPr>
            <w:tcW w:w="576" w:type="pct"/>
            <w:vAlign w:val="bottom"/>
          </w:tcPr>
          <w:p w14:paraId="12468043" w14:textId="483C70D7"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5</w:t>
            </w:r>
          </w:p>
        </w:tc>
        <w:tc>
          <w:tcPr>
            <w:tcW w:w="487" w:type="pct"/>
            <w:vAlign w:val="bottom"/>
          </w:tcPr>
          <w:p w14:paraId="35B35738" w14:textId="11A76DA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0.074</w:t>
            </w:r>
          </w:p>
        </w:tc>
        <w:tc>
          <w:tcPr>
            <w:tcW w:w="1193" w:type="pct"/>
            <w:vAlign w:val="bottom"/>
          </w:tcPr>
          <w:p w14:paraId="3C25C0C2" w14:textId="7E44FD07"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0.027</w:t>
            </w:r>
          </w:p>
        </w:tc>
        <w:tc>
          <w:tcPr>
            <w:tcW w:w="391" w:type="pct"/>
            <w:vAlign w:val="bottom"/>
          </w:tcPr>
          <w:p w14:paraId="0F609BE9" w14:textId="5BD42890"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4</w:t>
            </w:r>
          </w:p>
        </w:tc>
      </w:tr>
      <w:tr w:rsidR="007E2044" w:rsidRPr="001948C8" w14:paraId="0AEBE5B8" w14:textId="77777777" w:rsidTr="00BB7C85">
        <w:trPr>
          <w:trHeight w:val="340"/>
        </w:trPr>
        <w:tc>
          <w:tcPr>
            <w:tcW w:w="1152" w:type="pct"/>
            <w:vAlign w:val="bottom"/>
          </w:tcPr>
          <w:p w14:paraId="17260F6B" w14:textId="2748D93A" w:rsidR="007E2044" w:rsidRPr="007E2044" w:rsidRDefault="007E2044" w:rsidP="007E2044">
            <w:pPr>
              <w:contextualSpacing/>
              <w:rPr>
                <w:rFonts w:ascii="Arial" w:hAnsi="Arial" w:cs="Arial"/>
                <w:sz w:val="20"/>
                <w:szCs w:val="20"/>
              </w:rPr>
            </w:pPr>
            <w:r w:rsidRPr="007E2044">
              <w:rPr>
                <w:rFonts w:ascii="Arial" w:hAnsi="Arial" w:cs="Arial"/>
                <w:sz w:val="20"/>
                <w:szCs w:val="20"/>
              </w:rPr>
              <w:t>Phetchaburi</w:t>
            </w:r>
          </w:p>
        </w:tc>
        <w:tc>
          <w:tcPr>
            <w:tcW w:w="1201" w:type="pct"/>
            <w:vAlign w:val="bottom"/>
          </w:tcPr>
          <w:p w14:paraId="2A2A44C7" w14:textId="2B0BC926"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0.336</w:t>
            </w:r>
          </w:p>
        </w:tc>
        <w:tc>
          <w:tcPr>
            <w:tcW w:w="576" w:type="pct"/>
            <w:vAlign w:val="bottom"/>
          </w:tcPr>
          <w:p w14:paraId="329D5605" w14:textId="234A53B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10</w:t>
            </w:r>
          </w:p>
        </w:tc>
        <w:tc>
          <w:tcPr>
            <w:tcW w:w="487" w:type="pct"/>
            <w:vAlign w:val="bottom"/>
          </w:tcPr>
          <w:p w14:paraId="58F9BB7B" w14:textId="1ABFFED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0.076</w:t>
            </w:r>
          </w:p>
        </w:tc>
        <w:tc>
          <w:tcPr>
            <w:tcW w:w="1193" w:type="pct"/>
            <w:vAlign w:val="bottom"/>
          </w:tcPr>
          <w:p w14:paraId="7F9A4A53" w14:textId="52595C1B"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0.026</w:t>
            </w:r>
          </w:p>
        </w:tc>
        <w:tc>
          <w:tcPr>
            <w:tcW w:w="391" w:type="pct"/>
            <w:vAlign w:val="bottom"/>
          </w:tcPr>
          <w:p w14:paraId="5D2260E4" w14:textId="36146DB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5</w:t>
            </w:r>
          </w:p>
        </w:tc>
      </w:tr>
      <w:tr w:rsidR="007E2044" w:rsidRPr="001948C8" w14:paraId="61A8A1A7" w14:textId="77777777" w:rsidTr="00BB7C85">
        <w:trPr>
          <w:trHeight w:val="340"/>
        </w:trPr>
        <w:tc>
          <w:tcPr>
            <w:tcW w:w="1152" w:type="pct"/>
            <w:vAlign w:val="bottom"/>
          </w:tcPr>
          <w:p w14:paraId="16D883FC" w14:textId="57B9CCBA" w:rsidR="007E2044" w:rsidRPr="007E2044" w:rsidRDefault="007E2044" w:rsidP="007E2044">
            <w:pPr>
              <w:contextualSpacing/>
              <w:rPr>
                <w:rFonts w:ascii="Arial" w:hAnsi="Arial" w:cs="Arial"/>
                <w:sz w:val="20"/>
                <w:szCs w:val="20"/>
              </w:rPr>
            </w:pPr>
            <w:r w:rsidRPr="007E2044">
              <w:rPr>
                <w:rFonts w:ascii="Arial" w:hAnsi="Arial" w:cs="Arial"/>
                <w:sz w:val="20"/>
                <w:szCs w:val="20"/>
              </w:rPr>
              <w:t>Chanthaburi</w:t>
            </w:r>
          </w:p>
        </w:tc>
        <w:tc>
          <w:tcPr>
            <w:tcW w:w="1201" w:type="pct"/>
            <w:vAlign w:val="bottom"/>
          </w:tcPr>
          <w:p w14:paraId="0B4C209C" w14:textId="456AA85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0.314</w:t>
            </w:r>
          </w:p>
        </w:tc>
        <w:tc>
          <w:tcPr>
            <w:tcW w:w="576" w:type="pct"/>
            <w:vAlign w:val="bottom"/>
          </w:tcPr>
          <w:p w14:paraId="028BADC8" w14:textId="710918C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12</w:t>
            </w:r>
          </w:p>
        </w:tc>
        <w:tc>
          <w:tcPr>
            <w:tcW w:w="487" w:type="pct"/>
            <w:vAlign w:val="bottom"/>
          </w:tcPr>
          <w:p w14:paraId="43969278" w14:textId="3F74B49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0.078</w:t>
            </w:r>
          </w:p>
        </w:tc>
        <w:tc>
          <w:tcPr>
            <w:tcW w:w="1193" w:type="pct"/>
            <w:vAlign w:val="bottom"/>
          </w:tcPr>
          <w:p w14:paraId="027DE403" w14:textId="1E4E4611"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0.024</w:t>
            </w:r>
          </w:p>
        </w:tc>
        <w:tc>
          <w:tcPr>
            <w:tcW w:w="391" w:type="pct"/>
            <w:vAlign w:val="bottom"/>
          </w:tcPr>
          <w:p w14:paraId="32A0E61C" w14:textId="05C487F6"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6</w:t>
            </w:r>
          </w:p>
        </w:tc>
      </w:tr>
      <w:tr w:rsidR="007E2044" w:rsidRPr="001948C8" w14:paraId="62ED123A" w14:textId="77777777" w:rsidTr="00BB7C85">
        <w:trPr>
          <w:trHeight w:val="340"/>
        </w:trPr>
        <w:tc>
          <w:tcPr>
            <w:tcW w:w="1152" w:type="pct"/>
            <w:vAlign w:val="bottom"/>
          </w:tcPr>
          <w:p w14:paraId="1D4E8093" w14:textId="2D4E58C0" w:rsidR="007E2044" w:rsidRPr="007E2044" w:rsidRDefault="007E2044" w:rsidP="007E2044">
            <w:pPr>
              <w:contextualSpacing/>
              <w:rPr>
                <w:rFonts w:ascii="Arial" w:hAnsi="Arial" w:cs="Arial"/>
                <w:sz w:val="20"/>
                <w:szCs w:val="20"/>
              </w:rPr>
            </w:pPr>
            <w:r w:rsidRPr="007E2044">
              <w:rPr>
                <w:rFonts w:ascii="Arial" w:hAnsi="Arial" w:cs="Arial"/>
                <w:sz w:val="20"/>
                <w:szCs w:val="20"/>
              </w:rPr>
              <w:t>Chachoengsao</w:t>
            </w:r>
          </w:p>
        </w:tc>
        <w:tc>
          <w:tcPr>
            <w:tcW w:w="1201" w:type="pct"/>
            <w:vAlign w:val="bottom"/>
          </w:tcPr>
          <w:p w14:paraId="67A7595F" w14:textId="3412FEA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0.355</w:t>
            </w:r>
          </w:p>
        </w:tc>
        <w:tc>
          <w:tcPr>
            <w:tcW w:w="576" w:type="pct"/>
            <w:vAlign w:val="bottom"/>
          </w:tcPr>
          <w:p w14:paraId="1A1C86C7" w14:textId="1D371C80"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8</w:t>
            </w:r>
          </w:p>
        </w:tc>
        <w:tc>
          <w:tcPr>
            <w:tcW w:w="487" w:type="pct"/>
            <w:vAlign w:val="bottom"/>
          </w:tcPr>
          <w:p w14:paraId="536B3E08" w14:textId="3814DF5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0.066</w:t>
            </w:r>
          </w:p>
        </w:tc>
        <w:tc>
          <w:tcPr>
            <w:tcW w:w="1193" w:type="pct"/>
            <w:vAlign w:val="bottom"/>
          </w:tcPr>
          <w:p w14:paraId="5437AC85" w14:textId="2C5A8704"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0.023</w:t>
            </w:r>
          </w:p>
        </w:tc>
        <w:tc>
          <w:tcPr>
            <w:tcW w:w="391" w:type="pct"/>
            <w:vAlign w:val="bottom"/>
          </w:tcPr>
          <w:p w14:paraId="76E24E91" w14:textId="4C567CC0"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7</w:t>
            </w:r>
          </w:p>
        </w:tc>
      </w:tr>
      <w:tr w:rsidR="007E2044" w:rsidRPr="001948C8" w14:paraId="5B46E7A2" w14:textId="77777777" w:rsidTr="00BB7C85">
        <w:trPr>
          <w:trHeight w:val="340"/>
        </w:trPr>
        <w:tc>
          <w:tcPr>
            <w:tcW w:w="1152" w:type="pct"/>
            <w:vAlign w:val="bottom"/>
          </w:tcPr>
          <w:p w14:paraId="3BE11728" w14:textId="74BCCC9C" w:rsidR="007E2044" w:rsidRPr="007E2044" w:rsidRDefault="007E2044" w:rsidP="007E2044">
            <w:pPr>
              <w:contextualSpacing/>
              <w:rPr>
                <w:rFonts w:ascii="Arial" w:hAnsi="Arial" w:cs="Arial"/>
                <w:sz w:val="20"/>
                <w:szCs w:val="20"/>
              </w:rPr>
            </w:pPr>
            <w:r w:rsidRPr="007E2044">
              <w:rPr>
                <w:rFonts w:ascii="Arial" w:hAnsi="Arial" w:cs="Arial"/>
                <w:sz w:val="20"/>
                <w:szCs w:val="20"/>
              </w:rPr>
              <w:t>Prachuap Khiri Khan</w:t>
            </w:r>
          </w:p>
        </w:tc>
        <w:tc>
          <w:tcPr>
            <w:tcW w:w="1201" w:type="pct"/>
            <w:vAlign w:val="bottom"/>
          </w:tcPr>
          <w:p w14:paraId="45423C70" w14:textId="1BF37555"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0.268</w:t>
            </w:r>
          </w:p>
        </w:tc>
        <w:tc>
          <w:tcPr>
            <w:tcW w:w="576" w:type="pct"/>
            <w:vAlign w:val="bottom"/>
          </w:tcPr>
          <w:p w14:paraId="1915658A" w14:textId="36600C22"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14</w:t>
            </w:r>
          </w:p>
        </w:tc>
        <w:tc>
          <w:tcPr>
            <w:tcW w:w="487" w:type="pct"/>
            <w:vAlign w:val="bottom"/>
          </w:tcPr>
          <w:p w14:paraId="64E5123B" w14:textId="29125C3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0.078</w:t>
            </w:r>
          </w:p>
        </w:tc>
        <w:tc>
          <w:tcPr>
            <w:tcW w:w="1193" w:type="pct"/>
            <w:vAlign w:val="bottom"/>
          </w:tcPr>
          <w:p w14:paraId="42F95CFE" w14:textId="28D1DFA1"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0.021</w:t>
            </w:r>
          </w:p>
        </w:tc>
        <w:tc>
          <w:tcPr>
            <w:tcW w:w="391" w:type="pct"/>
            <w:vAlign w:val="bottom"/>
          </w:tcPr>
          <w:p w14:paraId="737143E7" w14:textId="5040DD07"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8</w:t>
            </w:r>
          </w:p>
        </w:tc>
      </w:tr>
      <w:tr w:rsidR="007E2044" w:rsidRPr="001948C8" w14:paraId="76F603F1" w14:textId="77777777" w:rsidTr="00BB7C85">
        <w:trPr>
          <w:trHeight w:val="340"/>
        </w:trPr>
        <w:tc>
          <w:tcPr>
            <w:tcW w:w="1152" w:type="pct"/>
            <w:vAlign w:val="bottom"/>
          </w:tcPr>
          <w:p w14:paraId="4A310F49" w14:textId="4AB59981" w:rsidR="007E2044" w:rsidRPr="007E2044" w:rsidRDefault="007E2044" w:rsidP="007E2044">
            <w:pPr>
              <w:contextualSpacing/>
              <w:rPr>
                <w:rFonts w:ascii="Arial" w:hAnsi="Arial" w:cs="Arial"/>
                <w:sz w:val="20"/>
                <w:szCs w:val="20"/>
              </w:rPr>
            </w:pPr>
            <w:r w:rsidRPr="007E2044">
              <w:rPr>
                <w:rFonts w:ascii="Arial" w:hAnsi="Arial" w:cs="Arial"/>
                <w:sz w:val="20"/>
                <w:szCs w:val="20"/>
              </w:rPr>
              <w:t>Chon Buri</w:t>
            </w:r>
          </w:p>
        </w:tc>
        <w:tc>
          <w:tcPr>
            <w:tcW w:w="1201" w:type="pct"/>
            <w:vAlign w:val="bottom"/>
          </w:tcPr>
          <w:p w14:paraId="572450C4" w14:textId="1CC9927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0.329</w:t>
            </w:r>
          </w:p>
        </w:tc>
        <w:tc>
          <w:tcPr>
            <w:tcW w:w="576" w:type="pct"/>
            <w:vAlign w:val="bottom"/>
          </w:tcPr>
          <w:p w14:paraId="273B429A" w14:textId="7C9BE45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11</w:t>
            </w:r>
          </w:p>
        </w:tc>
        <w:tc>
          <w:tcPr>
            <w:tcW w:w="487" w:type="pct"/>
            <w:vAlign w:val="bottom"/>
          </w:tcPr>
          <w:p w14:paraId="2776C7CB" w14:textId="791F017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0.054</w:t>
            </w:r>
          </w:p>
        </w:tc>
        <w:tc>
          <w:tcPr>
            <w:tcW w:w="1193" w:type="pct"/>
            <w:vAlign w:val="bottom"/>
          </w:tcPr>
          <w:p w14:paraId="12DB72EB" w14:textId="4B16B80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0.018</w:t>
            </w:r>
          </w:p>
        </w:tc>
        <w:tc>
          <w:tcPr>
            <w:tcW w:w="391" w:type="pct"/>
            <w:vAlign w:val="bottom"/>
          </w:tcPr>
          <w:p w14:paraId="07D44F61" w14:textId="06FF6D7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9</w:t>
            </w:r>
          </w:p>
        </w:tc>
      </w:tr>
      <w:tr w:rsidR="007E2044" w:rsidRPr="001948C8" w14:paraId="44651B8C" w14:textId="77777777" w:rsidTr="00BB7C85">
        <w:trPr>
          <w:trHeight w:val="340"/>
        </w:trPr>
        <w:tc>
          <w:tcPr>
            <w:tcW w:w="1152" w:type="pct"/>
            <w:vAlign w:val="bottom"/>
          </w:tcPr>
          <w:p w14:paraId="57022E3C" w14:textId="68098E26" w:rsidR="007E2044" w:rsidRPr="007E2044" w:rsidRDefault="007E2044" w:rsidP="007E2044">
            <w:pPr>
              <w:contextualSpacing/>
              <w:rPr>
                <w:rFonts w:ascii="Arial" w:hAnsi="Arial" w:cs="Arial"/>
                <w:sz w:val="20"/>
                <w:szCs w:val="20"/>
              </w:rPr>
            </w:pPr>
            <w:r w:rsidRPr="007E2044">
              <w:rPr>
                <w:rFonts w:ascii="Arial" w:hAnsi="Arial" w:cs="Arial"/>
                <w:sz w:val="20"/>
                <w:szCs w:val="20"/>
              </w:rPr>
              <w:t>Narathiwat</w:t>
            </w:r>
          </w:p>
        </w:tc>
        <w:tc>
          <w:tcPr>
            <w:tcW w:w="1201" w:type="pct"/>
            <w:vAlign w:val="bottom"/>
          </w:tcPr>
          <w:p w14:paraId="09B48D0A" w14:textId="644D00E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0.314</w:t>
            </w:r>
          </w:p>
        </w:tc>
        <w:tc>
          <w:tcPr>
            <w:tcW w:w="576" w:type="pct"/>
            <w:vAlign w:val="bottom"/>
          </w:tcPr>
          <w:p w14:paraId="6E9378EB" w14:textId="2C14FA1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13</w:t>
            </w:r>
          </w:p>
        </w:tc>
        <w:tc>
          <w:tcPr>
            <w:tcW w:w="487" w:type="pct"/>
            <w:vAlign w:val="bottom"/>
          </w:tcPr>
          <w:p w14:paraId="2A92C9BB" w14:textId="602E62E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0.055</w:t>
            </w:r>
          </w:p>
        </w:tc>
        <w:tc>
          <w:tcPr>
            <w:tcW w:w="1193" w:type="pct"/>
            <w:vAlign w:val="bottom"/>
          </w:tcPr>
          <w:p w14:paraId="5C51D63C" w14:textId="6DF88A8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0.017</w:t>
            </w:r>
          </w:p>
        </w:tc>
        <w:tc>
          <w:tcPr>
            <w:tcW w:w="391" w:type="pct"/>
            <w:vAlign w:val="bottom"/>
          </w:tcPr>
          <w:p w14:paraId="4A94AAB1" w14:textId="389F332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10</w:t>
            </w:r>
          </w:p>
        </w:tc>
      </w:tr>
      <w:tr w:rsidR="007E2044" w:rsidRPr="001948C8" w14:paraId="3E4ECCB3" w14:textId="77777777" w:rsidTr="00BB7C85">
        <w:trPr>
          <w:trHeight w:val="340"/>
        </w:trPr>
        <w:tc>
          <w:tcPr>
            <w:tcW w:w="1152" w:type="pct"/>
            <w:vAlign w:val="bottom"/>
          </w:tcPr>
          <w:p w14:paraId="75DE9C21" w14:textId="62A7DA48" w:rsidR="007E2044" w:rsidRPr="007E2044" w:rsidRDefault="007E2044" w:rsidP="007E2044">
            <w:pPr>
              <w:contextualSpacing/>
              <w:rPr>
                <w:rFonts w:ascii="Arial" w:hAnsi="Arial" w:cs="Arial"/>
                <w:sz w:val="20"/>
                <w:szCs w:val="20"/>
              </w:rPr>
            </w:pPr>
            <w:r w:rsidRPr="007E2044">
              <w:rPr>
                <w:rFonts w:ascii="Arial" w:hAnsi="Arial" w:cs="Arial"/>
                <w:sz w:val="20"/>
                <w:szCs w:val="20"/>
              </w:rPr>
              <w:t>Bangkok</w:t>
            </w:r>
          </w:p>
        </w:tc>
        <w:tc>
          <w:tcPr>
            <w:tcW w:w="1201" w:type="pct"/>
            <w:vAlign w:val="bottom"/>
          </w:tcPr>
          <w:p w14:paraId="781888C2" w14:textId="010177E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0.646</w:t>
            </w:r>
          </w:p>
        </w:tc>
        <w:tc>
          <w:tcPr>
            <w:tcW w:w="576" w:type="pct"/>
            <w:vAlign w:val="bottom"/>
          </w:tcPr>
          <w:p w14:paraId="60437488" w14:textId="348E4F0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w:t>
            </w:r>
          </w:p>
        </w:tc>
        <w:tc>
          <w:tcPr>
            <w:tcW w:w="487" w:type="pct"/>
            <w:vAlign w:val="bottom"/>
          </w:tcPr>
          <w:p w14:paraId="16DA8191" w14:textId="54D5687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0.019</w:t>
            </w:r>
          </w:p>
        </w:tc>
        <w:tc>
          <w:tcPr>
            <w:tcW w:w="1193" w:type="pct"/>
            <w:vAlign w:val="bottom"/>
          </w:tcPr>
          <w:p w14:paraId="57A94A54" w14:textId="66211C23"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0.012</w:t>
            </w:r>
          </w:p>
        </w:tc>
        <w:tc>
          <w:tcPr>
            <w:tcW w:w="391" w:type="pct"/>
            <w:vAlign w:val="bottom"/>
          </w:tcPr>
          <w:p w14:paraId="14954A44" w14:textId="28AA4DD5"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11</w:t>
            </w:r>
          </w:p>
        </w:tc>
      </w:tr>
      <w:tr w:rsidR="007E2044" w:rsidRPr="001948C8" w14:paraId="3CE2657D" w14:textId="77777777" w:rsidTr="00BB7C85">
        <w:trPr>
          <w:trHeight w:val="340"/>
        </w:trPr>
        <w:tc>
          <w:tcPr>
            <w:tcW w:w="1152" w:type="pct"/>
            <w:vAlign w:val="bottom"/>
          </w:tcPr>
          <w:p w14:paraId="700FB921" w14:textId="3A7CA3A5" w:rsidR="007E2044" w:rsidRPr="007E2044" w:rsidRDefault="007E2044" w:rsidP="007E2044">
            <w:pPr>
              <w:contextualSpacing/>
              <w:rPr>
                <w:rFonts w:ascii="Arial" w:hAnsi="Arial" w:cs="Arial"/>
                <w:sz w:val="20"/>
                <w:szCs w:val="20"/>
              </w:rPr>
            </w:pPr>
            <w:r w:rsidRPr="007E2044">
              <w:rPr>
                <w:rFonts w:ascii="Arial" w:hAnsi="Arial" w:cs="Arial"/>
                <w:sz w:val="20"/>
                <w:szCs w:val="20"/>
              </w:rPr>
              <w:t>Rayong</w:t>
            </w:r>
          </w:p>
        </w:tc>
        <w:tc>
          <w:tcPr>
            <w:tcW w:w="1201" w:type="pct"/>
            <w:vAlign w:val="bottom"/>
          </w:tcPr>
          <w:p w14:paraId="263E197B" w14:textId="1AB636B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0.261</w:t>
            </w:r>
          </w:p>
        </w:tc>
        <w:tc>
          <w:tcPr>
            <w:tcW w:w="576" w:type="pct"/>
            <w:vAlign w:val="bottom"/>
          </w:tcPr>
          <w:p w14:paraId="37644C24" w14:textId="5353C35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17</w:t>
            </w:r>
          </w:p>
        </w:tc>
        <w:tc>
          <w:tcPr>
            <w:tcW w:w="487" w:type="pct"/>
            <w:vAlign w:val="bottom"/>
          </w:tcPr>
          <w:p w14:paraId="1DC9CD5C" w14:textId="35EE358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0.044</w:t>
            </w:r>
          </w:p>
        </w:tc>
        <w:tc>
          <w:tcPr>
            <w:tcW w:w="1193" w:type="pct"/>
            <w:vAlign w:val="bottom"/>
          </w:tcPr>
          <w:p w14:paraId="61D7F273" w14:textId="2CC455F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0.011</w:t>
            </w:r>
          </w:p>
        </w:tc>
        <w:tc>
          <w:tcPr>
            <w:tcW w:w="391" w:type="pct"/>
            <w:vAlign w:val="bottom"/>
          </w:tcPr>
          <w:p w14:paraId="347D102D" w14:textId="6F087BB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12</w:t>
            </w:r>
          </w:p>
        </w:tc>
      </w:tr>
      <w:tr w:rsidR="007E2044" w:rsidRPr="001948C8" w14:paraId="7075381C" w14:textId="77777777" w:rsidTr="00BB7C85">
        <w:trPr>
          <w:trHeight w:val="340"/>
        </w:trPr>
        <w:tc>
          <w:tcPr>
            <w:tcW w:w="1152" w:type="pct"/>
            <w:vAlign w:val="bottom"/>
          </w:tcPr>
          <w:p w14:paraId="545C4FC4" w14:textId="38685D52" w:rsidR="007E2044" w:rsidRPr="007E2044" w:rsidRDefault="007E2044" w:rsidP="007E2044">
            <w:pPr>
              <w:contextualSpacing/>
              <w:rPr>
                <w:rFonts w:ascii="Arial" w:hAnsi="Arial" w:cs="Arial"/>
                <w:sz w:val="20"/>
                <w:szCs w:val="20"/>
              </w:rPr>
            </w:pPr>
            <w:r w:rsidRPr="007E2044">
              <w:rPr>
                <w:rFonts w:ascii="Arial" w:hAnsi="Arial" w:cs="Arial"/>
                <w:sz w:val="20"/>
                <w:szCs w:val="20"/>
              </w:rPr>
              <w:t>Trat</w:t>
            </w:r>
          </w:p>
        </w:tc>
        <w:tc>
          <w:tcPr>
            <w:tcW w:w="1201" w:type="pct"/>
            <w:vAlign w:val="bottom"/>
          </w:tcPr>
          <w:p w14:paraId="746CE67F" w14:textId="65A2EA39"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0.265</w:t>
            </w:r>
          </w:p>
        </w:tc>
        <w:tc>
          <w:tcPr>
            <w:tcW w:w="576" w:type="pct"/>
            <w:vAlign w:val="bottom"/>
          </w:tcPr>
          <w:p w14:paraId="10D37D3E" w14:textId="4A22A6B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15</w:t>
            </w:r>
          </w:p>
        </w:tc>
        <w:tc>
          <w:tcPr>
            <w:tcW w:w="487" w:type="pct"/>
            <w:vAlign w:val="bottom"/>
          </w:tcPr>
          <w:p w14:paraId="1C78649B" w14:textId="424C8B5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0.035</w:t>
            </w:r>
          </w:p>
        </w:tc>
        <w:tc>
          <w:tcPr>
            <w:tcW w:w="1193" w:type="pct"/>
            <w:vAlign w:val="bottom"/>
          </w:tcPr>
          <w:p w14:paraId="51B840CF" w14:textId="2B4FB14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0.009</w:t>
            </w:r>
          </w:p>
        </w:tc>
        <w:tc>
          <w:tcPr>
            <w:tcW w:w="391" w:type="pct"/>
            <w:vAlign w:val="bottom"/>
          </w:tcPr>
          <w:p w14:paraId="249B2F60" w14:textId="75FC241F"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13</w:t>
            </w:r>
          </w:p>
        </w:tc>
      </w:tr>
      <w:tr w:rsidR="007E2044" w:rsidRPr="001948C8" w14:paraId="5DC5AC8C" w14:textId="77777777" w:rsidTr="00BB7C85">
        <w:trPr>
          <w:trHeight w:val="340"/>
        </w:trPr>
        <w:tc>
          <w:tcPr>
            <w:tcW w:w="1152" w:type="pct"/>
            <w:vAlign w:val="bottom"/>
          </w:tcPr>
          <w:p w14:paraId="5BF679E3" w14:textId="3494BBC6" w:rsidR="007E2044" w:rsidRPr="007E2044" w:rsidRDefault="007E2044" w:rsidP="007E2044">
            <w:pPr>
              <w:contextualSpacing/>
              <w:rPr>
                <w:rFonts w:ascii="Arial" w:hAnsi="Arial" w:cs="Arial"/>
                <w:sz w:val="20"/>
                <w:szCs w:val="20"/>
              </w:rPr>
            </w:pPr>
            <w:r w:rsidRPr="007E2044">
              <w:rPr>
                <w:rFonts w:ascii="Arial" w:hAnsi="Arial" w:cs="Arial"/>
                <w:sz w:val="20"/>
                <w:szCs w:val="20"/>
              </w:rPr>
              <w:t>Pattani</w:t>
            </w:r>
          </w:p>
        </w:tc>
        <w:tc>
          <w:tcPr>
            <w:tcW w:w="1201" w:type="pct"/>
            <w:vAlign w:val="bottom"/>
          </w:tcPr>
          <w:p w14:paraId="19AEF313" w14:textId="64812320"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0.370</w:t>
            </w:r>
          </w:p>
        </w:tc>
        <w:tc>
          <w:tcPr>
            <w:tcW w:w="576" w:type="pct"/>
            <w:vAlign w:val="bottom"/>
          </w:tcPr>
          <w:p w14:paraId="67AFF22C" w14:textId="6F5D4F14"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6</w:t>
            </w:r>
          </w:p>
        </w:tc>
        <w:tc>
          <w:tcPr>
            <w:tcW w:w="487" w:type="pct"/>
            <w:vAlign w:val="bottom"/>
          </w:tcPr>
          <w:p w14:paraId="63EA6CC1" w14:textId="0FF4CA3E"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0.024</w:t>
            </w:r>
          </w:p>
        </w:tc>
        <w:tc>
          <w:tcPr>
            <w:tcW w:w="1193" w:type="pct"/>
            <w:vAlign w:val="bottom"/>
          </w:tcPr>
          <w:p w14:paraId="335B2219" w14:textId="2F572C0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0.009</w:t>
            </w:r>
          </w:p>
        </w:tc>
        <w:tc>
          <w:tcPr>
            <w:tcW w:w="391" w:type="pct"/>
            <w:vAlign w:val="bottom"/>
          </w:tcPr>
          <w:p w14:paraId="4A37E7D5" w14:textId="69E9469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14</w:t>
            </w:r>
          </w:p>
        </w:tc>
      </w:tr>
      <w:tr w:rsidR="007E2044" w:rsidRPr="001948C8" w14:paraId="4288D0C5" w14:textId="77777777" w:rsidTr="00BB7C85">
        <w:trPr>
          <w:trHeight w:val="340"/>
        </w:trPr>
        <w:tc>
          <w:tcPr>
            <w:tcW w:w="1152" w:type="pct"/>
            <w:vAlign w:val="bottom"/>
          </w:tcPr>
          <w:p w14:paraId="03794C5B" w14:textId="6C85E2C7" w:rsidR="007E2044" w:rsidRPr="007E2044" w:rsidRDefault="007E2044" w:rsidP="007E2044">
            <w:pPr>
              <w:contextualSpacing/>
              <w:rPr>
                <w:rFonts w:ascii="Arial" w:hAnsi="Arial" w:cs="Arial"/>
                <w:sz w:val="20"/>
                <w:szCs w:val="20"/>
              </w:rPr>
            </w:pPr>
            <w:r w:rsidRPr="007E2044">
              <w:rPr>
                <w:rFonts w:ascii="Arial" w:hAnsi="Arial" w:cs="Arial"/>
                <w:sz w:val="20"/>
                <w:szCs w:val="20"/>
              </w:rPr>
              <w:t>Samut Prakan</w:t>
            </w:r>
          </w:p>
        </w:tc>
        <w:tc>
          <w:tcPr>
            <w:tcW w:w="1201" w:type="pct"/>
            <w:vAlign w:val="bottom"/>
          </w:tcPr>
          <w:p w14:paraId="5F72FC33" w14:textId="7C549E07"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0.419</w:t>
            </w:r>
          </w:p>
        </w:tc>
        <w:tc>
          <w:tcPr>
            <w:tcW w:w="576" w:type="pct"/>
            <w:vAlign w:val="bottom"/>
          </w:tcPr>
          <w:p w14:paraId="594212C2" w14:textId="7AA9A32B"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3</w:t>
            </w:r>
          </w:p>
        </w:tc>
        <w:tc>
          <w:tcPr>
            <w:tcW w:w="487" w:type="pct"/>
            <w:vAlign w:val="bottom"/>
          </w:tcPr>
          <w:p w14:paraId="56D67B56" w14:textId="7AECB69B"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0.012</w:t>
            </w:r>
          </w:p>
        </w:tc>
        <w:tc>
          <w:tcPr>
            <w:tcW w:w="1193" w:type="pct"/>
            <w:vAlign w:val="bottom"/>
          </w:tcPr>
          <w:p w14:paraId="7D466A6E" w14:textId="648F346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0.005</w:t>
            </w:r>
          </w:p>
        </w:tc>
        <w:tc>
          <w:tcPr>
            <w:tcW w:w="391" w:type="pct"/>
            <w:vAlign w:val="bottom"/>
          </w:tcPr>
          <w:p w14:paraId="116DF626" w14:textId="2919D1A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15</w:t>
            </w:r>
          </w:p>
        </w:tc>
      </w:tr>
      <w:tr w:rsidR="007E2044" w:rsidRPr="001948C8" w14:paraId="7676C036" w14:textId="77777777" w:rsidTr="00BB7C85">
        <w:trPr>
          <w:trHeight w:val="340"/>
        </w:trPr>
        <w:tc>
          <w:tcPr>
            <w:tcW w:w="1152" w:type="pct"/>
            <w:tcBorders>
              <w:bottom w:val="nil"/>
            </w:tcBorders>
            <w:vAlign w:val="bottom"/>
          </w:tcPr>
          <w:p w14:paraId="15BDDB8D" w14:textId="6A86EFAD" w:rsidR="007E2044" w:rsidRPr="007E2044" w:rsidRDefault="007E2044" w:rsidP="007E2044">
            <w:pPr>
              <w:contextualSpacing/>
              <w:rPr>
                <w:rFonts w:ascii="Arial" w:hAnsi="Arial" w:cs="Arial"/>
                <w:sz w:val="20"/>
                <w:szCs w:val="20"/>
              </w:rPr>
            </w:pPr>
            <w:r w:rsidRPr="007E2044">
              <w:rPr>
                <w:rFonts w:ascii="Arial" w:hAnsi="Arial" w:cs="Arial"/>
                <w:sz w:val="20"/>
                <w:szCs w:val="20"/>
              </w:rPr>
              <w:t>Samut Sakhon</w:t>
            </w:r>
          </w:p>
        </w:tc>
        <w:tc>
          <w:tcPr>
            <w:tcW w:w="1201" w:type="pct"/>
            <w:tcBorders>
              <w:bottom w:val="nil"/>
            </w:tcBorders>
            <w:vAlign w:val="bottom"/>
          </w:tcPr>
          <w:p w14:paraId="2F9C7CBA" w14:textId="50A63CD6"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0.377</w:t>
            </w:r>
          </w:p>
        </w:tc>
        <w:tc>
          <w:tcPr>
            <w:tcW w:w="576" w:type="pct"/>
            <w:tcBorders>
              <w:bottom w:val="nil"/>
            </w:tcBorders>
            <w:vAlign w:val="bottom"/>
          </w:tcPr>
          <w:p w14:paraId="2169B082" w14:textId="77D3ED87"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4</w:t>
            </w:r>
          </w:p>
        </w:tc>
        <w:tc>
          <w:tcPr>
            <w:tcW w:w="487" w:type="pct"/>
            <w:tcBorders>
              <w:bottom w:val="nil"/>
            </w:tcBorders>
            <w:vAlign w:val="bottom"/>
          </w:tcPr>
          <w:p w14:paraId="6EA522E5" w14:textId="432EE7DF"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0.011</w:t>
            </w:r>
          </w:p>
        </w:tc>
        <w:tc>
          <w:tcPr>
            <w:tcW w:w="1193" w:type="pct"/>
            <w:tcBorders>
              <w:bottom w:val="nil"/>
            </w:tcBorders>
            <w:vAlign w:val="bottom"/>
          </w:tcPr>
          <w:p w14:paraId="5038A9D2" w14:textId="14471AC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0.004</w:t>
            </w:r>
          </w:p>
        </w:tc>
        <w:tc>
          <w:tcPr>
            <w:tcW w:w="391" w:type="pct"/>
            <w:tcBorders>
              <w:bottom w:val="nil"/>
            </w:tcBorders>
            <w:vAlign w:val="bottom"/>
          </w:tcPr>
          <w:p w14:paraId="28D7B63B" w14:textId="2D626BC8"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16</w:t>
            </w:r>
          </w:p>
        </w:tc>
      </w:tr>
      <w:tr w:rsidR="007E2044" w:rsidRPr="001948C8" w14:paraId="6FE52CAD" w14:textId="77777777" w:rsidTr="00BB7C85">
        <w:trPr>
          <w:trHeight w:val="340"/>
        </w:trPr>
        <w:tc>
          <w:tcPr>
            <w:tcW w:w="1152" w:type="pct"/>
            <w:tcBorders>
              <w:top w:val="nil"/>
              <w:bottom w:val="single" w:sz="4" w:space="0" w:color="auto"/>
            </w:tcBorders>
            <w:vAlign w:val="bottom"/>
          </w:tcPr>
          <w:p w14:paraId="44B8BC19" w14:textId="729B43C6" w:rsidR="007E2044" w:rsidRPr="007E2044" w:rsidRDefault="007E2044" w:rsidP="007E2044">
            <w:pPr>
              <w:contextualSpacing/>
              <w:rPr>
                <w:rFonts w:ascii="Arial" w:hAnsi="Arial" w:cs="Arial"/>
                <w:sz w:val="20"/>
                <w:szCs w:val="20"/>
              </w:rPr>
            </w:pPr>
            <w:r w:rsidRPr="007E2044">
              <w:rPr>
                <w:rFonts w:ascii="Arial" w:hAnsi="Arial" w:cs="Arial"/>
                <w:sz w:val="20"/>
                <w:szCs w:val="20"/>
              </w:rPr>
              <w:t>Samut Songkhram</w:t>
            </w:r>
          </w:p>
        </w:tc>
        <w:tc>
          <w:tcPr>
            <w:tcW w:w="1201" w:type="pct"/>
            <w:tcBorders>
              <w:top w:val="nil"/>
              <w:bottom w:val="single" w:sz="4" w:space="0" w:color="auto"/>
            </w:tcBorders>
            <w:vAlign w:val="bottom"/>
          </w:tcPr>
          <w:p w14:paraId="7E14D4E2" w14:textId="68C3BDB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0.538</w:t>
            </w:r>
          </w:p>
        </w:tc>
        <w:tc>
          <w:tcPr>
            <w:tcW w:w="576" w:type="pct"/>
            <w:tcBorders>
              <w:top w:val="nil"/>
              <w:bottom w:val="single" w:sz="4" w:space="0" w:color="auto"/>
            </w:tcBorders>
            <w:vAlign w:val="bottom"/>
          </w:tcPr>
          <w:p w14:paraId="0037DF16" w14:textId="59406A6D"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2</w:t>
            </w:r>
          </w:p>
        </w:tc>
        <w:tc>
          <w:tcPr>
            <w:tcW w:w="487" w:type="pct"/>
            <w:tcBorders>
              <w:top w:val="nil"/>
              <w:bottom w:val="single" w:sz="4" w:space="0" w:color="auto"/>
            </w:tcBorders>
            <w:vAlign w:val="bottom"/>
          </w:tcPr>
          <w:p w14:paraId="7A760191" w14:textId="02FF766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0.005</w:t>
            </w:r>
          </w:p>
        </w:tc>
        <w:tc>
          <w:tcPr>
            <w:tcW w:w="1193" w:type="pct"/>
            <w:tcBorders>
              <w:top w:val="nil"/>
              <w:bottom w:val="single" w:sz="4" w:space="0" w:color="auto"/>
            </w:tcBorders>
            <w:vAlign w:val="bottom"/>
          </w:tcPr>
          <w:p w14:paraId="1C2708D2" w14:textId="3C683D5A"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0.003</w:t>
            </w:r>
          </w:p>
        </w:tc>
        <w:tc>
          <w:tcPr>
            <w:tcW w:w="391" w:type="pct"/>
            <w:tcBorders>
              <w:top w:val="nil"/>
              <w:bottom w:val="single" w:sz="4" w:space="0" w:color="auto"/>
            </w:tcBorders>
            <w:vAlign w:val="bottom"/>
          </w:tcPr>
          <w:p w14:paraId="208A2CCB" w14:textId="43882EBC" w:rsidR="007E2044" w:rsidRPr="007E2044" w:rsidRDefault="007E2044" w:rsidP="007E2044">
            <w:pPr>
              <w:contextualSpacing/>
              <w:jc w:val="center"/>
              <w:rPr>
                <w:rFonts w:ascii="Arial" w:hAnsi="Arial" w:cs="Arial"/>
                <w:sz w:val="20"/>
                <w:szCs w:val="20"/>
              </w:rPr>
            </w:pPr>
            <w:r w:rsidRPr="007E2044">
              <w:rPr>
                <w:rFonts w:ascii="Arial" w:hAnsi="Arial" w:cs="Arial"/>
                <w:sz w:val="20"/>
                <w:szCs w:val="20"/>
              </w:rPr>
              <w:t>17</w:t>
            </w:r>
          </w:p>
        </w:tc>
      </w:tr>
      <w:tr w:rsidR="001948C8" w:rsidRPr="001948C8" w14:paraId="124CA613" w14:textId="77777777" w:rsidTr="00BB7C85">
        <w:trPr>
          <w:trHeight w:val="340"/>
        </w:trPr>
        <w:tc>
          <w:tcPr>
            <w:tcW w:w="1152" w:type="pct"/>
            <w:tcBorders>
              <w:top w:val="single" w:sz="4" w:space="0" w:color="auto"/>
            </w:tcBorders>
            <w:vAlign w:val="center"/>
          </w:tcPr>
          <w:p w14:paraId="45EFED3F" w14:textId="0B7203C4"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Total</w:t>
            </w:r>
          </w:p>
        </w:tc>
        <w:tc>
          <w:tcPr>
            <w:tcW w:w="1201" w:type="pct"/>
            <w:tcBorders>
              <w:top w:val="single" w:sz="4" w:space="0" w:color="auto"/>
            </w:tcBorders>
            <w:vAlign w:val="center"/>
          </w:tcPr>
          <w:p w14:paraId="206D623B" w14:textId="300733F2"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 </w:t>
            </w:r>
          </w:p>
        </w:tc>
        <w:tc>
          <w:tcPr>
            <w:tcW w:w="576" w:type="pct"/>
            <w:tcBorders>
              <w:top w:val="single" w:sz="4" w:space="0" w:color="auto"/>
            </w:tcBorders>
            <w:vAlign w:val="center"/>
          </w:tcPr>
          <w:p w14:paraId="1F5E2AD5" w14:textId="1F60982B"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 </w:t>
            </w:r>
          </w:p>
        </w:tc>
        <w:tc>
          <w:tcPr>
            <w:tcW w:w="487" w:type="pct"/>
            <w:tcBorders>
              <w:top w:val="single" w:sz="4" w:space="0" w:color="auto"/>
            </w:tcBorders>
            <w:vAlign w:val="center"/>
          </w:tcPr>
          <w:p w14:paraId="7A9DE619" w14:textId="2521E7C8"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1.000</w:t>
            </w:r>
          </w:p>
        </w:tc>
        <w:tc>
          <w:tcPr>
            <w:tcW w:w="1193" w:type="pct"/>
            <w:tcBorders>
              <w:top w:val="single" w:sz="4" w:space="0" w:color="auto"/>
            </w:tcBorders>
            <w:vAlign w:val="center"/>
          </w:tcPr>
          <w:p w14:paraId="16913A2E" w14:textId="20C5994F"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 </w:t>
            </w:r>
          </w:p>
        </w:tc>
        <w:tc>
          <w:tcPr>
            <w:tcW w:w="391" w:type="pct"/>
            <w:tcBorders>
              <w:top w:val="single" w:sz="4" w:space="0" w:color="auto"/>
            </w:tcBorders>
            <w:vAlign w:val="center"/>
          </w:tcPr>
          <w:p w14:paraId="5C71BC2B" w14:textId="57972146" w:rsidR="001948C8" w:rsidRPr="001948C8" w:rsidRDefault="001948C8" w:rsidP="00BB7C85">
            <w:pPr>
              <w:contextualSpacing/>
              <w:jc w:val="center"/>
              <w:rPr>
                <w:rFonts w:ascii="Arial" w:hAnsi="Arial" w:cs="Arial"/>
                <w:color w:val="000000" w:themeColor="text1"/>
                <w:szCs w:val="22"/>
              </w:rPr>
            </w:pPr>
            <w:r w:rsidRPr="001948C8">
              <w:rPr>
                <w:rFonts w:ascii="Arial" w:hAnsi="Arial" w:cs="Arial"/>
                <w:color w:val="000000" w:themeColor="text1"/>
                <w:szCs w:val="22"/>
              </w:rPr>
              <w:t> </w:t>
            </w:r>
          </w:p>
        </w:tc>
      </w:tr>
    </w:tbl>
    <w:p w14:paraId="218BE253" w14:textId="77777777" w:rsidR="00E75A83" w:rsidRPr="00B97B69" w:rsidRDefault="00E75A83" w:rsidP="00710A62">
      <w:pPr>
        <w:spacing w:after="0" w:line="360" w:lineRule="auto"/>
        <w:contextualSpacing/>
        <w:jc w:val="thaiDistribute"/>
        <w:rPr>
          <w:rFonts w:ascii="Arial" w:hAnsi="Arial"/>
          <w:color w:val="000000" w:themeColor="text1"/>
          <w:sz w:val="24"/>
          <w:szCs w:val="24"/>
        </w:rPr>
      </w:pPr>
    </w:p>
    <w:p w14:paraId="5271FD61" w14:textId="18BD564F" w:rsidR="00971922" w:rsidRDefault="00785D80" w:rsidP="00710A62">
      <w:pPr>
        <w:spacing w:after="0" w:line="360" w:lineRule="auto"/>
        <w:contextualSpacing/>
        <w:jc w:val="thaiDistribute"/>
        <w:rPr>
          <w:rFonts w:ascii="Arial" w:hAnsi="Arial"/>
          <w:color w:val="000000" w:themeColor="text1"/>
          <w:sz w:val="24"/>
          <w:szCs w:val="24"/>
        </w:rPr>
      </w:pPr>
      <w:r w:rsidRPr="00785D80">
        <w:rPr>
          <w:rFonts w:ascii="Arial" w:hAnsi="Arial"/>
          <w:color w:val="000000" w:themeColor="text1"/>
          <w:sz w:val="24"/>
          <w:szCs w:val="24"/>
        </w:rPr>
        <w:t xml:space="preserve">Finally, the 'Hybrid-risk group,' exemplified by </w:t>
      </w:r>
      <w:r w:rsidR="00971F9B">
        <w:rPr>
          <w:rFonts w:ascii="Arial" w:hAnsi="Arial"/>
          <w:color w:val="000000" w:themeColor="text1"/>
          <w:sz w:val="24"/>
          <w:szCs w:val="24"/>
        </w:rPr>
        <w:t>Chumphon</w:t>
      </w:r>
      <w:r w:rsidRPr="00785D80">
        <w:rPr>
          <w:rFonts w:ascii="Arial" w:hAnsi="Arial"/>
          <w:color w:val="000000" w:themeColor="text1"/>
          <w:sz w:val="24"/>
          <w:szCs w:val="24"/>
        </w:rPr>
        <w:t xml:space="preserve"> (Intensity rank </w:t>
      </w:r>
      <w:r w:rsidR="00971F9B">
        <w:rPr>
          <w:rFonts w:ascii="Arial" w:hAnsi="Arial"/>
          <w:color w:val="000000" w:themeColor="text1"/>
          <w:sz w:val="24"/>
          <w:szCs w:val="24"/>
        </w:rPr>
        <w:t>5</w:t>
      </w:r>
      <w:r w:rsidRPr="00785D80">
        <w:rPr>
          <w:rFonts w:ascii="Arial" w:hAnsi="Arial"/>
          <w:color w:val="000000" w:themeColor="text1"/>
          <w:sz w:val="24"/>
          <w:szCs w:val="24"/>
        </w:rPr>
        <w:t xml:space="preserve">, Magnitude rank </w:t>
      </w:r>
      <w:r w:rsidR="00971F9B">
        <w:rPr>
          <w:rFonts w:ascii="Arial" w:hAnsi="Arial"/>
          <w:color w:val="000000" w:themeColor="text1"/>
          <w:sz w:val="24"/>
          <w:szCs w:val="24"/>
        </w:rPr>
        <w:t>4</w:t>
      </w:r>
      <w:r w:rsidRPr="00785D80">
        <w:rPr>
          <w:rFonts w:ascii="Arial" w:hAnsi="Arial"/>
          <w:color w:val="000000" w:themeColor="text1"/>
          <w:sz w:val="24"/>
          <w:szCs w:val="24"/>
        </w:rPr>
        <w:t>), faces the dual burden of intense pressure and large scale. This 'double-risk' status creates a complex management scenario requiring a complete response that combines urgent action for specific areas with long-term planning for vast resources.</w:t>
      </w:r>
    </w:p>
    <w:p w14:paraId="323D18DD" w14:textId="77777777" w:rsidR="00785D80" w:rsidRDefault="00785D80" w:rsidP="00785D80">
      <w:pPr>
        <w:spacing w:after="0" w:line="360" w:lineRule="auto"/>
        <w:contextualSpacing/>
        <w:jc w:val="both"/>
        <w:rPr>
          <w:rFonts w:ascii="Arial" w:hAnsi="Arial"/>
          <w:color w:val="000000" w:themeColor="text1"/>
          <w:sz w:val="24"/>
          <w:szCs w:val="24"/>
        </w:rPr>
      </w:pPr>
    </w:p>
    <w:p w14:paraId="10CAA037" w14:textId="1BE107A1" w:rsidR="00E75A83" w:rsidRDefault="00785D80" w:rsidP="00785D80">
      <w:pPr>
        <w:spacing w:after="0" w:line="360" w:lineRule="auto"/>
        <w:contextualSpacing/>
        <w:jc w:val="both"/>
        <w:rPr>
          <w:rFonts w:ascii="Arial" w:hAnsi="Arial" w:cs="Browallia New"/>
          <w:color w:val="000000" w:themeColor="text1"/>
          <w:sz w:val="24"/>
          <w:szCs w:val="30"/>
        </w:rPr>
      </w:pPr>
      <w:r w:rsidRPr="00785D80">
        <w:rPr>
          <w:rFonts w:ascii="Arial" w:hAnsi="Arial" w:cs="Browallia New"/>
          <w:color w:val="000000" w:themeColor="text1"/>
          <w:sz w:val="24"/>
          <w:szCs w:val="30"/>
        </w:rPr>
        <w:t xml:space="preserve">This risk assessment identifies three priority groups essential for policy planning. The 'Pure intensity risk' group (e.g., Bangkok, Samut </w:t>
      </w:r>
      <w:r w:rsidR="00971F9B">
        <w:rPr>
          <w:rFonts w:ascii="Arial" w:hAnsi="Arial" w:cs="Browallia New"/>
          <w:color w:val="000000" w:themeColor="text1"/>
          <w:sz w:val="24"/>
          <w:szCs w:val="30"/>
        </w:rPr>
        <w:t>Songkhram</w:t>
      </w:r>
      <w:r w:rsidRPr="00785D80">
        <w:rPr>
          <w:rFonts w:ascii="Arial" w:hAnsi="Arial" w:cs="Browallia New"/>
          <w:color w:val="000000" w:themeColor="text1"/>
          <w:sz w:val="24"/>
          <w:szCs w:val="30"/>
        </w:rPr>
        <w:t xml:space="preserve">) requires urgent spatial management to control concentrated pressures in small areas. The 'Pure magnitude risk' group (e.g., Surat Thani, </w:t>
      </w:r>
      <w:r w:rsidR="00FC5BDE">
        <w:rPr>
          <w:rFonts w:ascii="Arial" w:hAnsi="Arial" w:cs="Browallia New"/>
          <w:color w:val="000000" w:themeColor="text1"/>
          <w:sz w:val="24"/>
          <w:szCs w:val="30"/>
        </w:rPr>
        <w:t>Songkhla</w:t>
      </w:r>
      <w:r w:rsidRPr="00785D80">
        <w:rPr>
          <w:rFonts w:ascii="Arial" w:hAnsi="Arial" w:cs="Browallia New"/>
          <w:color w:val="000000" w:themeColor="text1"/>
          <w:sz w:val="24"/>
          <w:szCs w:val="30"/>
        </w:rPr>
        <w:t xml:space="preserve">) demands large-scale resource management and budgetary allocation due to extensive resource portfolios despite lower intensity. Finally, the 'Hybrid-risk group' (e.g., </w:t>
      </w:r>
      <w:r w:rsidR="00971F9B">
        <w:rPr>
          <w:rFonts w:ascii="Arial" w:hAnsi="Arial" w:cs="Browallia New"/>
          <w:color w:val="000000" w:themeColor="text1"/>
          <w:sz w:val="24"/>
          <w:szCs w:val="30"/>
        </w:rPr>
        <w:t>Chumphon</w:t>
      </w:r>
      <w:r w:rsidRPr="00785D80">
        <w:rPr>
          <w:rFonts w:ascii="Arial" w:hAnsi="Arial" w:cs="Browallia New"/>
          <w:color w:val="000000" w:themeColor="text1"/>
          <w:sz w:val="24"/>
          <w:szCs w:val="30"/>
        </w:rPr>
        <w:t>) ranks high in both dimensions requiring complex integrated responses that combine urgent management with large-scale planning. This analysis serves as a critical tool for prioritizing interventions and designing effective responses.</w:t>
      </w:r>
    </w:p>
    <w:p w14:paraId="302178E2" w14:textId="77777777" w:rsidR="00180E02" w:rsidRDefault="00180E02" w:rsidP="00710A62">
      <w:pPr>
        <w:spacing w:after="0" w:line="360" w:lineRule="auto"/>
        <w:contextualSpacing/>
        <w:rPr>
          <w:rFonts w:ascii="Arial" w:hAnsi="Arial" w:cs="Arial"/>
          <w:b/>
          <w:bCs/>
          <w:color w:val="000000" w:themeColor="text1"/>
          <w:sz w:val="24"/>
          <w:szCs w:val="24"/>
        </w:rPr>
      </w:pPr>
    </w:p>
    <w:p w14:paraId="487119FF" w14:textId="76C64A68" w:rsidR="00E75A83" w:rsidRPr="00B97B69" w:rsidRDefault="00E75A83" w:rsidP="00710A62">
      <w:pP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lastRenderedPageBreak/>
        <w:t>2.3.2 Risk assessment from climate- and environment-related threats</w:t>
      </w:r>
    </w:p>
    <w:p w14:paraId="2E6F5A61" w14:textId="77777777" w:rsidR="00785D80" w:rsidRDefault="00785D80" w:rsidP="00785D80">
      <w:pPr>
        <w:spacing w:after="0" w:line="360" w:lineRule="auto"/>
        <w:contextualSpacing/>
        <w:jc w:val="thaiDistribute"/>
        <w:rPr>
          <w:rFonts w:ascii="Arial" w:hAnsi="Arial" w:cs="Arial"/>
          <w:color w:val="000000" w:themeColor="text1"/>
          <w:sz w:val="24"/>
          <w:szCs w:val="24"/>
        </w:rPr>
      </w:pPr>
      <w:r w:rsidRPr="00785D80">
        <w:rPr>
          <w:rFonts w:ascii="Arial" w:hAnsi="Arial" w:cs="Arial"/>
          <w:color w:val="000000" w:themeColor="text1"/>
          <w:sz w:val="24"/>
          <w:szCs w:val="24"/>
        </w:rPr>
        <w:t>The socioeconomic risks identified in section 2.3.1 are compounded by physical, climate- and environment-related threats. Although province-level physical vulnerability data is unavailable, the broader hazard context is critical as the Gulf of Thailand persistently faces hydrometeorological hazards including coastal erosion, storm surges, and tropical cyclones.</w:t>
      </w:r>
    </w:p>
    <w:p w14:paraId="43216363" w14:textId="77777777" w:rsidR="00785D80" w:rsidRPr="00785D80" w:rsidRDefault="00785D80" w:rsidP="00785D80">
      <w:pPr>
        <w:spacing w:after="0" w:line="360" w:lineRule="auto"/>
        <w:contextualSpacing/>
        <w:jc w:val="thaiDistribute"/>
        <w:rPr>
          <w:rFonts w:ascii="Arial" w:hAnsi="Arial" w:cs="Arial"/>
          <w:color w:val="000000" w:themeColor="text1"/>
          <w:sz w:val="24"/>
          <w:szCs w:val="24"/>
        </w:rPr>
      </w:pPr>
    </w:p>
    <w:p w14:paraId="00EB0340" w14:textId="11AD3940" w:rsidR="00785D80" w:rsidRPr="00785D80" w:rsidRDefault="00785D80" w:rsidP="00785D80">
      <w:pPr>
        <w:spacing w:after="0" w:line="360" w:lineRule="auto"/>
        <w:contextualSpacing/>
        <w:jc w:val="thaiDistribute"/>
        <w:rPr>
          <w:rFonts w:ascii="Arial" w:hAnsi="Arial" w:cs="Arial"/>
          <w:color w:val="000000" w:themeColor="text1"/>
          <w:sz w:val="24"/>
          <w:szCs w:val="24"/>
        </w:rPr>
      </w:pPr>
      <w:r w:rsidRPr="00785D80">
        <w:rPr>
          <w:rFonts w:ascii="Arial" w:hAnsi="Arial" w:cs="Arial"/>
          <w:color w:val="000000" w:themeColor="text1"/>
          <w:sz w:val="24"/>
          <w:szCs w:val="24"/>
        </w:rPr>
        <w:t xml:space="preserve">National-level data </w:t>
      </w:r>
      <w:r w:rsidRPr="00785D80">
        <w:rPr>
          <w:rFonts w:ascii="Arial" w:hAnsi="Arial" w:cs="Arial"/>
          <w:b/>
          <w:bCs/>
          <w:color w:val="000000" w:themeColor="text1"/>
          <w:sz w:val="24"/>
          <w:szCs w:val="24"/>
        </w:rPr>
        <w:t>(Figures 2.17–2.19)</w:t>
      </w:r>
      <w:r w:rsidRPr="00785D80">
        <w:rPr>
          <w:rFonts w:ascii="Arial" w:hAnsi="Arial" w:cs="Arial"/>
          <w:color w:val="000000" w:themeColor="text1"/>
          <w:sz w:val="24"/>
          <w:szCs w:val="24"/>
        </w:rPr>
        <w:t xml:space="preserve"> confirms this persistent threat, showing numerous cyclone events annually between 2000 and 2024. These events have caused significant economic damages and loss of life, with recorded losses of approximately $32 million in 2005, $742,000 in 2015, and a severe $904 million in 2024. While this data covers the national level, the 17 coastal provinces are primary targets. Consequently, this general exposure acts as a risk multiplier, threatening to amplify the socioeconomic weaknesses</w:t>
      </w:r>
      <w:r w:rsidR="00801C22">
        <w:rPr>
          <w:rFonts w:ascii="Arial" w:hAnsi="Arial" w:cs="Browallia New"/>
          <w:color w:val="000000" w:themeColor="text1"/>
          <w:sz w:val="24"/>
          <w:szCs w:val="30"/>
        </w:rPr>
        <w:t xml:space="preserve">, </w:t>
      </w:r>
      <w:r w:rsidRPr="00785D80">
        <w:rPr>
          <w:rFonts w:ascii="Arial" w:hAnsi="Arial" w:cs="Arial"/>
          <w:color w:val="000000" w:themeColor="text1"/>
          <w:sz w:val="24"/>
          <w:szCs w:val="24"/>
        </w:rPr>
        <w:t>such as poverty and dense settlements</w:t>
      </w:r>
      <w:r w:rsidR="00801C22">
        <w:rPr>
          <w:rFonts w:ascii="Arial" w:hAnsi="Arial" w:cs="Arial"/>
          <w:color w:val="000000" w:themeColor="text1"/>
          <w:sz w:val="24"/>
          <w:szCs w:val="24"/>
        </w:rPr>
        <w:t xml:space="preserve">, </w:t>
      </w:r>
      <w:r w:rsidRPr="00785D80">
        <w:rPr>
          <w:rFonts w:ascii="Arial" w:hAnsi="Arial" w:cs="Arial"/>
          <w:color w:val="000000" w:themeColor="text1"/>
          <w:sz w:val="24"/>
          <w:szCs w:val="24"/>
        </w:rPr>
        <w:t>identified in the CRI assessment.</w:t>
      </w:r>
    </w:p>
    <w:p w14:paraId="518C570D" w14:textId="77777777" w:rsidR="00894773" w:rsidRPr="00894773" w:rsidRDefault="00894773" w:rsidP="00710A62">
      <w:pPr>
        <w:spacing w:after="0" w:line="360" w:lineRule="auto"/>
        <w:contextualSpacing/>
        <w:rPr>
          <w:rFonts w:ascii="Arial" w:hAnsi="Arial"/>
          <w:b/>
          <w:bCs/>
          <w:color w:val="000000" w:themeColor="text1"/>
          <w:sz w:val="24"/>
          <w:szCs w:val="24"/>
        </w:rPr>
      </w:pPr>
    </w:p>
    <w:p w14:paraId="6592A6E1" w14:textId="77777777" w:rsidR="00E75A83" w:rsidRPr="00B97B69" w:rsidRDefault="00E75A83" w:rsidP="00710A62">
      <w:pP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2.3.3 Mitigating socioeconomic vulnerability from climate-mediated environmental change- current actions and gaps</w:t>
      </w:r>
    </w:p>
    <w:p w14:paraId="1683C336" w14:textId="161EE570" w:rsidR="00A077B6" w:rsidRDefault="0046715E" w:rsidP="0046715E">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t xml:space="preserve">Thailand implements a structured policy system to build coastal resilience against climate change risks across three levels. Level 1 sets the </w:t>
      </w:r>
      <w:r w:rsidR="00A24927" w:rsidRPr="0046715E">
        <w:rPr>
          <w:rFonts w:ascii="Arial" w:hAnsi="Arial"/>
          <w:color w:val="000000" w:themeColor="text1"/>
          <w:sz w:val="24"/>
          <w:szCs w:val="24"/>
        </w:rPr>
        <w:t>long-term</w:t>
      </w:r>
      <w:r w:rsidRPr="0046715E">
        <w:rPr>
          <w:rFonts w:ascii="Arial" w:hAnsi="Arial"/>
          <w:color w:val="000000" w:themeColor="text1"/>
          <w:sz w:val="24"/>
          <w:szCs w:val="24"/>
        </w:rPr>
        <w:t xml:space="preserve"> vision through the National Strategy. Level 2 guides </w:t>
      </w:r>
      <w:r w:rsidR="00A24927" w:rsidRPr="0046715E">
        <w:rPr>
          <w:rFonts w:ascii="Arial" w:hAnsi="Arial"/>
          <w:color w:val="000000" w:themeColor="text1"/>
          <w:sz w:val="24"/>
          <w:szCs w:val="24"/>
        </w:rPr>
        <w:t>mid-term</w:t>
      </w:r>
      <w:r w:rsidRPr="0046715E">
        <w:rPr>
          <w:rFonts w:ascii="Arial" w:hAnsi="Arial"/>
          <w:color w:val="000000" w:themeColor="text1"/>
          <w:sz w:val="24"/>
          <w:szCs w:val="24"/>
        </w:rPr>
        <w:t xml:space="preserve"> planning via the Master Plan under the National Strategy (2023 to 2037) and the 13th National Economic and Social Development Plan (NESDP) for 2023 to 2027. Level 3 executes these strategies through specific agency plans, including the Department of Climate Change and Environment’s 5 Year Action Plan.</w:t>
      </w:r>
    </w:p>
    <w:p w14:paraId="7746DB4C" w14:textId="77777777" w:rsidR="0046715E" w:rsidRPr="00B97B69" w:rsidRDefault="0046715E" w:rsidP="0046715E">
      <w:pPr>
        <w:spacing w:after="0" w:line="360" w:lineRule="auto"/>
        <w:contextualSpacing/>
        <w:jc w:val="thaiDistribute"/>
        <w:rPr>
          <w:rFonts w:ascii="Arial" w:hAnsi="Arial"/>
          <w:b/>
          <w:bCs/>
          <w:color w:val="000000" w:themeColor="text1"/>
          <w:sz w:val="28"/>
        </w:rPr>
      </w:pPr>
    </w:p>
    <w:p w14:paraId="0CEE018D" w14:textId="0762818F" w:rsidR="004071AB" w:rsidRDefault="0046715E" w:rsidP="00710A62">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t>The 20 Year National Strategy (2018 to 2037) addresses unpredictable climate change threats to lives, infrastructure, food security, and ecosystems. It targets a stable nation with sustainable natural resources by fostering environmentally friendly growth. This vision builds a climate friendly society that reduces greenhouse gas emissions and adapts to minimize disaster loss. These goals serve as the foundation for the National Economic and Social Development Plan and other master plans.</w:t>
      </w:r>
    </w:p>
    <w:p w14:paraId="66514B2E" w14:textId="77777777" w:rsidR="0046715E" w:rsidRPr="00B97B69" w:rsidRDefault="0046715E" w:rsidP="00710A62">
      <w:pPr>
        <w:spacing w:after="0" w:line="360" w:lineRule="auto"/>
        <w:contextualSpacing/>
        <w:jc w:val="thaiDistribute"/>
        <w:rPr>
          <w:rFonts w:ascii="Arial" w:hAnsi="Arial"/>
          <w:color w:val="000000" w:themeColor="text1"/>
          <w:szCs w:val="22"/>
        </w:rPr>
      </w:pPr>
    </w:p>
    <w:p w14:paraId="0DB81818" w14:textId="1885D232" w:rsidR="003133D1" w:rsidRDefault="0046715E" w:rsidP="00710A62">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lastRenderedPageBreak/>
        <w:t>Level 2 translates the National Strategy into the Master Plan under the National Strategy (2023 to 2037), specifically Issue 18 on sustainable growth. This issue features a sub-plan for creating a climate friendly society aimed at lowering greenhouse gas emissions. The plan outlines four development guidelines: reducing emissions, adapting to minimize loss from natural disasters, promoting climate friendly infrastructure investments, and enhancing adaptation and emission reduction capacity.</w:t>
      </w:r>
    </w:p>
    <w:p w14:paraId="7145FD14" w14:textId="77777777" w:rsidR="0046715E" w:rsidRDefault="0046715E" w:rsidP="00710A62">
      <w:pPr>
        <w:spacing w:after="0" w:line="360" w:lineRule="auto"/>
        <w:contextualSpacing/>
        <w:jc w:val="thaiDistribute"/>
        <w:rPr>
          <w:rFonts w:ascii="Arial" w:hAnsi="Arial"/>
          <w:color w:val="000000" w:themeColor="text1"/>
          <w:sz w:val="24"/>
          <w:szCs w:val="24"/>
        </w:rPr>
      </w:pPr>
    </w:p>
    <w:p w14:paraId="35D33C0D" w14:textId="471554B1" w:rsidR="00E65886" w:rsidRDefault="0046715E" w:rsidP="00710A62">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t>The 13th National Economic and Social Development Plan (NESDP) for 2023 to 2027 puts this vision into practice toward Security, Prosperity, and Sustainability based on the Sufficiency Economy Philosophy. It aims to transform the country into a progressive, value driven, and sustainable society. The plan prioritizes building resilience against global risks like climate change to reduce socioeconomic vulnerability. It establishes 13 specific Development milestones to direct national action.</w:t>
      </w:r>
    </w:p>
    <w:p w14:paraId="7DCF0473" w14:textId="77777777" w:rsidR="0046715E" w:rsidRPr="00B97B69" w:rsidRDefault="0046715E" w:rsidP="00710A62">
      <w:pPr>
        <w:spacing w:after="0" w:line="360" w:lineRule="auto"/>
        <w:contextualSpacing/>
        <w:jc w:val="thaiDistribute"/>
        <w:rPr>
          <w:rFonts w:ascii="Arial" w:hAnsi="Arial"/>
          <w:color w:val="000000" w:themeColor="text1"/>
          <w:sz w:val="24"/>
          <w:szCs w:val="24"/>
        </w:rPr>
      </w:pPr>
    </w:p>
    <w:p w14:paraId="19E9CF57" w14:textId="5676BA53" w:rsidR="002273FA" w:rsidRDefault="0046715E" w:rsidP="00710A62">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t xml:space="preserve">Milestone 11 builds capacity to reduce disaster and climate change impacts through three primary objectives. First involves minimizing damage by lowering fatalities, economic loss, and affected areas. Second lowers exposure using provincial risk maps and effective early warning systems. Third strengthens societal resilience, targeting 80% community </w:t>
      </w:r>
      <w:r w:rsidR="00A24927" w:rsidRPr="0046715E">
        <w:rPr>
          <w:rFonts w:ascii="Arial" w:hAnsi="Arial"/>
          <w:color w:val="000000" w:themeColor="text1"/>
          <w:sz w:val="24"/>
          <w:szCs w:val="24"/>
        </w:rPr>
        <w:t>self-management</w:t>
      </w:r>
      <w:r w:rsidRPr="0046715E">
        <w:rPr>
          <w:rFonts w:ascii="Arial" w:hAnsi="Arial"/>
          <w:color w:val="000000" w:themeColor="text1"/>
          <w:sz w:val="24"/>
          <w:szCs w:val="24"/>
        </w:rPr>
        <w:t xml:space="preserve"> by 2027 and expanded insurance access. These efforts utilize five strategies: preventing risks in critical zones, building community skills, utilizing technology, restoring ecosystems, and promoting international cooperation.</w:t>
      </w:r>
    </w:p>
    <w:p w14:paraId="20B8F25C" w14:textId="77777777" w:rsidR="0046715E" w:rsidRPr="00B97B69" w:rsidRDefault="0046715E" w:rsidP="00710A62">
      <w:pPr>
        <w:spacing w:after="0" w:line="360" w:lineRule="auto"/>
        <w:contextualSpacing/>
        <w:jc w:val="thaiDistribute"/>
        <w:rPr>
          <w:rFonts w:ascii="Arial" w:hAnsi="Arial"/>
          <w:color w:val="000000" w:themeColor="text1"/>
          <w:sz w:val="24"/>
          <w:szCs w:val="24"/>
        </w:rPr>
      </w:pPr>
    </w:p>
    <w:p w14:paraId="0BF32271" w14:textId="1BF217E8" w:rsidR="002273FA" w:rsidRDefault="0046715E" w:rsidP="00710A62">
      <w:pPr>
        <w:spacing w:after="0" w:line="360" w:lineRule="auto"/>
        <w:contextualSpacing/>
        <w:jc w:val="thaiDistribute"/>
        <w:rPr>
          <w:rFonts w:ascii="Arial" w:hAnsi="Arial"/>
          <w:color w:val="000000" w:themeColor="text1"/>
          <w:sz w:val="24"/>
          <w:szCs w:val="24"/>
        </w:rPr>
      </w:pPr>
      <w:r w:rsidRPr="0046715E">
        <w:rPr>
          <w:rFonts w:ascii="Arial" w:hAnsi="Arial"/>
          <w:color w:val="000000" w:themeColor="text1"/>
          <w:sz w:val="24"/>
          <w:szCs w:val="24"/>
        </w:rPr>
        <w:t>At practical Level 3 broad national strategies turn into action through agency specific plans like the Department of Climate Change and Environment (DCCE) 5 Year Action Plan (2023 to 2027). This plan guides the department under the Ministry of Natural Resources and Environment toward climate resilience and a low carbon lifestyle. To achieve this the DCCE focuses on five areas aligning policy with global commitments, creating tools for adaptation and mitigation, building public networks, improving data for governance, and strengthening the organization.</w:t>
      </w:r>
    </w:p>
    <w:p w14:paraId="2488776A" w14:textId="77777777" w:rsidR="0046715E" w:rsidRPr="00B97B69" w:rsidRDefault="0046715E" w:rsidP="00710A62">
      <w:pPr>
        <w:spacing w:after="0" w:line="360" w:lineRule="auto"/>
        <w:contextualSpacing/>
        <w:jc w:val="thaiDistribute"/>
        <w:rPr>
          <w:rFonts w:ascii="Arial" w:hAnsi="Arial"/>
          <w:b/>
          <w:bCs/>
          <w:color w:val="000000" w:themeColor="text1"/>
          <w:sz w:val="24"/>
          <w:szCs w:val="24"/>
        </w:rPr>
      </w:pPr>
    </w:p>
    <w:p w14:paraId="70948E3D" w14:textId="77777777" w:rsidR="00E75A83" w:rsidRPr="00B97B69" w:rsidRDefault="00E75A83" w:rsidP="00710A62">
      <w:pPr>
        <w:spacing w:after="0"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lastRenderedPageBreak/>
        <w:t xml:space="preserve">In essence, Thailand's implementation, as reflected in the previously mentioned plans, is presented in </w:t>
      </w:r>
      <w:r w:rsidRPr="00B97B69">
        <w:rPr>
          <w:rFonts w:ascii="Arial" w:hAnsi="Arial"/>
          <w:b/>
          <w:bCs/>
          <w:color w:val="000000" w:themeColor="text1"/>
          <w:sz w:val="24"/>
          <w:szCs w:val="24"/>
        </w:rPr>
        <w:t>Table 2.5</w:t>
      </w:r>
      <w:r w:rsidRPr="00B97B69">
        <w:rPr>
          <w:rFonts w:ascii="Arial" w:hAnsi="Arial"/>
          <w:color w:val="000000" w:themeColor="text1"/>
          <w:sz w:val="24"/>
          <w:szCs w:val="24"/>
        </w:rPr>
        <w:t>.</w:t>
      </w:r>
    </w:p>
    <w:p w14:paraId="788D38A6" w14:textId="77777777" w:rsidR="00E75A83" w:rsidRPr="00B97B69" w:rsidRDefault="00E75A83" w:rsidP="00710A62">
      <w:pPr>
        <w:spacing w:after="0" w:line="360" w:lineRule="auto"/>
        <w:contextualSpacing/>
        <w:rPr>
          <w:rFonts w:ascii="Arial" w:hAnsi="Arial"/>
          <w:b/>
          <w:bCs/>
          <w:color w:val="000000" w:themeColor="text1"/>
          <w:sz w:val="24"/>
          <w:szCs w:val="24"/>
        </w:rPr>
      </w:pPr>
    </w:p>
    <w:p w14:paraId="5CC32F11" w14:textId="5E499BEE" w:rsidR="00E75A83" w:rsidRPr="00B97B69" w:rsidRDefault="00E75A83" w:rsidP="00710A62">
      <w:pPr>
        <w:spacing w:after="0" w:line="360" w:lineRule="auto"/>
        <w:contextualSpacing/>
        <w:rPr>
          <w:rFonts w:ascii="Arial" w:hAnsi="Arial"/>
          <w:b/>
          <w:bCs/>
          <w:color w:val="000000" w:themeColor="text1"/>
          <w:sz w:val="24"/>
          <w:szCs w:val="24"/>
          <w:cs/>
        </w:rPr>
      </w:pPr>
      <w:r w:rsidRPr="00B97B69">
        <w:rPr>
          <w:rFonts w:ascii="Arial" w:hAnsi="Arial"/>
          <w:b/>
          <w:bCs/>
          <w:color w:val="000000" w:themeColor="text1"/>
          <w:sz w:val="24"/>
          <w:szCs w:val="24"/>
        </w:rPr>
        <w:t xml:space="preserve">Table 2.5 </w:t>
      </w:r>
      <w:r w:rsidR="00B65AA5">
        <w:rPr>
          <w:rFonts w:ascii="Arial" w:hAnsi="Arial"/>
          <w:color w:val="000000" w:themeColor="text1"/>
          <w:sz w:val="24"/>
          <w:szCs w:val="24"/>
        </w:rPr>
        <w:t>Significance of the implementation driven by the DCCE</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835"/>
        <w:gridCol w:w="6182"/>
      </w:tblGrid>
      <w:tr w:rsidR="00B7322E" w:rsidRPr="00B97B69" w14:paraId="23FFD67C" w14:textId="77777777" w:rsidTr="000B6E97">
        <w:tc>
          <w:tcPr>
            <w:tcW w:w="2835" w:type="dxa"/>
          </w:tcPr>
          <w:p w14:paraId="46F17545" w14:textId="77777777" w:rsidR="00E75A83" w:rsidRPr="00B97B69" w:rsidRDefault="00E75A83" w:rsidP="00710A62">
            <w:pPr>
              <w:spacing w:line="360" w:lineRule="auto"/>
              <w:contextualSpacing/>
              <w:jc w:val="center"/>
              <w:rPr>
                <w:rFonts w:ascii="Arial" w:hAnsi="Arial"/>
                <w:b/>
                <w:bCs/>
                <w:color w:val="000000" w:themeColor="text1"/>
                <w:sz w:val="24"/>
                <w:szCs w:val="24"/>
                <w:cs/>
              </w:rPr>
            </w:pPr>
            <w:r w:rsidRPr="00B97B69">
              <w:rPr>
                <w:rFonts w:ascii="Arial" w:hAnsi="Arial"/>
                <w:b/>
                <w:bCs/>
                <w:color w:val="000000" w:themeColor="text1"/>
                <w:sz w:val="24"/>
                <w:szCs w:val="24"/>
              </w:rPr>
              <w:t>Issue</w:t>
            </w:r>
          </w:p>
        </w:tc>
        <w:tc>
          <w:tcPr>
            <w:tcW w:w="6182" w:type="dxa"/>
          </w:tcPr>
          <w:p w14:paraId="382CA698" w14:textId="5EA68DB1" w:rsidR="00E75A83" w:rsidRPr="00B97B69" w:rsidRDefault="00E75A83" w:rsidP="00710A62">
            <w:pPr>
              <w:spacing w:line="360" w:lineRule="auto"/>
              <w:contextualSpacing/>
              <w:jc w:val="center"/>
              <w:rPr>
                <w:rFonts w:ascii="Arial" w:hAnsi="Arial"/>
                <w:b/>
                <w:bCs/>
                <w:color w:val="000000" w:themeColor="text1"/>
                <w:sz w:val="24"/>
                <w:szCs w:val="24"/>
              </w:rPr>
            </w:pPr>
            <w:r w:rsidRPr="00B97B69">
              <w:rPr>
                <w:rFonts w:ascii="Arial" w:hAnsi="Arial"/>
                <w:b/>
                <w:bCs/>
                <w:color w:val="000000" w:themeColor="text1"/>
                <w:sz w:val="24"/>
                <w:szCs w:val="24"/>
              </w:rPr>
              <w:t xml:space="preserve">Key </w:t>
            </w:r>
            <w:r w:rsidR="00B65AA5">
              <w:rPr>
                <w:rFonts w:ascii="Arial" w:hAnsi="Arial"/>
                <w:b/>
                <w:bCs/>
                <w:color w:val="000000" w:themeColor="text1"/>
                <w:sz w:val="24"/>
                <w:szCs w:val="24"/>
              </w:rPr>
              <w:t>i</w:t>
            </w:r>
            <w:r w:rsidRPr="00B97B69">
              <w:rPr>
                <w:rFonts w:ascii="Arial" w:hAnsi="Arial"/>
                <w:b/>
                <w:bCs/>
                <w:color w:val="000000" w:themeColor="text1"/>
                <w:sz w:val="24"/>
                <w:szCs w:val="24"/>
              </w:rPr>
              <w:t xml:space="preserve">mplementation </w:t>
            </w:r>
            <w:r w:rsidR="00B65AA5">
              <w:rPr>
                <w:rFonts w:ascii="Arial" w:hAnsi="Arial"/>
                <w:b/>
                <w:bCs/>
                <w:color w:val="000000" w:themeColor="text1"/>
                <w:sz w:val="24"/>
                <w:szCs w:val="24"/>
              </w:rPr>
              <w:t>a</w:t>
            </w:r>
            <w:r w:rsidRPr="00B97B69">
              <w:rPr>
                <w:rFonts w:ascii="Arial" w:hAnsi="Arial"/>
                <w:b/>
                <w:bCs/>
                <w:color w:val="000000" w:themeColor="text1"/>
                <w:sz w:val="24"/>
                <w:szCs w:val="24"/>
              </w:rPr>
              <w:t>spects</w:t>
            </w:r>
          </w:p>
        </w:tc>
      </w:tr>
      <w:tr w:rsidR="00B7322E" w:rsidRPr="00B97B69" w14:paraId="21FAA072" w14:textId="77777777" w:rsidTr="000B6E97">
        <w:tc>
          <w:tcPr>
            <w:tcW w:w="2835" w:type="dxa"/>
          </w:tcPr>
          <w:p w14:paraId="28D40E8B" w14:textId="77777777" w:rsidR="00E75A83" w:rsidRPr="00B97B69" w:rsidRDefault="00E75A83" w:rsidP="00710A62">
            <w:pPr>
              <w:spacing w:line="360" w:lineRule="auto"/>
              <w:contextualSpacing/>
              <w:rPr>
                <w:rFonts w:ascii="Arial" w:hAnsi="Arial"/>
                <w:color w:val="000000" w:themeColor="text1"/>
                <w:sz w:val="24"/>
                <w:szCs w:val="24"/>
              </w:rPr>
            </w:pPr>
            <w:r w:rsidRPr="00B97B69">
              <w:rPr>
                <w:rFonts w:ascii="Arial" w:hAnsi="Arial"/>
                <w:color w:val="000000" w:themeColor="text1"/>
                <w:sz w:val="24"/>
                <w:szCs w:val="24"/>
              </w:rPr>
              <w:t>Impacts of climate change at both the global and national levels (Thailand)</w:t>
            </w:r>
          </w:p>
        </w:tc>
        <w:tc>
          <w:tcPr>
            <w:tcW w:w="6182" w:type="dxa"/>
          </w:tcPr>
          <w:p w14:paraId="6A3EA683" w14:textId="3696A74D"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1.  Assessing impacts and developing risk datasets from climate change, covering 6 adaptation sectors, such as: agriculture and food security, water management and disasters, tourism, public health, natural resource management, and the human settlement and security sector, including area-based risks.</w:t>
            </w:r>
          </w:p>
          <w:p w14:paraId="0086DC64" w14:textId="77777777"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2.  Formulation of policies and plans for climate change adaptation.</w:t>
            </w:r>
          </w:p>
          <w:p w14:paraId="50C191EA" w14:textId="5A1B4F5D"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3. Driving and promoting public readiness to adapt to climate change.</w:t>
            </w:r>
          </w:p>
          <w:p w14:paraId="2D079095" w14:textId="77777777"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4.  Developing adaptation plans at the policy and area levels to cover the adaptation sectors, including the implementation of efficient and effective adaptation measures.</w:t>
            </w:r>
          </w:p>
          <w:p w14:paraId="16426984" w14:textId="77777777"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5.  Driving and implementing actions at the policy level in collaboration with central and local agencies to drive area-based adaptation and scale up implementation.</w:t>
            </w:r>
          </w:p>
          <w:p w14:paraId="0CD6A813" w14:textId="77777777" w:rsidR="00E75A83" w:rsidRPr="00B97B69" w:rsidRDefault="00E75A83" w:rsidP="00710A62">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6.  Monitoring and evaluation of implementation and ensuring continuous improvement.</w:t>
            </w:r>
          </w:p>
        </w:tc>
      </w:tr>
      <w:tr w:rsidR="00B7322E" w:rsidRPr="00B97B69" w14:paraId="679A4A3F" w14:textId="77777777" w:rsidTr="000B6E97">
        <w:tc>
          <w:tcPr>
            <w:tcW w:w="2835" w:type="dxa"/>
          </w:tcPr>
          <w:p w14:paraId="26E9EA17" w14:textId="77777777" w:rsidR="00E75A83" w:rsidRPr="00B97B69" w:rsidRDefault="00E75A83" w:rsidP="00710A62">
            <w:pPr>
              <w:spacing w:line="360" w:lineRule="auto"/>
              <w:contextualSpacing/>
              <w:rPr>
                <w:rFonts w:ascii="Arial" w:hAnsi="Arial"/>
                <w:color w:val="000000" w:themeColor="text1"/>
                <w:sz w:val="24"/>
                <w:szCs w:val="24"/>
              </w:rPr>
            </w:pPr>
            <w:r w:rsidRPr="00B97B69">
              <w:rPr>
                <w:rFonts w:ascii="Arial" w:hAnsi="Arial"/>
                <w:color w:val="000000" w:themeColor="text1"/>
                <w:sz w:val="24"/>
                <w:szCs w:val="24"/>
              </w:rPr>
              <w:t>GHG Mitigation, Carbon Neutrality, and Net-Zero</w:t>
            </w:r>
          </w:p>
        </w:tc>
        <w:tc>
          <w:tcPr>
            <w:tcW w:w="6182" w:type="dxa"/>
          </w:tcPr>
          <w:p w14:paraId="76C6426D" w14:textId="40FA8B7A" w:rsidR="00E75A83"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1.  Assess the potential for greenhouse gas (GHG) mitigation and develop policies and plans, including setting national GHG-reduction targets that cover the five key sectors: energy; industrial processes and product use (IPPU); waste; agriculture; and land use and forestry.</w:t>
            </w:r>
          </w:p>
          <w:p w14:paraId="067E5624" w14:textId="2B7B3458" w:rsidR="007B5684"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 xml:space="preserve">2.  </w:t>
            </w:r>
            <w:r w:rsidR="007B5684" w:rsidRPr="00B97B69">
              <w:rPr>
                <w:rFonts w:ascii="Arial" w:hAnsi="Arial"/>
                <w:color w:val="000000" w:themeColor="text1"/>
                <w:sz w:val="24"/>
                <w:szCs w:val="24"/>
              </w:rPr>
              <w:t xml:space="preserve">Prepare and submit implementation reports on the plans and targets that Thailand has pledged, in accordance with the submission timelines under the </w:t>
            </w:r>
            <w:r w:rsidR="007B5684" w:rsidRPr="00B97B69">
              <w:rPr>
                <w:rFonts w:ascii="Arial" w:hAnsi="Arial"/>
                <w:color w:val="000000" w:themeColor="text1"/>
                <w:sz w:val="24"/>
                <w:szCs w:val="24"/>
              </w:rPr>
              <w:lastRenderedPageBreak/>
              <w:t>United Nations Framework Convention on Climate Change (UNFCCC) and the Paris Agreement, such as National Communications (NCs) and Biennial Transparency Reports (BTRs).</w:t>
            </w:r>
          </w:p>
          <w:p w14:paraId="2F61EB60" w14:textId="0BA2FADB" w:rsidR="00E75A83"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3.  Drive and implement climate policy in coordination with central and local government agencies.</w:t>
            </w:r>
          </w:p>
          <w:p w14:paraId="5A8F829D" w14:textId="77777777" w:rsidR="00E75A83"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4.  Promote and enable the public to be ready to develop and adopt low-GHG lifestyles.</w:t>
            </w:r>
          </w:p>
          <w:p w14:paraId="4E92987A" w14:textId="77777777" w:rsidR="00E75A83"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5. Advance GHG mitigation actions across sectors and at subnational levels, and scale up successful initiatives.</w:t>
            </w:r>
          </w:p>
          <w:p w14:paraId="68F0592F" w14:textId="77777777" w:rsidR="00E75A83" w:rsidRPr="00B97B69" w:rsidRDefault="00E75A83" w:rsidP="007B5684">
            <w:pPr>
              <w:spacing w:line="360" w:lineRule="auto"/>
              <w:contextualSpacing/>
              <w:jc w:val="thaiDistribute"/>
              <w:rPr>
                <w:rFonts w:ascii="Arial" w:hAnsi="Arial"/>
                <w:color w:val="000000" w:themeColor="text1"/>
                <w:sz w:val="24"/>
                <w:szCs w:val="24"/>
              </w:rPr>
            </w:pPr>
            <w:r w:rsidRPr="00B97B69">
              <w:rPr>
                <w:rFonts w:ascii="Arial" w:hAnsi="Arial"/>
                <w:color w:val="000000" w:themeColor="text1"/>
                <w:sz w:val="24"/>
                <w:szCs w:val="24"/>
              </w:rPr>
              <w:t>6.  Continuously monitor and evaluate progress and improve implementation.</w:t>
            </w:r>
          </w:p>
        </w:tc>
      </w:tr>
    </w:tbl>
    <w:p w14:paraId="251F3B7D" w14:textId="77777777" w:rsidR="00E75A83" w:rsidRPr="00B97B69" w:rsidRDefault="00E75A83" w:rsidP="00710A62">
      <w:pPr>
        <w:spacing w:after="0" w:line="360" w:lineRule="auto"/>
        <w:contextualSpacing/>
        <w:rPr>
          <w:rFonts w:ascii="Arial" w:hAnsi="Arial"/>
          <w:b/>
          <w:bCs/>
          <w:color w:val="000000" w:themeColor="text1"/>
          <w:sz w:val="24"/>
          <w:szCs w:val="24"/>
        </w:rPr>
      </w:pPr>
    </w:p>
    <w:p w14:paraId="5B997528" w14:textId="77777777" w:rsidR="00B65AA5" w:rsidRDefault="00B65AA5" w:rsidP="00B65AA5">
      <w:pPr>
        <w:spacing w:after="0" w:line="360" w:lineRule="auto"/>
        <w:contextualSpacing/>
        <w:jc w:val="both"/>
        <w:rPr>
          <w:rFonts w:ascii="Arial" w:hAnsi="Arial"/>
          <w:color w:val="000000" w:themeColor="text1"/>
          <w:sz w:val="24"/>
          <w:szCs w:val="24"/>
        </w:rPr>
      </w:pPr>
      <w:r w:rsidRPr="00B65AA5">
        <w:rPr>
          <w:rFonts w:ascii="Arial" w:hAnsi="Arial"/>
          <w:color w:val="000000" w:themeColor="text1"/>
          <w:sz w:val="24"/>
          <w:szCs w:val="24"/>
        </w:rPr>
        <w:t>Even with these solid policies in place, putting them into practice remains difficult. A review of the DCCE’s analysis highlights serious obstacles that stand in the way of reducing risks for the population. These challenges generally fall into two main groups:</w:t>
      </w:r>
    </w:p>
    <w:p w14:paraId="2B49A6DB" w14:textId="05B3BE55" w:rsidR="00E75A83" w:rsidRPr="00B97B69" w:rsidRDefault="00E75A83" w:rsidP="00B65AA5">
      <w:pPr>
        <w:spacing w:after="0" w:line="360" w:lineRule="auto"/>
        <w:contextualSpacing/>
        <w:jc w:val="both"/>
        <w:rPr>
          <w:rFonts w:ascii="Arial" w:hAnsi="Arial"/>
          <w:color w:val="000000" w:themeColor="text1"/>
          <w:sz w:val="24"/>
          <w:szCs w:val="24"/>
        </w:rPr>
      </w:pPr>
      <w:r w:rsidRPr="00B97B69">
        <w:rPr>
          <w:rFonts w:ascii="Arial" w:hAnsi="Arial"/>
          <w:color w:val="000000" w:themeColor="text1"/>
          <w:sz w:val="24"/>
          <w:szCs w:val="24"/>
        </w:rPr>
        <w:t xml:space="preserve">1. Strategic and </w:t>
      </w:r>
      <w:r w:rsidR="000703C4" w:rsidRPr="00B97B69">
        <w:rPr>
          <w:rFonts w:ascii="Arial" w:hAnsi="Arial"/>
          <w:color w:val="000000" w:themeColor="text1"/>
          <w:sz w:val="24"/>
          <w:szCs w:val="24"/>
        </w:rPr>
        <w:t>t</w:t>
      </w:r>
      <w:r w:rsidRPr="00B97B69">
        <w:rPr>
          <w:rFonts w:ascii="Arial" w:hAnsi="Arial"/>
          <w:color w:val="000000" w:themeColor="text1"/>
          <w:sz w:val="24"/>
          <w:szCs w:val="24"/>
        </w:rPr>
        <w:t xml:space="preserve">echnical </w:t>
      </w:r>
      <w:r w:rsidR="000703C4" w:rsidRPr="00B97B69">
        <w:rPr>
          <w:rFonts w:ascii="Arial" w:hAnsi="Arial"/>
          <w:color w:val="000000" w:themeColor="text1"/>
          <w:sz w:val="24"/>
          <w:szCs w:val="24"/>
        </w:rPr>
        <w:t>g</w:t>
      </w:r>
      <w:r w:rsidRPr="00B97B69">
        <w:rPr>
          <w:rFonts w:ascii="Arial" w:hAnsi="Arial"/>
          <w:color w:val="000000" w:themeColor="text1"/>
          <w:sz w:val="24"/>
          <w:szCs w:val="24"/>
        </w:rPr>
        <w:t>aps</w:t>
      </w:r>
    </w:p>
    <w:p w14:paraId="4392E012" w14:textId="740BFAF8" w:rsidR="00E75A83" w:rsidRPr="00B97B69" w:rsidRDefault="00E75A83" w:rsidP="00710A62">
      <w:pPr>
        <w:spacing w:after="0" w:line="360" w:lineRule="auto"/>
        <w:contextualSpacing/>
        <w:rPr>
          <w:rFonts w:ascii="Arial" w:hAnsi="Arial"/>
          <w:color w:val="000000" w:themeColor="text1"/>
          <w:sz w:val="24"/>
          <w:szCs w:val="24"/>
        </w:rPr>
      </w:pPr>
      <w:r w:rsidRPr="00B97B69">
        <w:rPr>
          <w:rFonts w:ascii="Arial" w:hAnsi="Arial"/>
          <w:color w:val="000000" w:themeColor="text1"/>
          <w:sz w:val="24"/>
          <w:szCs w:val="24"/>
        </w:rPr>
        <w:t xml:space="preserve">These challenges </w:t>
      </w:r>
      <w:r w:rsidR="00405F56">
        <w:rPr>
          <w:rFonts w:ascii="Arial" w:hAnsi="Arial"/>
          <w:color w:val="000000" w:themeColor="text1"/>
          <w:sz w:val="24"/>
          <w:szCs w:val="24"/>
        </w:rPr>
        <w:t>arise</w:t>
      </w:r>
      <w:r w:rsidRPr="00B97B69">
        <w:rPr>
          <w:rFonts w:ascii="Arial" w:hAnsi="Arial"/>
          <w:color w:val="000000" w:themeColor="text1"/>
          <w:sz w:val="24"/>
          <w:szCs w:val="24"/>
        </w:rPr>
        <w:t xml:space="preserve"> from the </w:t>
      </w:r>
      <w:r w:rsidR="00405F56">
        <w:rPr>
          <w:rFonts w:ascii="Arial" w:hAnsi="Arial"/>
          <w:color w:val="000000" w:themeColor="text1"/>
          <w:sz w:val="24"/>
          <w:szCs w:val="24"/>
        </w:rPr>
        <w:t>complex</w:t>
      </w:r>
      <w:r w:rsidRPr="00B97B69">
        <w:rPr>
          <w:rFonts w:ascii="Arial" w:hAnsi="Arial"/>
          <w:color w:val="000000" w:themeColor="text1"/>
          <w:sz w:val="24"/>
          <w:szCs w:val="24"/>
        </w:rPr>
        <w:t xml:space="preserve"> nature of the climate problem itself and the tools available to address it:</w:t>
      </w:r>
    </w:p>
    <w:p w14:paraId="0D2DDE7A" w14:textId="77777777" w:rsidR="0046715E" w:rsidRDefault="0046715E" w:rsidP="00710A62">
      <w:pPr>
        <w:numPr>
          <w:ilvl w:val="0"/>
          <w:numId w:val="10"/>
        </w:numPr>
        <w:spacing w:after="0" w:line="360" w:lineRule="auto"/>
        <w:contextualSpacing/>
        <w:jc w:val="both"/>
        <w:rPr>
          <w:rFonts w:ascii="Arial" w:hAnsi="Arial"/>
          <w:color w:val="000000" w:themeColor="text1"/>
          <w:sz w:val="24"/>
          <w:szCs w:val="24"/>
        </w:rPr>
      </w:pPr>
      <w:r w:rsidRPr="0046715E">
        <w:rPr>
          <w:rFonts w:ascii="Arial" w:hAnsi="Arial"/>
          <w:color w:val="000000" w:themeColor="text1"/>
          <w:sz w:val="24"/>
          <w:szCs w:val="24"/>
        </w:rPr>
        <w:t>Scientific uncertainty remains a primary gap in conducting precise risk assessments. While general climate impacts are understood significant uncertainty persists regarding specific timing severity and exact location. This lack of precision limits targeted cost effective adaptation policies and complicates clear public communication.</w:t>
      </w:r>
    </w:p>
    <w:p w14:paraId="69BF9C70" w14:textId="6BB9C6D6" w:rsidR="0046715E" w:rsidRDefault="0046715E" w:rsidP="00710A62">
      <w:pPr>
        <w:numPr>
          <w:ilvl w:val="0"/>
          <w:numId w:val="10"/>
        </w:numPr>
        <w:spacing w:after="0" w:line="360" w:lineRule="auto"/>
        <w:contextualSpacing/>
        <w:jc w:val="both"/>
        <w:rPr>
          <w:rFonts w:ascii="Arial" w:hAnsi="Arial"/>
          <w:color w:val="000000" w:themeColor="text1"/>
          <w:sz w:val="24"/>
          <w:szCs w:val="24"/>
        </w:rPr>
      </w:pPr>
      <w:r w:rsidRPr="0046715E">
        <w:rPr>
          <w:rFonts w:ascii="Arial" w:hAnsi="Arial"/>
          <w:color w:val="000000" w:themeColor="text1"/>
          <w:sz w:val="24"/>
          <w:szCs w:val="24"/>
        </w:rPr>
        <w:t xml:space="preserve">Problem complexity and integration </w:t>
      </w:r>
      <w:r w:rsidR="00A24927" w:rsidRPr="0046715E">
        <w:rPr>
          <w:rFonts w:ascii="Arial" w:hAnsi="Arial"/>
          <w:color w:val="000000" w:themeColor="text1"/>
          <w:sz w:val="24"/>
          <w:szCs w:val="24"/>
        </w:rPr>
        <w:t>make</w:t>
      </w:r>
      <w:r w:rsidRPr="0046715E">
        <w:rPr>
          <w:rFonts w:ascii="Arial" w:hAnsi="Arial"/>
          <w:color w:val="000000" w:themeColor="text1"/>
          <w:sz w:val="24"/>
          <w:szCs w:val="24"/>
        </w:rPr>
        <w:t xml:space="preserve"> management difficult as climate change affects multiple sectors. A fragmented approach persists where economic development policies are not fully integrated with climate adaptation goals often leading to conflicting objectives. National frameworks like NESDP Milestone 11 set general goals but deploy a one size fits all approach. This fails to address distinct needs of priority groups specifically Intensity risk provinces like Bangkok</w:t>
      </w:r>
      <w:r w:rsidR="000D5FE4">
        <w:rPr>
          <w:rFonts w:ascii="Arial" w:hAnsi="Arial"/>
          <w:color w:val="000000" w:themeColor="text1"/>
          <w:sz w:val="24"/>
          <w:szCs w:val="24"/>
        </w:rPr>
        <w:t>,</w:t>
      </w:r>
      <w:r w:rsidRPr="0046715E">
        <w:rPr>
          <w:rFonts w:ascii="Arial" w:hAnsi="Arial"/>
          <w:color w:val="000000" w:themeColor="text1"/>
          <w:sz w:val="24"/>
          <w:szCs w:val="24"/>
        </w:rPr>
        <w:t xml:space="preserve"> Magnitude risk group like </w:t>
      </w:r>
      <w:r w:rsidR="000D5FE4">
        <w:rPr>
          <w:rFonts w:ascii="Arial" w:hAnsi="Arial"/>
          <w:color w:val="000000" w:themeColor="text1"/>
          <w:sz w:val="24"/>
          <w:szCs w:val="24"/>
        </w:rPr>
        <w:t>Surat Thani</w:t>
      </w:r>
      <w:r w:rsidRPr="0046715E">
        <w:rPr>
          <w:rFonts w:ascii="Arial" w:hAnsi="Arial"/>
          <w:color w:val="000000" w:themeColor="text1"/>
          <w:sz w:val="24"/>
          <w:szCs w:val="24"/>
        </w:rPr>
        <w:t xml:space="preserve"> or Hybrid risk group like </w:t>
      </w:r>
      <w:r w:rsidR="000D5FE4">
        <w:rPr>
          <w:rFonts w:ascii="Arial" w:hAnsi="Arial"/>
          <w:color w:val="000000" w:themeColor="text1"/>
          <w:sz w:val="24"/>
          <w:szCs w:val="24"/>
        </w:rPr>
        <w:t>Chumphon</w:t>
      </w:r>
      <w:r w:rsidRPr="0046715E">
        <w:rPr>
          <w:rFonts w:ascii="Arial" w:hAnsi="Arial"/>
          <w:color w:val="000000" w:themeColor="text1"/>
          <w:sz w:val="24"/>
          <w:szCs w:val="24"/>
        </w:rPr>
        <w:t>.</w:t>
      </w:r>
    </w:p>
    <w:p w14:paraId="7204A44A" w14:textId="77777777" w:rsidR="00180E02" w:rsidRDefault="00180E02" w:rsidP="00180E02">
      <w:pPr>
        <w:spacing w:after="0" w:line="360" w:lineRule="auto"/>
        <w:contextualSpacing/>
        <w:jc w:val="both"/>
        <w:rPr>
          <w:rFonts w:ascii="Arial" w:hAnsi="Arial"/>
          <w:color w:val="000000" w:themeColor="text1"/>
          <w:sz w:val="24"/>
          <w:szCs w:val="24"/>
        </w:rPr>
      </w:pPr>
    </w:p>
    <w:p w14:paraId="53441023" w14:textId="77777777" w:rsidR="00180E02" w:rsidRDefault="00180E02" w:rsidP="00180E02">
      <w:pPr>
        <w:spacing w:after="0" w:line="360" w:lineRule="auto"/>
        <w:contextualSpacing/>
        <w:jc w:val="both"/>
        <w:rPr>
          <w:rFonts w:ascii="Arial" w:hAnsi="Arial"/>
          <w:color w:val="000000" w:themeColor="text1"/>
          <w:sz w:val="24"/>
          <w:szCs w:val="24"/>
        </w:rPr>
      </w:pPr>
    </w:p>
    <w:p w14:paraId="22B52939" w14:textId="33BCB6DA" w:rsidR="00E75A83" w:rsidRPr="0046715E" w:rsidRDefault="00E75A83" w:rsidP="0046715E">
      <w:pPr>
        <w:spacing w:after="0" w:line="360" w:lineRule="auto"/>
        <w:contextualSpacing/>
        <w:jc w:val="both"/>
        <w:rPr>
          <w:rFonts w:ascii="Arial" w:hAnsi="Arial"/>
          <w:color w:val="000000" w:themeColor="text1"/>
          <w:sz w:val="24"/>
          <w:szCs w:val="24"/>
        </w:rPr>
      </w:pPr>
      <w:r w:rsidRPr="0046715E">
        <w:rPr>
          <w:rFonts w:ascii="Arial" w:hAnsi="Arial"/>
          <w:color w:val="000000" w:themeColor="text1"/>
          <w:sz w:val="24"/>
          <w:szCs w:val="24"/>
        </w:rPr>
        <w:lastRenderedPageBreak/>
        <w:t>2. Operational and institutional gaps</w:t>
      </w:r>
    </w:p>
    <w:p w14:paraId="1AFB21B0" w14:textId="3DF7E2E5" w:rsidR="00E75A83" w:rsidRPr="00B97B69" w:rsidRDefault="00287837" w:rsidP="00287837">
      <w:pPr>
        <w:spacing w:after="0" w:line="360" w:lineRule="auto"/>
        <w:contextualSpacing/>
        <w:jc w:val="both"/>
        <w:rPr>
          <w:rFonts w:ascii="Arial" w:hAnsi="Arial"/>
          <w:color w:val="000000" w:themeColor="text1"/>
          <w:sz w:val="24"/>
          <w:szCs w:val="24"/>
        </w:rPr>
      </w:pPr>
      <w:r w:rsidRPr="00287837">
        <w:rPr>
          <w:rFonts w:ascii="Arial" w:hAnsi="Arial"/>
          <w:color w:val="000000" w:themeColor="text1"/>
          <w:sz w:val="24"/>
          <w:szCs w:val="24"/>
        </w:rPr>
        <w:t>These challenges concern the ability of key institutions, particularly the DCCE, to carry out the national strategy effectively</w:t>
      </w:r>
      <w:r w:rsidR="00E75A83" w:rsidRPr="00B97B69">
        <w:rPr>
          <w:rFonts w:ascii="Arial" w:hAnsi="Arial"/>
          <w:color w:val="000000" w:themeColor="text1"/>
          <w:sz w:val="24"/>
          <w:szCs w:val="24"/>
        </w:rPr>
        <w:t>:</w:t>
      </w:r>
    </w:p>
    <w:p w14:paraId="176DB6ED" w14:textId="1AF26D81" w:rsidR="0046715E" w:rsidRDefault="0046715E" w:rsidP="0046715E">
      <w:pPr>
        <w:numPr>
          <w:ilvl w:val="0"/>
          <w:numId w:val="11"/>
        </w:numPr>
        <w:spacing w:after="0" w:line="360" w:lineRule="auto"/>
        <w:contextualSpacing/>
        <w:jc w:val="both"/>
        <w:rPr>
          <w:rFonts w:ascii="Arial" w:hAnsi="Arial"/>
          <w:color w:val="000000" w:themeColor="text1"/>
          <w:sz w:val="24"/>
          <w:szCs w:val="24"/>
        </w:rPr>
      </w:pPr>
      <w:r w:rsidRPr="0046715E">
        <w:rPr>
          <w:rFonts w:ascii="Arial" w:hAnsi="Arial"/>
          <w:color w:val="000000" w:themeColor="text1"/>
          <w:sz w:val="24"/>
          <w:szCs w:val="24"/>
        </w:rPr>
        <w:t xml:space="preserve">Expanded mandate vs resource constraints arise as the DCCE faces a heavier workload from severe climate impacts like frequent disasters and ecosystem loss. Although new specialized divisions for GHG reduction and adaptation were established this wider scope creates a resource shortage. </w:t>
      </w:r>
      <w:r w:rsidR="00A24927" w:rsidRPr="0046715E">
        <w:rPr>
          <w:rFonts w:ascii="Arial" w:hAnsi="Arial"/>
          <w:color w:val="000000" w:themeColor="text1"/>
          <w:sz w:val="24"/>
          <w:szCs w:val="24"/>
        </w:rPr>
        <w:t>Consequently,</w:t>
      </w:r>
      <w:r w:rsidRPr="0046715E">
        <w:rPr>
          <w:rFonts w:ascii="Arial" w:hAnsi="Arial"/>
          <w:color w:val="000000" w:themeColor="text1"/>
          <w:sz w:val="24"/>
          <w:szCs w:val="24"/>
        </w:rPr>
        <w:t xml:space="preserve"> the agency requires significant new funding modern monitoring technology and continuous personnel training to meet demands.</w:t>
      </w:r>
    </w:p>
    <w:p w14:paraId="076CD843" w14:textId="2F3B7B91" w:rsidR="00562B17" w:rsidRPr="0046715E" w:rsidRDefault="0046715E" w:rsidP="0046715E">
      <w:pPr>
        <w:numPr>
          <w:ilvl w:val="0"/>
          <w:numId w:val="11"/>
        </w:numPr>
        <w:spacing w:after="0" w:line="360" w:lineRule="auto"/>
        <w:contextualSpacing/>
        <w:jc w:val="both"/>
        <w:rPr>
          <w:rFonts w:ascii="Arial" w:hAnsi="Arial"/>
          <w:color w:val="000000" w:themeColor="text1"/>
          <w:sz w:val="24"/>
          <w:szCs w:val="24"/>
        </w:rPr>
      </w:pPr>
      <w:r w:rsidRPr="0046715E">
        <w:rPr>
          <w:rFonts w:ascii="Arial" w:hAnsi="Arial"/>
          <w:color w:val="000000" w:themeColor="text1"/>
          <w:sz w:val="24"/>
          <w:szCs w:val="24"/>
        </w:rPr>
        <w:t xml:space="preserve">Cooperation and communication gaps hinder effective coordination and implementation involving the need to strengthen cooperation across ministries and local governments to drive </w:t>
      </w:r>
      <w:r w:rsidR="00A24927" w:rsidRPr="0046715E">
        <w:rPr>
          <w:rFonts w:ascii="Arial" w:hAnsi="Arial"/>
          <w:color w:val="000000" w:themeColor="text1"/>
          <w:sz w:val="24"/>
          <w:szCs w:val="24"/>
        </w:rPr>
        <w:t>area-based</w:t>
      </w:r>
      <w:r w:rsidRPr="0046715E">
        <w:rPr>
          <w:rFonts w:ascii="Arial" w:hAnsi="Arial"/>
          <w:color w:val="000000" w:themeColor="text1"/>
          <w:sz w:val="24"/>
          <w:szCs w:val="24"/>
        </w:rPr>
        <w:t xml:space="preserve"> adaptation. A challenge remains in translating complex scientific data into clear public communication. Overcoming this is essential to build broad support among stakeholders and encourage real behavioral change.</w:t>
      </w:r>
    </w:p>
    <w:p w14:paraId="387540B0" w14:textId="77777777" w:rsidR="0046715E" w:rsidRPr="00562B17" w:rsidRDefault="0046715E" w:rsidP="00562B17">
      <w:pPr>
        <w:spacing w:after="0" w:line="360" w:lineRule="auto"/>
        <w:ind w:left="720"/>
        <w:contextualSpacing/>
        <w:jc w:val="both"/>
        <w:rPr>
          <w:rFonts w:ascii="Arial" w:hAnsi="Arial"/>
          <w:color w:val="000000" w:themeColor="text1"/>
          <w:sz w:val="24"/>
          <w:szCs w:val="24"/>
        </w:rPr>
      </w:pPr>
    </w:p>
    <w:p w14:paraId="0F31958A" w14:textId="77777777" w:rsidR="00E75A83" w:rsidRPr="00B97B69" w:rsidRDefault="00E75A83" w:rsidP="00710A62">
      <w:pPr>
        <w:spacing w:after="0" w:line="360" w:lineRule="auto"/>
        <w:contextualSpacing/>
        <w:jc w:val="thaiDistribute"/>
        <w:rPr>
          <w:rFonts w:ascii="Arial" w:hAnsi="Arial" w:cs="Arial"/>
          <w:b/>
          <w:bCs/>
          <w:color w:val="000000" w:themeColor="text1"/>
          <w:sz w:val="24"/>
          <w:szCs w:val="24"/>
        </w:rPr>
      </w:pPr>
      <w:r w:rsidRPr="00B97B69">
        <w:rPr>
          <w:rFonts w:ascii="Arial" w:hAnsi="Arial" w:cs="Arial"/>
          <w:b/>
          <w:bCs/>
          <w:color w:val="000000" w:themeColor="text1"/>
          <w:sz w:val="24"/>
          <w:szCs w:val="24"/>
        </w:rPr>
        <w:t>2.3.4 Recommended priority actions, including regional cooperation</w:t>
      </w:r>
    </w:p>
    <w:p w14:paraId="1BB06F65" w14:textId="502B77A1" w:rsidR="00E75A83" w:rsidRDefault="00562A70" w:rsidP="00562A70">
      <w:pPr>
        <w:spacing w:after="0" w:line="360" w:lineRule="auto"/>
        <w:contextualSpacing/>
        <w:jc w:val="thaiDistribute"/>
        <w:rPr>
          <w:rFonts w:ascii="Arial" w:hAnsi="Arial"/>
          <w:color w:val="000000" w:themeColor="text1"/>
          <w:sz w:val="24"/>
          <w:szCs w:val="24"/>
        </w:rPr>
      </w:pPr>
      <w:r w:rsidRPr="00562A70">
        <w:rPr>
          <w:rFonts w:ascii="Arial" w:hAnsi="Arial"/>
          <w:color w:val="000000" w:themeColor="text1"/>
          <w:sz w:val="24"/>
          <w:szCs w:val="24"/>
        </w:rPr>
        <w:t xml:space="preserve">Thailand has a structured policy framework yet significant gaps remain between planning and implementation. The system struggles with institutional constraints and lacks specific strategies for Intensity Magnitude and Hybrid risk groups. To address high climate exposure the country must shift from reactive measures to a proactive risk governance model. </w:t>
      </w:r>
      <w:r w:rsidR="00291598" w:rsidRPr="00562A70">
        <w:rPr>
          <w:rFonts w:ascii="Arial" w:hAnsi="Arial"/>
          <w:color w:val="000000" w:themeColor="text1"/>
          <w:sz w:val="24"/>
          <w:szCs w:val="24"/>
        </w:rPr>
        <w:t>Accordingly,</w:t>
      </w:r>
      <w:r w:rsidRPr="00562A70">
        <w:rPr>
          <w:rFonts w:ascii="Arial" w:hAnsi="Arial"/>
          <w:color w:val="000000" w:themeColor="text1"/>
          <w:sz w:val="24"/>
          <w:szCs w:val="24"/>
        </w:rPr>
        <w:t xml:space="preserve"> the following priority actions are recommended.</w:t>
      </w:r>
    </w:p>
    <w:p w14:paraId="07EA6A3B" w14:textId="77777777" w:rsidR="00562A70" w:rsidRPr="00B97B69" w:rsidRDefault="00562A70" w:rsidP="00562A70">
      <w:pPr>
        <w:spacing w:after="0" w:line="360" w:lineRule="auto"/>
        <w:contextualSpacing/>
        <w:jc w:val="thaiDistribute"/>
        <w:rPr>
          <w:rFonts w:ascii="Arial" w:hAnsi="Arial"/>
          <w:b/>
          <w:bCs/>
          <w:color w:val="000000" w:themeColor="text1"/>
          <w:sz w:val="24"/>
          <w:szCs w:val="24"/>
        </w:rPr>
      </w:pPr>
    </w:p>
    <w:p w14:paraId="5AAE4257" w14:textId="6970A57A" w:rsidR="00E75A83" w:rsidRPr="00B97B69" w:rsidRDefault="00E75A83" w:rsidP="00710A62">
      <w:pPr>
        <w:spacing w:after="0" w:line="360" w:lineRule="auto"/>
        <w:contextualSpacing/>
        <w:rPr>
          <w:rFonts w:ascii="Arial" w:hAnsi="Arial"/>
          <w:b/>
          <w:bCs/>
          <w:color w:val="000000" w:themeColor="text1"/>
          <w:sz w:val="24"/>
          <w:szCs w:val="24"/>
        </w:rPr>
      </w:pPr>
      <w:r w:rsidRPr="00B97B69">
        <w:rPr>
          <w:rFonts w:ascii="Arial" w:hAnsi="Arial"/>
          <w:b/>
          <w:bCs/>
          <w:color w:val="000000" w:themeColor="text1"/>
          <w:sz w:val="24"/>
          <w:szCs w:val="24"/>
        </w:rPr>
        <w:t xml:space="preserve">1. Priority 1: Mainstream </w:t>
      </w:r>
      <w:r w:rsidR="000703C4" w:rsidRPr="00B97B69">
        <w:rPr>
          <w:rFonts w:ascii="Arial" w:hAnsi="Arial"/>
          <w:b/>
          <w:bCs/>
          <w:color w:val="000000" w:themeColor="text1"/>
          <w:sz w:val="24"/>
          <w:szCs w:val="24"/>
        </w:rPr>
        <w:t>p</w:t>
      </w:r>
      <w:r w:rsidRPr="00B97B69">
        <w:rPr>
          <w:rFonts w:ascii="Arial" w:hAnsi="Arial"/>
          <w:b/>
          <w:bCs/>
          <w:color w:val="000000" w:themeColor="text1"/>
          <w:sz w:val="24"/>
          <w:szCs w:val="24"/>
        </w:rPr>
        <w:t xml:space="preserve">roactive </w:t>
      </w:r>
      <w:r w:rsidR="000703C4" w:rsidRPr="00B97B69">
        <w:rPr>
          <w:rFonts w:ascii="Arial" w:hAnsi="Arial"/>
          <w:b/>
          <w:bCs/>
          <w:color w:val="000000" w:themeColor="text1"/>
          <w:sz w:val="24"/>
          <w:szCs w:val="24"/>
        </w:rPr>
        <w:t>r</w:t>
      </w:r>
      <w:r w:rsidRPr="00B97B69">
        <w:rPr>
          <w:rFonts w:ascii="Arial" w:hAnsi="Arial"/>
          <w:b/>
          <w:bCs/>
          <w:color w:val="000000" w:themeColor="text1"/>
          <w:sz w:val="24"/>
          <w:szCs w:val="24"/>
        </w:rPr>
        <w:t xml:space="preserve">isk </w:t>
      </w:r>
      <w:r w:rsidR="000703C4" w:rsidRPr="00B97B69">
        <w:rPr>
          <w:rFonts w:ascii="Arial" w:hAnsi="Arial"/>
          <w:b/>
          <w:bCs/>
          <w:color w:val="000000" w:themeColor="text1"/>
          <w:sz w:val="24"/>
          <w:szCs w:val="24"/>
        </w:rPr>
        <w:t>g</w:t>
      </w:r>
      <w:r w:rsidRPr="00B97B69">
        <w:rPr>
          <w:rFonts w:ascii="Arial" w:hAnsi="Arial"/>
          <w:b/>
          <w:bCs/>
          <w:color w:val="000000" w:themeColor="text1"/>
          <w:sz w:val="24"/>
          <w:szCs w:val="24"/>
        </w:rPr>
        <w:t xml:space="preserve">overnance and </w:t>
      </w:r>
      <w:r w:rsidR="000703C4" w:rsidRPr="00B97B69">
        <w:rPr>
          <w:rFonts w:ascii="Arial" w:hAnsi="Arial"/>
          <w:b/>
          <w:bCs/>
          <w:color w:val="000000" w:themeColor="text1"/>
          <w:sz w:val="24"/>
          <w:szCs w:val="24"/>
        </w:rPr>
        <w:t>f</w:t>
      </w:r>
      <w:r w:rsidRPr="00B97B69">
        <w:rPr>
          <w:rFonts w:ascii="Arial" w:hAnsi="Arial"/>
          <w:b/>
          <w:bCs/>
          <w:color w:val="000000" w:themeColor="text1"/>
          <w:sz w:val="24"/>
          <w:szCs w:val="24"/>
        </w:rPr>
        <w:t>inancing</w:t>
      </w:r>
    </w:p>
    <w:p w14:paraId="58A18452" w14:textId="5CB20F84" w:rsidR="004A041F" w:rsidRPr="00B97B69" w:rsidRDefault="004A041F" w:rsidP="00710A62">
      <w:pPr>
        <w:spacing w:after="0" w:line="360" w:lineRule="auto"/>
        <w:contextualSpacing/>
        <w:jc w:val="both"/>
        <w:rPr>
          <w:rFonts w:ascii="Arial" w:hAnsi="Arial"/>
          <w:color w:val="000000" w:themeColor="text1"/>
          <w:sz w:val="24"/>
          <w:szCs w:val="24"/>
        </w:rPr>
      </w:pPr>
      <w:r w:rsidRPr="004A041F">
        <w:rPr>
          <w:rFonts w:ascii="Arial" w:hAnsi="Arial"/>
          <w:color w:val="000000" w:themeColor="text1"/>
          <w:sz w:val="24"/>
          <w:szCs w:val="24"/>
        </w:rPr>
        <w:t>The most critical gap is the reliance on reactive management. This is sustained by budget systems that allocate more funds to post-disaster relief than pre-disaster mitigation.</w:t>
      </w:r>
    </w:p>
    <w:p w14:paraId="6A553883" w14:textId="77777777" w:rsidR="00562A70" w:rsidRDefault="00562A70" w:rsidP="00710A62">
      <w:pPr>
        <w:numPr>
          <w:ilvl w:val="0"/>
          <w:numId w:val="12"/>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Action Shift budget priorities. Adjust budget structure to focus on proactive risk reduction. Integrate climate adaptation and disaster prevention into key planning stages including the national budget process 13th NESDP implementation and provincial plans.</w:t>
      </w:r>
    </w:p>
    <w:p w14:paraId="4D5EE7EC" w14:textId="5D99A4D4" w:rsidR="001729D3" w:rsidRDefault="00562A70" w:rsidP="00710A62">
      <w:pPr>
        <w:numPr>
          <w:ilvl w:val="0"/>
          <w:numId w:val="12"/>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 xml:space="preserve">Action Expand use of risk assessment models. Apply the study risk assessment model widely. The CRI methodology exemplifies applied risk assessment models required by the 13th NESDP. Quantifying specific risks provides data to </w:t>
      </w:r>
      <w:r w:rsidRPr="00562A70">
        <w:rPr>
          <w:rFonts w:ascii="Arial" w:hAnsi="Arial"/>
          <w:color w:val="000000" w:themeColor="text1"/>
          <w:sz w:val="24"/>
          <w:szCs w:val="24"/>
        </w:rPr>
        <w:lastRenderedPageBreak/>
        <w:t>justify proactive budget allocation. Future assessments must incorporate ocean literacy as a vulnerability indicator. Measuring public understanding is critical as lower awareness reduces preparedness and conservation support increasing overall vulnerability.</w:t>
      </w:r>
    </w:p>
    <w:p w14:paraId="32262E82" w14:textId="77777777" w:rsidR="00180E02" w:rsidRPr="00562A70" w:rsidRDefault="00180E02" w:rsidP="00180E02">
      <w:pPr>
        <w:spacing w:after="0" w:line="360" w:lineRule="auto"/>
        <w:ind w:left="720"/>
        <w:contextualSpacing/>
        <w:jc w:val="both"/>
        <w:rPr>
          <w:rFonts w:ascii="Arial" w:hAnsi="Arial"/>
          <w:color w:val="000000" w:themeColor="text1"/>
          <w:sz w:val="24"/>
          <w:szCs w:val="24"/>
        </w:rPr>
      </w:pPr>
    </w:p>
    <w:p w14:paraId="2CD02DC8" w14:textId="2CB24071" w:rsidR="00E75A83" w:rsidRPr="00B97B69" w:rsidRDefault="00E75A83" w:rsidP="00710A62">
      <w:pPr>
        <w:spacing w:after="0" w:line="360" w:lineRule="auto"/>
        <w:contextualSpacing/>
        <w:rPr>
          <w:rFonts w:ascii="Arial" w:hAnsi="Arial"/>
          <w:b/>
          <w:bCs/>
          <w:color w:val="000000" w:themeColor="text1"/>
          <w:sz w:val="24"/>
          <w:szCs w:val="24"/>
        </w:rPr>
      </w:pPr>
      <w:r w:rsidRPr="00B97B69">
        <w:rPr>
          <w:rFonts w:ascii="Arial" w:hAnsi="Arial"/>
          <w:b/>
          <w:bCs/>
          <w:color w:val="000000" w:themeColor="text1"/>
          <w:sz w:val="24"/>
          <w:szCs w:val="24"/>
        </w:rPr>
        <w:t xml:space="preserve">2. Priority 2: Implement </w:t>
      </w:r>
      <w:r w:rsidR="00F011A2" w:rsidRPr="00B97B69">
        <w:rPr>
          <w:rFonts w:ascii="Arial" w:hAnsi="Arial"/>
          <w:b/>
          <w:bCs/>
          <w:color w:val="000000" w:themeColor="text1"/>
          <w:sz w:val="24"/>
          <w:szCs w:val="24"/>
        </w:rPr>
        <w:t>d</w:t>
      </w:r>
      <w:r w:rsidRPr="00B97B69">
        <w:rPr>
          <w:rFonts w:ascii="Arial" w:hAnsi="Arial"/>
          <w:b/>
          <w:bCs/>
          <w:color w:val="000000" w:themeColor="text1"/>
          <w:sz w:val="24"/>
          <w:szCs w:val="24"/>
        </w:rPr>
        <w:t xml:space="preserve">ifferentiated, </w:t>
      </w:r>
      <w:r w:rsidR="00F011A2" w:rsidRPr="00B97B69">
        <w:rPr>
          <w:rFonts w:ascii="Arial" w:hAnsi="Arial"/>
          <w:b/>
          <w:bCs/>
          <w:color w:val="000000" w:themeColor="text1"/>
          <w:sz w:val="24"/>
          <w:szCs w:val="24"/>
        </w:rPr>
        <w:t>a</w:t>
      </w:r>
      <w:r w:rsidRPr="00B97B69">
        <w:rPr>
          <w:rFonts w:ascii="Arial" w:hAnsi="Arial"/>
          <w:b/>
          <w:bCs/>
          <w:color w:val="000000" w:themeColor="text1"/>
          <w:sz w:val="24"/>
          <w:szCs w:val="24"/>
        </w:rPr>
        <w:t>rea-</w:t>
      </w:r>
      <w:r w:rsidR="00F011A2" w:rsidRPr="00B97B69">
        <w:rPr>
          <w:rFonts w:ascii="Arial" w:hAnsi="Arial"/>
          <w:b/>
          <w:bCs/>
          <w:color w:val="000000" w:themeColor="text1"/>
          <w:sz w:val="24"/>
          <w:szCs w:val="24"/>
        </w:rPr>
        <w:t>b</w:t>
      </w:r>
      <w:r w:rsidRPr="00B97B69">
        <w:rPr>
          <w:rFonts w:ascii="Arial" w:hAnsi="Arial"/>
          <w:b/>
          <w:bCs/>
          <w:color w:val="000000" w:themeColor="text1"/>
          <w:sz w:val="24"/>
          <w:szCs w:val="24"/>
        </w:rPr>
        <w:t xml:space="preserve">ased </w:t>
      </w:r>
      <w:r w:rsidR="00F011A2" w:rsidRPr="00B97B69">
        <w:rPr>
          <w:rFonts w:ascii="Arial" w:hAnsi="Arial"/>
          <w:b/>
          <w:bCs/>
          <w:color w:val="000000" w:themeColor="text1"/>
          <w:sz w:val="24"/>
          <w:szCs w:val="24"/>
        </w:rPr>
        <w:t>a</w:t>
      </w:r>
      <w:r w:rsidRPr="00B97B69">
        <w:rPr>
          <w:rFonts w:ascii="Arial" w:hAnsi="Arial"/>
          <w:b/>
          <w:bCs/>
          <w:color w:val="000000" w:themeColor="text1"/>
          <w:sz w:val="24"/>
          <w:szCs w:val="24"/>
        </w:rPr>
        <w:t>daptation</w:t>
      </w:r>
    </w:p>
    <w:p w14:paraId="46FC8339" w14:textId="77777777" w:rsidR="00E870A5" w:rsidRDefault="00E870A5" w:rsidP="00E870A5">
      <w:pPr>
        <w:spacing w:after="0" w:line="360" w:lineRule="auto"/>
        <w:contextualSpacing/>
        <w:jc w:val="both"/>
        <w:rPr>
          <w:rFonts w:ascii="Arial" w:hAnsi="Arial"/>
          <w:color w:val="000000" w:themeColor="text1"/>
          <w:sz w:val="24"/>
          <w:szCs w:val="24"/>
        </w:rPr>
      </w:pPr>
      <w:r w:rsidRPr="00E870A5">
        <w:rPr>
          <w:rFonts w:ascii="Arial" w:hAnsi="Arial"/>
          <w:color w:val="000000" w:themeColor="text1"/>
          <w:sz w:val="24"/>
          <w:szCs w:val="24"/>
        </w:rPr>
        <w:t>The CRI analysis shows that risk varies significantly across different areas. Therefore, policy responses must be tailored to the specific risk profile of each province.</w:t>
      </w:r>
    </w:p>
    <w:p w14:paraId="059218FD" w14:textId="46303BC7" w:rsidR="00562A70" w:rsidRDefault="00562A70" w:rsidP="00EB3966">
      <w:pPr>
        <w:numPr>
          <w:ilvl w:val="0"/>
          <w:numId w:val="13"/>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 xml:space="preserve">For </w:t>
      </w:r>
      <w:r w:rsidR="00A24927">
        <w:rPr>
          <w:rFonts w:ascii="Arial" w:hAnsi="Arial"/>
          <w:color w:val="000000" w:themeColor="text1"/>
          <w:sz w:val="24"/>
          <w:szCs w:val="24"/>
        </w:rPr>
        <w:t>p</w:t>
      </w:r>
      <w:r w:rsidRPr="00562A70">
        <w:rPr>
          <w:rFonts w:ascii="Arial" w:hAnsi="Arial"/>
          <w:color w:val="000000" w:themeColor="text1"/>
          <w:sz w:val="24"/>
          <w:szCs w:val="24"/>
        </w:rPr>
        <w:t>ure intensity risk groups e.g. Bangkok</w:t>
      </w:r>
      <w:r w:rsidR="00B17BC7">
        <w:rPr>
          <w:rFonts w:ascii="Arial" w:hAnsi="Arial"/>
          <w:color w:val="000000" w:themeColor="text1"/>
          <w:sz w:val="24"/>
          <w:szCs w:val="24"/>
        </w:rPr>
        <w:t>,</w:t>
      </w:r>
      <w:r w:rsidRPr="00562A70">
        <w:rPr>
          <w:rFonts w:ascii="Arial" w:hAnsi="Arial"/>
          <w:color w:val="000000" w:themeColor="text1"/>
          <w:sz w:val="24"/>
          <w:szCs w:val="24"/>
        </w:rPr>
        <w:t xml:space="preserve"> Samut </w:t>
      </w:r>
      <w:r w:rsidR="000D5FE4">
        <w:rPr>
          <w:rFonts w:ascii="Arial" w:hAnsi="Arial"/>
          <w:color w:val="000000" w:themeColor="text1"/>
          <w:sz w:val="24"/>
          <w:szCs w:val="24"/>
        </w:rPr>
        <w:t>Songkhram</w:t>
      </w:r>
      <w:r w:rsidRPr="00562A70">
        <w:rPr>
          <w:rFonts w:ascii="Arial" w:hAnsi="Arial"/>
          <w:color w:val="000000" w:themeColor="text1"/>
          <w:sz w:val="24"/>
          <w:szCs w:val="24"/>
        </w:rPr>
        <w:t xml:space="preserve"> actions focus on enforcing resilience standards. Require climate proofing for all new infrastructure and urban development to manage high concentration of socioeconomic pressure.</w:t>
      </w:r>
    </w:p>
    <w:p w14:paraId="18F0D015" w14:textId="0BAA377A" w:rsidR="00562A70" w:rsidRDefault="00562A70" w:rsidP="00520A5E">
      <w:pPr>
        <w:numPr>
          <w:ilvl w:val="0"/>
          <w:numId w:val="13"/>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 xml:space="preserve">For </w:t>
      </w:r>
      <w:r w:rsidR="00A24927">
        <w:rPr>
          <w:rFonts w:ascii="Arial" w:hAnsi="Arial"/>
          <w:color w:val="000000" w:themeColor="text1"/>
          <w:sz w:val="24"/>
          <w:szCs w:val="24"/>
        </w:rPr>
        <w:t>p</w:t>
      </w:r>
      <w:r w:rsidRPr="00562A70">
        <w:rPr>
          <w:rFonts w:ascii="Arial" w:hAnsi="Arial"/>
          <w:color w:val="000000" w:themeColor="text1"/>
          <w:sz w:val="24"/>
          <w:szCs w:val="24"/>
        </w:rPr>
        <w:t xml:space="preserve">ure </w:t>
      </w:r>
      <w:r w:rsidR="00A24927">
        <w:rPr>
          <w:rFonts w:ascii="Arial" w:hAnsi="Arial"/>
          <w:color w:val="000000" w:themeColor="text1"/>
          <w:sz w:val="24"/>
          <w:szCs w:val="24"/>
        </w:rPr>
        <w:t>m</w:t>
      </w:r>
      <w:r w:rsidRPr="00562A70">
        <w:rPr>
          <w:rFonts w:ascii="Arial" w:hAnsi="Arial"/>
          <w:color w:val="000000" w:themeColor="text1"/>
          <w:sz w:val="24"/>
          <w:szCs w:val="24"/>
        </w:rPr>
        <w:t>agnitude risk Groups e.g. Surat Thani</w:t>
      </w:r>
      <w:r w:rsidR="00B17BC7">
        <w:rPr>
          <w:rFonts w:ascii="Arial" w:hAnsi="Arial"/>
          <w:color w:val="000000" w:themeColor="text1"/>
          <w:sz w:val="24"/>
          <w:szCs w:val="24"/>
        </w:rPr>
        <w:t>,</w:t>
      </w:r>
      <w:r w:rsidRPr="00562A70">
        <w:rPr>
          <w:rFonts w:ascii="Arial" w:hAnsi="Arial"/>
          <w:color w:val="000000" w:themeColor="text1"/>
          <w:sz w:val="24"/>
          <w:szCs w:val="24"/>
        </w:rPr>
        <w:t xml:space="preserve"> </w:t>
      </w:r>
      <w:r w:rsidR="00291598">
        <w:rPr>
          <w:rFonts w:ascii="Arial" w:hAnsi="Arial"/>
          <w:color w:val="000000" w:themeColor="text1"/>
          <w:sz w:val="24"/>
          <w:szCs w:val="24"/>
        </w:rPr>
        <w:t xml:space="preserve">Songkhla </w:t>
      </w:r>
      <w:r w:rsidRPr="00562A70">
        <w:rPr>
          <w:rFonts w:ascii="Arial" w:hAnsi="Arial"/>
          <w:color w:val="000000" w:themeColor="text1"/>
          <w:sz w:val="24"/>
          <w:szCs w:val="24"/>
        </w:rPr>
        <w:t xml:space="preserve">prioritize large scale Ecosystem based Adaptation </w:t>
      </w:r>
      <w:proofErr w:type="spellStart"/>
      <w:r w:rsidRPr="00562A70">
        <w:rPr>
          <w:rFonts w:ascii="Arial" w:hAnsi="Arial"/>
          <w:color w:val="000000" w:themeColor="text1"/>
          <w:sz w:val="24"/>
          <w:szCs w:val="24"/>
        </w:rPr>
        <w:t>EbA</w:t>
      </w:r>
      <w:proofErr w:type="spellEnd"/>
      <w:r w:rsidRPr="00562A70">
        <w:rPr>
          <w:rFonts w:ascii="Arial" w:hAnsi="Arial"/>
          <w:color w:val="000000" w:themeColor="text1"/>
          <w:sz w:val="24"/>
          <w:szCs w:val="24"/>
        </w:rPr>
        <w:t>. Invest in soft infrastructure like mangrove restoration and watershed protection to safeguard resource bases.</w:t>
      </w:r>
    </w:p>
    <w:p w14:paraId="6FFB62DC" w14:textId="693415B2" w:rsidR="00E75A83" w:rsidRPr="00562A70" w:rsidRDefault="00562A70" w:rsidP="00F153C6">
      <w:pPr>
        <w:pStyle w:val="ListParagraph"/>
        <w:numPr>
          <w:ilvl w:val="0"/>
          <w:numId w:val="13"/>
        </w:numPr>
        <w:spacing w:before="100" w:beforeAutospacing="1" w:after="0" w:afterAutospacing="1" w:line="360" w:lineRule="auto"/>
        <w:ind w:left="714" w:hanging="357"/>
        <w:jc w:val="both"/>
        <w:rPr>
          <w:rFonts w:ascii="Arial" w:hAnsi="Arial"/>
          <w:b/>
          <w:bCs/>
          <w:color w:val="000000" w:themeColor="text1"/>
          <w:sz w:val="24"/>
          <w:szCs w:val="24"/>
        </w:rPr>
      </w:pPr>
      <w:r w:rsidRPr="00562A70">
        <w:rPr>
          <w:rFonts w:ascii="Arial" w:eastAsia="Times New Roman" w:hAnsi="Arial" w:cs="Arial"/>
          <w:kern w:val="0"/>
          <w:sz w:val="24"/>
          <w:szCs w:val="24"/>
          <w14:ligatures w14:val="none"/>
        </w:rPr>
        <w:t xml:space="preserve">For </w:t>
      </w:r>
      <w:r w:rsidR="00A24927">
        <w:rPr>
          <w:rFonts w:ascii="Arial" w:eastAsia="Times New Roman" w:hAnsi="Arial" w:cs="Arial"/>
          <w:kern w:val="0"/>
          <w:sz w:val="24"/>
          <w:szCs w:val="24"/>
          <w14:ligatures w14:val="none"/>
        </w:rPr>
        <w:t>h</w:t>
      </w:r>
      <w:r w:rsidRPr="00562A70">
        <w:rPr>
          <w:rFonts w:ascii="Arial" w:eastAsia="Times New Roman" w:hAnsi="Arial" w:cs="Arial"/>
          <w:kern w:val="0"/>
          <w:sz w:val="24"/>
          <w:szCs w:val="24"/>
          <w14:ligatures w14:val="none"/>
        </w:rPr>
        <w:t xml:space="preserve">ybrid risk Group e.g. </w:t>
      </w:r>
      <w:r w:rsidR="000D5FE4">
        <w:rPr>
          <w:rFonts w:ascii="Arial" w:eastAsia="Times New Roman" w:hAnsi="Arial" w:cs="Arial"/>
          <w:kern w:val="0"/>
          <w:sz w:val="24"/>
          <w:szCs w:val="24"/>
          <w14:ligatures w14:val="none"/>
        </w:rPr>
        <w:t xml:space="preserve">Chumphon, </w:t>
      </w:r>
      <w:r w:rsidRPr="00562A70">
        <w:rPr>
          <w:rFonts w:ascii="Arial" w:eastAsia="Times New Roman" w:hAnsi="Arial" w:cs="Arial"/>
          <w:kern w:val="0"/>
          <w:sz w:val="24"/>
          <w:szCs w:val="24"/>
          <w14:ligatures w14:val="none"/>
        </w:rPr>
        <w:t xml:space="preserve">high intensity and magnitude </w:t>
      </w:r>
      <w:proofErr w:type="gramStart"/>
      <w:r w:rsidRPr="00562A70">
        <w:rPr>
          <w:rFonts w:ascii="Arial" w:eastAsia="Times New Roman" w:hAnsi="Arial" w:cs="Arial"/>
          <w:kern w:val="0"/>
          <w:sz w:val="24"/>
          <w:szCs w:val="24"/>
          <w14:ligatures w14:val="none"/>
        </w:rPr>
        <w:t>requires</w:t>
      </w:r>
      <w:proofErr w:type="gramEnd"/>
      <w:r w:rsidRPr="00562A70">
        <w:rPr>
          <w:rFonts w:ascii="Arial" w:eastAsia="Times New Roman" w:hAnsi="Arial" w:cs="Arial"/>
          <w:kern w:val="0"/>
          <w:sz w:val="24"/>
          <w:szCs w:val="24"/>
          <w14:ligatures w14:val="none"/>
        </w:rPr>
        <w:t xml:space="preserve"> comprehensive response. Combine targeted spatial planning with large scale resource management.</w:t>
      </w:r>
    </w:p>
    <w:p w14:paraId="1A0C8F6E" w14:textId="0CDAFFE7" w:rsidR="00E75A83" w:rsidRPr="00B97B69" w:rsidRDefault="00E75A83" w:rsidP="00710A62">
      <w:pPr>
        <w:spacing w:after="0" w:line="360" w:lineRule="auto"/>
        <w:contextualSpacing/>
        <w:jc w:val="both"/>
        <w:rPr>
          <w:rFonts w:ascii="Arial" w:hAnsi="Arial"/>
          <w:b/>
          <w:bCs/>
          <w:color w:val="000000" w:themeColor="text1"/>
          <w:sz w:val="24"/>
          <w:szCs w:val="24"/>
        </w:rPr>
      </w:pPr>
      <w:r w:rsidRPr="00B97B69">
        <w:rPr>
          <w:rFonts w:ascii="Arial" w:hAnsi="Arial"/>
          <w:b/>
          <w:bCs/>
          <w:color w:val="000000" w:themeColor="text1"/>
          <w:sz w:val="24"/>
          <w:szCs w:val="24"/>
        </w:rPr>
        <w:t xml:space="preserve">3. Priority 3: Strengthen </w:t>
      </w:r>
      <w:r w:rsidR="00F011A2" w:rsidRPr="00B97B69">
        <w:rPr>
          <w:rFonts w:ascii="Arial" w:hAnsi="Arial"/>
          <w:b/>
          <w:bCs/>
          <w:color w:val="000000" w:themeColor="text1"/>
          <w:sz w:val="24"/>
          <w:szCs w:val="24"/>
        </w:rPr>
        <w:t>t</w:t>
      </w:r>
      <w:r w:rsidRPr="00B97B69">
        <w:rPr>
          <w:rFonts w:ascii="Arial" w:hAnsi="Arial"/>
          <w:b/>
          <w:bCs/>
          <w:color w:val="000000" w:themeColor="text1"/>
          <w:sz w:val="24"/>
          <w:szCs w:val="24"/>
        </w:rPr>
        <w:t xml:space="preserve">ransboundary and </w:t>
      </w:r>
      <w:r w:rsidR="00F011A2" w:rsidRPr="00B97B69">
        <w:rPr>
          <w:rFonts w:ascii="Arial" w:hAnsi="Arial"/>
          <w:b/>
          <w:bCs/>
          <w:color w:val="000000" w:themeColor="text1"/>
          <w:sz w:val="24"/>
          <w:szCs w:val="24"/>
        </w:rPr>
        <w:t>r</w:t>
      </w:r>
      <w:r w:rsidRPr="00B97B69">
        <w:rPr>
          <w:rFonts w:ascii="Arial" w:hAnsi="Arial"/>
          <w:b/>
          <w:bCs/>
          <w:color w:val="000000" w:themeColor="text1"/>
          <w:sz w:val="24"/>
          <w:szCs w:val="24"/>
        </w:rPr>
        <w:t xml:space="preserve">egional </w:t>
      </w:r>
      <w:r w:rsidR="00F011A2" w:rsidRPr="00B97B69">
        <w:rPr>
          <w:rFonts w:ascii="Arial" w:hAnsi="Arial"/>
          <w:b/>
          <w:bCs/>
          <w:color w:val="000000" w:themeColor="text1"/>
          <w:sz w:val="24"/>
          <w:szCs w:val="24"/>
        </w:rPr>
        <w:t>c</w:t>
      </w:r>
      <w:r w:rsidRPr="00B97B69">
        <w:rPr>
          <w:rFonts w:ascii="Arial" w:hAnsi="Arial"/>
          <w:b/>
          <w:bCs/>
          <w:color w:val="000000" w:themeColor="text1"/>
          <w:sz w:val="24"/>
          <w:szCs w:val="24"/>
        </w:rPr>
        <w:t>ooperation</w:t>
      </w:r>
    </w:p>
    <w:p w14:paraId="6EE72C06" w14:textId="7CCF7F89" w:rsidR="00E75A83" w:rsidRDefault="00562A70" w:rsidP="00710A62">
      <w:p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Analysis confirms severe threats like tsunamis typhoons and droughts are transboundary and unmanageable alone. The 17 coastal provinces serve as the frontline making regional cooperation critical for domestic resilience.</w:t>
      </w:r>
    </w:p>
    <w:p w14:paraId="26267AF9" w14:textId="77777777" w:rsidR="00562A70" w:rsidRPr="00562A70" w:rsidRDefault="00562A70" w:rsidP="003179BF">
      <w:pPr>
        <w:numPr>
          <w:ilvl w:val="0"/>
          <w:numId w:val="14"/>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Action Enhance regional early warning systems. Improve data sharing and technical cooperation covering meteorological hazards through partnerships with ASEAN and typhoon committees. Address seismic and tsunami risks drawing on lessons from the 2004 disaster.</w:t>
      </w:r>
    </w:p>
    <w:p w14:paraId="480020E1" w14:textId="77777777" w:rsidR="00562A70" w:rsidRDefault="00562A70" w:rsidP="00710A62">
      <w:pPr>
        <w:numPr>
          <w:ilvl w:val="0"/>
          <w:numId w:val="14"/>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Action Establish regional frameworks for shared resources. Manage shared marine ecosystems and fisheries sustaining local economies. Address transboundary environmental issues like marine pollution and oil spills impacting vulnerable coastal communities.</w:t>
      </w:r>
    </w:p>
    <w:p w14:paraId="3FD4BEEA" w14:textId="0F6F9DA9" w:rsidR="00266D90" w:rsidRDefault="00562A70" w:rsidP="00710A62">
      <w:pPr>
        <w:numPr>
          <w:ilvl w:val="0"/>
          <w:numId w:val="14"/>
        </w:numPr>
        <w:spacing w:after="0" w:line="360" w:lineRule="auto"/>
        <w:contextualSpacing/>
        <w:jc w:val="both"/>
        <w:rPr>
          <w:rFonts w:ascii="Arial" w:hAnsi="Arial"/>
          <w:color w:val="000000" w:themeColor="text1"/>
          <w:sz w:val="24"/>
          <w:szCs w:val="24"/>
        </w:rPr>
      </w:pPr>
      <w:r w:rsidRPr="00562A70">
        <w:rPr>
          <w:rFonts w:ascii="Arial" w:hAnsi="Arial"/>
          <w:color w:val="000000" w:themeColor="text1"/>
          <w:sz w:val="24"/>
          <w:szCs w:val="24"/>
        </w:rPr>
        <w:t>Action Develop joint regional strategies. Collaborate to access international climate finance and technology converting shared goals into effective regional action.</w:t>
      </w:r>
    </w:p>
    <w:p w14:paraId="0C070729" w14:textId="33077308" w:rsidR="00E75A83" w:rsidRPr="00B97B69" w:rsidRDefault="00E75A83" w:rsidP="00710A62">
      <w:pPr>
        <w:spacing w:after="0" w:line="360" w:lineRule="auto"/>
        <w:contextualSpacing/>
        <w:rPr>
          <w:rFonts w:ascii="Arial" w:hAnsi="Arial"/>
          <w:b/>
          <w:bCs/>
          <w:color w:val="000000" w:themeColor="text1"/>
          <w:sz w:val="24"/>
          <w:szCs w:val="24"/>
        </w:rPr>
      </w:pPr>
      <w:r w:rsidRPr="00B97B69">
        <w:rPr>
          <w:rFonts w:ascii="Arial" w:hAnsi="Arial" w:cs="Arial"/>
          <w:b/>
          <w:bCs/>
          <w:color w:val="000000" w:themeColor="text1"/>
          <w:sz w:val="24"/>
          <w:szCs w:val="24"/>
        </w:rPr>
        <w:lastRenderedPageBreak/>
        <w:t xml:space="preserve">2.4 Methodology and analysis </w:t>
      </w:r>
    </w:p>
    <w:p w14:paraId="4A9AFDF8" w14:textId="2F8D0D3A" w:rsidR="00D4217E" w:rsidRDefault="0070590F" w:rsidP="0070590F">
      <w:pPr>
        <w:spacing w:after="0" w:line="360" w:lineRule="auto"/>
        <w:contextualSpacing/>
        <w:jc w:val="thaiDistribute"/>
        <w:rPr>
          <w:rFonts w:ascii="Arial" w:hAnsi="Arial"/>
          <w:color w:val="000000" w:themeColor="text1"/>
          <w:sz w:val="24"/>
          <w:szCs w:val="24"/>
        </w:rPr>
      </w:pPr>
      <w:r w:rsidRPr="0070590F">
        <w:rPr>
          <w:rFonts w:ascii="Arial" w:hAnsi="Arial"/>
          <w:color w:val="000000" w:themeColor="text1"/>
          <w:sz w:val="24"/>
          <w:szCs w:val="24"/>
        </w:rPr>
        <w:t xml:space="preserve">The Composite Risk Index </w:t>
      </w:r>
      <w:r>
        <w:rPr>
          <w:rFonts w:ascii="Arial" w:hAnsi="Arial"/>
          <w:color w:val="000000" w:themeColor="text1"/>
          <w:sz w:val="24"/>
          <w:szCs w:val="24"/>
        </w:rPr>
        <w:t>(</w:t>
      </w:r>
      <w:r w:rsidRPr="0070590F">
        <w:rPr>
          <w:rFonts w:ascii="Arial" w:hAnsi="Arial"/>
          <w:color w:val="000000" w:themeColor="text1"/>
          <w:sz w:val="24"/>
          <w:szCs w:val="24"/>
        </w:rPr>
        <w:t>CRI</w:t>
      </w:r>
      <w:r>
        <w:rPr>
          <w:rFonts w:ascii="Arial" w:hAnsi="Arial"/>
          <w:color w:val="000000" w:themeColor="text1"/>
          <w:sz w:val="24"/>
          <w:szCs w:val="24"/>
        </w:rPr>
        <w:t>)</w:t>
      </w:r>
      <w:r w:rsidRPr="0070590F">
        <w:rPr>
          <w:rFonts w:ascii="Arial" w:hAnsi="Arial"/>
          <w:color w:val="000000" w:themeColor="text1"/>
          <w:sz w:val="24"/>
          <w:szCs w:val="24"/>
        </w:rPr>
        <w:t xml:space="preserve"> ranks risk across 17 Gulf of Thailand provinces based on the DPSIR framework. The model operates on the principle that Risk aggregates Pressure and Vulnerability mapping the interactions between socioeconomic trends and environmental conditions.</w:t>
      </w:r>
    </w:p>
    <w:p w14:paraId="4D395173" w14:textId="77777777" w:rsidR="0070590F" w:rsidRDefault="0070590F" w:rsidP="0070590F">
      <w:pPr>
        <w:spacing w:after="0" w:line="360" w:lineRule="auto"/>
        <w:contextualSpacing/>
        <w:jc w:val="thaiDistribute"/>
        <w:rPr>
          <w:rFonts w:ascii="Arial" w:hAnsi="Arial"/>
          <w:color w:val="000000" w:themeColor="text1"/>
          <w:sz w:val="24"/>
          <w:szCs w:val="24"/>
        </w:rPr>
      </w:pPr>
    </w:p>
    <w:p w14:paraId="4E1797E8" w14:textId="40843AEE" w:rsidR="0070590F" w:rsidRDefault="0070590F" w:rsidP="0070590F">
      <w:pPr>
        <w:spacing w:after="0" w:line="360" w:lineRule="auto"/>
        <w:contextualSpacing/>
        <w:jc w:val="thaiDistribute"/>
        <w:rPr>
          <w:rFonts w:ascii="Arial" w:hAnsi="Arial"/>
          <w:color w:val="000000" w:themeColor="text1"/>
          <w:sz w:val="24"/>
          <w:szCs w:val="24"/>
        </w:rPr>
      </w:pPr>
      <w:r w:rsidRPr="0070590F">
        <w:rPr>
          <w:rFonts w:ascii="Arial" w:hAnsi="Arial"/>
          <w:color w:val="000000" w:themeColor="text1"/>
          <w:sz w:val="24"/>
          <w:szCs w:val="24"/>
        </w:rPr>
        <w:t xml:space="preserve">The Pressure Index </w:t>
      </w:r>
      <w:r>
        <w:rPr>
          <w:rFonts w:ascii="Arial" w:hAnsi="Arial"/>
          <w:color w:val="000000" w:themeColor="text1"/>
          <w:sz w:val="24"/>
          <w:szCs w:val="24"/>
        </w:rPr>
        <w:t>(</w:t>
      </w:r>
      <w:r w:rsidRPr="0070590F">
        <w:rPr>
          <w:rFonts w:ascii="Arial" w:hAnsi="Arial"/>
          <w:color w:val="000000" w:themeColor="text1"/>
          <w:sz w:val="24"/>
          <w:szCs w:val="24"/>
        </w:rPr>
        <w:t>PI</w:t>
      </w:r>
      <w:r>
        <w:rPr>
          <w:rFonts w:ascii="Arial" w:hAnsi="Arial"/>
          <w:color w:val="000000" w:themeColor="text1"/>
          <w:sz w:val="24"/>
          <w:szCs w:val="24"/>
        </w:rPr>
        <w:t>)</w:t>
      </w:r>
      <w:r w:rsidRPr="0070590F">
        <w:rPr>
          <w:rFonts w:ascii="Arial" w:hAnsi="Arial"/>
          <w:color w:val="000000" w:themeColor="text1"/>
          <w:sz w:val="24"/>
          <w:szCs w:val="24"/>
        </w:rPr>
        <w:t xml:space="preserve"> comprises three pillars population dynamics density and economic pressure. The Vulnerability Index </w:t>
      </w:r>
      <w:r>
        <w:rPr>
          <w:rFonts w:ascii="Arial" w:hAnsi="Arial"/>
          <w:color w:val="000000" w:themeColor="text1"/>
          <w:sz w:val="24"/>
          <w:szCs w:val="24"/>
        </w:rPr>
        <w:t>(</w:t>
      </w:r>
      <w:r w:rsidRPr="0070590F">
        <w:rPr>
          <w:rFonts w:ascii="Arial" w:hAnsi="Arial"/>
          <w:color w:val="000000" w:themeColor="text1"/>
          <w:sz w:val="24"/>
          <w:szCs w:val="24"/>
        </w:rPr>
        <w:t>VI</w:t>
      </w:r>
      <w:r>
        <w:rPr>
          <w:rFonts w:ascii="Arial" w:hAnsi="Arial"/>
          <w:color w:val="000000" w:themeColor="text1"/>
          <w:sz w:val="24"/>
          <w:szCs w:val="24"/>
        </w:rPr>
        <w:t>)</w:t>
      </w:r>
      <w:r w:rsidRPr="0070590F">
        <w:rPr>
          <w:rFonts w:ascii="Arial" w:hAnsi="Arial"/>
          <w:color w:val="000000" w:themeColor="text1"/>
          <w:sz w:val="24"/>
          <w:szCs w:val="24"/>
        </w:rPr>
        <w:t xml:space="preserve"> assesses social sensitivity through poverty and gender imbalance indicators. All metrics analyze data changes between 2000 and 2020.</w:t>
      </w:r>
    </w:p>
    <w:p w14:paraId="3BD15B32" w14:textId="77777777" w:rsidR="0070590F" w:rsidRDefault="0070590F" w:rsidP="0070590F">
      <w:pPr>
        <w:spacing w:after="0" w:line="360" w:lineRule="auto"/>
        <w:contextualSpacing/>
        <w:jc w:val="thaiDistribute"/>
        <w:rPr>
          <w:rFonts w:ascii="Arial" w:hAnsi="Arial"/>
          <w:color w:val="000000" w:themeColor="text1"/>
          <w:sz w:val="24"/>
          <w:szCs w:val="24"/>
        </w:rPr>
      </w:pPr>
    </w:p>
    <w:p w14:paraId="64A890AB" w14:textId="79FED115" w:rsidR="0070590F" w:rsidRPr="0070590F" w:rsidRDefault="0070590F" w:rsidP="0070590F">
      <w:pPr>
        <w:spacing w:after="0" w:line="360" w:lineRule="auto"/>
        <w:contextualSpacing/>
        <w:jc w:val="thaiDistribute"/>
        <w:rPr>
          <w:rFonts w:ascii="Arial" w:hAnsi="Arial"/>
          <w:color w:val="000000" w:themeColor="text1"/>
          <w:sz w:val="24"/>
          <w:szCs w:val="24"/>
          <w:cs/>
        </w:rPr>
      </w:pPr>
      <w:r>
        <w:rPr>
          <w:rFonts w:ascii="Arial" w:hAnsi="Arial"/>
          <w:color w:val="000000" w:themeColor="text1"/>
          <w:sz w:val="24"/>
          <w:szCs w:val="24"/>
        </w:rPr>
        <w:t>I</w:t>
      </w:r>
      <w:r w:rsidRPr="0070590F">
        <w:rPr>
          <w:rFonts w:ascii="Arial" w:hAnsi="Arial"/>
          <w:color w:val="000000" w:themeColor="text1"/>
          <w:sz w:val="24"/>
          <w:szCs w:val="24"/>
        </w:rPr>
        <w:t xml:space="preserve">ndicators measuring temporal change utilize </w:t>
      </w:r>
      <w:r>
        <w:rPr>
          <w:rFonts w:ascii="Arial" w:hAnsi="Arial"/>
          <w:color w:val="000000" w:themeColor="text1"/>
          <w:sz w:val="24"/>
          <w:szCs w:val="24"/>
        </w:rPr>
        <w:t>C</w:t>
      </w:r>
      <w:r w:rsidRPr="0070590F">
        <w:rPr>
          <w:rFonts w:ascii="Arial" w:hAnsi="Arial"/>
          <w:color w:val="000000" w:themeColor="text1"/>
          <w:sz w:val="24"/>
          <w:szCs w:val="24"/>
        </w:rPr>
        <w:t>ompound Annual Growth Rate CAGR. Density change was excluded to prevent statistical redundancy with population metrics. All data undergoes min</w:t>
      </w:r>
      <w:r>
        <w:rPr>
          <w:rFonts w:ascii="Arial" w:hAnsi="Arial"/>
          <w:color w:val="000000" w:themeColor="text1"/>
          <w:sz w:val="24"/>
          <w:szCs w:val="24"/>
        </w:rPr>
        <w:t>-</w:t>
      </w:r>
      <w:r w:rsidRPr="0070590F">
        <w:rPr>
          <w:rFonts w:ascii="Arial" w:hAnsi="Arial"/>
          <w:color w:val="000000" w:themeColor="text1"/>
          <w:sz w:val="24"/>
          <w:szCs w:val="24"/>
        </w:rPr>
        <w:t>max normalization to a standard [0, 1] interval allowing aggregation of different units. Directionality is adjusted so higher values consistently indicate negative outcomes</w:t>
      </w:r>
    </w:p>
    <w:p w14:paraId="2C3C071F" w14:textId="77777777" w:rsidR="00F93552" w:rsidRDefault="00F93552" w:rsidP="00710A62">
      <w:pPr>
        <w:spacing w:after="0" w:line="360" w:lineRule="auto"/>
        <w:contextualSpacing/>
        <w:rPr>
          <w:rFonts w:ascii="Arial" w:hAnsi="Arial"/>
          <w:b/>
          <w:bCs/>
          <w:color w:val="000000" w:themeColor="text1"/>
          <w:sz w:val="24"/>
          <w:szCs w:val="24"/>
        </w:rPr>
      </w:pPr>
    </w:p>
    <w:p w14:paraId="2CD3538B" w14:textId="6BD837F3" w:rsidR="0070590F" w:rsidRDefault="0070590F" w:rsidP="0070590F">
      <w:pPr>
        <w:spacing w:after="0" w:line="360" w:lineRule="auto"/>
        <w:contextualSpacing/>
        <w:jc w:val="thaiDistribute"/>
        <w:rPr>
          <w:rFonts w:ascii="Arial" w:hAnsi="Arial"/>
          <w:color w:val="000000" w:themeColor="text1"/>
          <w:sz w:val="24"/>
          <w:szCs w:val="24"/>
        </w:rPr>
      </w:pPr>
      <w:r w:rsidRPr="0070590F">
        <w:rPr>
          <w:rFonts w:ascii="Arial" w:hAnsi="Arial"/>
          <w:color w:val="000000" w:themeColor="text1"/>
          <w:sz w:val="24"/>
          <w:szCs w:val="24"/>
        </w:rPr>
        <w:t>The methodology applies equal weighting for calculation. The PI score averages its three pillars while the VI score averages its two indicators. The final CRI score results from the simple average of the calculated PI and VI scores.</w:t>
      </w:r>
    </w:p>
    <w:p w14:paraId="53A6876A" w14:textId="77777777" w:rsidR="0070590F" w:rsidRDefault="0070590F" w:rsidP="0070590F">
      <w:pPr>
        <w:spacing w:after="0" w:line="360" w:lineRule="auto"/>
        <w:contextualSpacing/>
        <w:jc w:val="thaiDistribute"/>
        <w:rPr>
          <w:rFonts w:ascii="Arial" w:hAnsi="Arial"/>
          <w:color w:val="000000" w:themeColor="text1"/>
          <w:sz w:val="24"/>
          <w:szCs w:val="24"/>
        </w:rPr>
      </w:pPr>
    </w:p>
    <w:p w14:paraId="0F95C1C0" w14:textId="658534FB" w:rsidR="0070590F" w:rsidRDefault="0070590F" w:rsidP="0070590F">
      <w:pPr>
        <w:spacing w:after="0" w:line="360" w:lineRule="auto"/>
        <w:contextualSpacing/>
        <w:jc w:val="thaiDistribute"/>
        <w:rPr>
          <w:rFonts w:ascii="Arial" w:hAnsi="Arial"/>
          <w:color w:val="000000" w:themeColor="text1"/>
          <w:sz w:val="24"/>
          <w:szCs w:val="24"/>
        </w:rPr>
      </w:pPr>
      <w:r w:rsidRPr="0070590F">
        <w:rPr>
          <w:rFonts w:ascii="Arial" w:hAnsi="Arial"/>
          <w:color w:val="000000" w:themeColor="text1"/>
          <w:sz w:val="24"/>
          <w:szCs w:val="24"/>
        </w:rPr>
        <w:t>The assessment utilizes two dimensions. The Intensity Score measures risk concentration regardless of physical size highlighting localized urban pressure. The Magnitude Score applies area weighting to reflect the total scale of resources and management workload. This dual analysis identifies three specific categories Intensity risk Magnitude risk and Hybrid risk.</w:t>
      </w:r>
    </w:p>
    <w:p w14:paraId="7C9BE881" w14:textId="77777777" w:rsidR="0070590F" w:rsidRDefault="0070590F" w:rsidP="0070590F">
      <w:pPr>
        <w:spacing w:after="0" w:line="360" w:lineRule="auto"/>
        <w:contextualSpacing/>
        <w:jc w:val="thaiDistribute"/>
        <w:rPr>
          <w:rFonts w:ascii="Arial" w:hAnsi="Arial"/>
          <w:color w:val="000000" w:themeColor="text1"/>
          <w:sz w:val="24"/>
          <w:szCs w:val="24"/>
        </w:rPr>
      </w:pPr>
    </w:p>
    <w:p w14:paraId="2D31ED31" w14:textId="77777777" w:rsidR="002D258A" w:rsidRDefault="002D258A" w:rsidP="0070590F">
      <w:pPr>
        <w:spacing w:after="0" w:line="360" w:lineRule="auto"/>
        <w:contextualSpacing/>
        <w:jc w:val="thaiDistribute"/>
        <w:rPr>
          <w:rFonts w:ascii="Arial" w:hAnsi="Arial"/>
          <w:color w:val="000000" w:themeColor="text1"/>
          <w:sz w:val="24"/>
          <w:szCs w:val="24"/>
        </w:rPr>
      </w:pPr>
    </w:p>
    <w:p w14:paraId="1A9A1683" w14:textId="77777777" w:rsidR="002D258A" w:rsidRDefault="002D258A" w:rsidP="0070590F">
      <w:pPr>
        <w:spacing w:after="0" w:line="360" w:lineRule="auto"/>
        <w:contextualSpacing/>
        <w:jc w:val="thaiDistribute"/>
        <w:rPr>
          <w:rFonts w:ascii="Arial" w:hAnsi="Arial"/>
          <w:color w:val="000000" w:themeColor="text1"/>
          <w:sz w:val="24"/>
          <w:szCs w:val="24"/>
        </w:rPr>
      </w:pPr>
    </w:p>
    <w:p w14:paraId="5576D8E0" w14:textId="77777777" w:rsidR="002D258A" w:rsidRDefault="002D258A" w:rsidP="0070590F">
      <w:pPr>
        <w:spacing w:after="0" w:line="360" w:lineRule="auto"/>
        <w:contextualSpacing/>
        <w:jc w:val="thaiDistribute"/>
        <w:rPr>
          <w:rFonts w:ascii="Arial" w:hAnsi="Arial"/>
          <w:color w:val="000000" w:themeColor="text1"/>
          <w:sz w:val="24"/>
          <w:szCs w:val="24"/>
        </w:rPr>
      </w:pPr>
    </w:p>
    <w:p w14:paraId="6147A7DF" w14:textId="77777777" w:rsidR="002D258A" w:rsidRDefault="002D258A" w:rsidP="0070590F">
      <w:pPr>
        <w:spacing w:after="0" w:line="360" w:lineRule="auto"/>
        <w:contextualSpacing/>
        <w:jc w:val="thaiDistribute"/>
        <w:rPr>
          <w:rFonts w:ascii="Arial" w:hAnsi="Arial"/>
          <w:color w:val="000000" w:themeColor="text1"/>
          <w:sz w:val="24"/>
          <w:szCs w:val="24"/>
        </w:rPr>
      </w:pPr>
    </w:p>
    <w:p w14:paraId="3C0E33EF" w14:textId="77777777" w:rsidR="002D258A" w:rsidRDefault="002D258A" w:rsidP="0070590F">
      <w:pPr>
        <w:spacing w:after="0" w:line="360" w:lineRule="auto"/>
        <w:contextualSpacing/>
        <w:jc w:val="thaiDistribute"/>
        <w:rPr>
          <w:rFonts w:ascii="Arial" w:hAnsi="Arial"/>
          <w:color w:val="000000" w:themeColor="text1"/>
          <w:sz w:val="24"/>
          <w:szCs w:val="24"/>
        </w:rPr>
      </w:pPr>
    </w:p>
    <w:p w14:paraId="63A0E6A7" w14:textId="77777777" w:rsidR="002D258A" w:rsidRDefault="002D258A" w:rsidP="0070590F">
      <w:pPr>
        <w:spacing w:after="0" w:line="360" w:lineRule="auto"/>
        <w:contextualSpacing/>
        <w:jc w:val="thaiDistribute"/>
        <w:rPr>
          <w:rFonts w:ascii="Arial" w:hAnsi="Arial"/>
          <w:color w:val="000000" w:themeColor="text1"/>
          <w:sz w:val="24"/>
          <w:szCs w:val="24"/>
        </w:rPr>
      </w:pPr>
    </w:p>
    <w:p w14:paraId="38E58D9E" w14:textId="77777777" w:rsidR="002D258A" w:rsidRPr="0070590F" w:rsidRDefault="002D258A" w:rsidP="0070590F">
      <w:pPr>
        <w:spacing w:after="0" w:line="360" w:lineRule="auto"/>
        <w:contextualSpacing/>
        <w:jc w:val="thaiDistribute"/>
        <w:rPr>
          <w:rFonts w:ascii="Arial" w:hAnsi="Arial"/>
          <w:color w:val="000000" w:themeColor="text1"/>
          <w:sz w:val="24"/>
          <w:szCs w:val="24"/>
        </w:rPr>
      </w:pPr>
    </w:p>
    <w:p w14:paraId="50421E38" w14:textId="48DFFD85" w:rsidR="00AA1E12" w:rsidRDefault="00AA1E12" w:rsidP="00710A62">
      <w:pPr>
        <w:spacing w:after="0" w:line="360" w:lineRule="auto"/>
        <w:contextualSpacing/>
        <w:rPr>
          <w:rFonts w:ascii="Arial" w:hAnsi="Arial"/>
          <w:b/>
          <w:bCs/>
          <w:color w:val="000000" w:themeColor="text1"/>
          <w:sz w:val="24"/>
          <w:szCs w:val="24"/>
        </w:rPr>
      </w:pPr>
      <w:r>
        <w:rPr>
          <w:rFonts w:ascii="Arial" w:hAnsi="Arial"/>
          <w:b/>
          <w:bCs/>
          <w:color w:val="000000" w:themeColor="text1"/>
          <w:sz w:val="24"/>
          <w:szCs w:val="24"/>
        </w:rPr>
        <w:lastRenderedPageBreak/>
        <w:t>Glossary</w:t>
      </w:r>
    </w:p>
    <w:tbl>
      <w:tblPr>
        <w:tblW w:w="9027" w:type="dxa"/>
        <w:tblCellMar>
          <w:left w:w="0" w:type="dxa"/>
          <w:right w:w="0" w:type="dxa"/>
        </w:tblCellMar>
        <w:tblLook w:val="04A0" w:firstRow="1" w:lastRow="0" w:firstColumn="1" w:lastColumn="0" w:noHBand="0" w:noVBand="1"/>
      </w:tblPr>
      <w:tblGrid>
        <w:gridCol w:w="2127"/>
        <w:gridCol w:w="6900"/>
      </w:tblGrid>
      <w:tr w:rsidR="00AA1E12" w:rsidRPr="00AA1E12" w14:paraId="48A33BA9" w14:textId="77777777" w:rsidTr="00AA1E12">
        <w:trPr>
          <w:trHeight w:val="315"/>
        </w:trPr>
        <w:tc>
          <w:tcPr>
            <w:tcW w:w="2127" w:type="dxa"/>
            <w:tcMar>
              <w:top w:w="30" w:type="dxa"/>
              <w:left w:w="45" w:type="dxa"/>
              <w:bottom w:w="30" w:type="dxa"/>
              <w:right w:w="45" w:type="dxa"/>
            </w:tcMar>
            <w:hideMark/>
          </w:tcPr>
          <w:p w14:paraId="2F7429D8"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Composite Risk Index (CRI)</w:t>
            </w:r>
          </w:p>
        </w:tc>
        <w:tc>
          <w:tcPr>
            <w:tcW w:w="6900" w:type="dxa"/>
            <w:tcMar>
              <w:top w:w="30" w:type="dxa"/>
              <w:left w:w="0" w:type="dxa"/>
              <w:bottom w:w="30" w:type="dxa"/>
              <w:right w:w="0" w:type="dxa"/>
            </w:tcMar>
            <w:hideMark/>
          </w:tcPr>
          <w:p w14:paraId="167604CF" w14:textId="1937B443" w:rsidR="00AA1E12" w:rsidRPr="00AA1E12" w:rsidRDefault="00AA1E12" w:rsidP="00AA1E1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An index constructed by integrating metrics of risk magnitude and risk intensity to diagnose and rank the risk levels of coastal areas, which subsequently informs the prioritization of management measures.</w:t>
            </w:r>
          </w:p>
        </w:tc>
      </w:tr>
      <w:tr w:rsidR="00AA1E12" w:rsidRPr="00AA1E12" w14:paraId="3E79EB88" w14:textId="77777777" w:rsidTr="00AA1E12">
        <w:trPr>
          <w:trHeight w:val="315"/>
        </w:trPr>
        <w:tc>
          <w:tcPr>
            <w:tcW w:w="2127" w:type="dxa"/>
            <w:tcMar>
              <w:top w:w="30" w:type="dxa"/>
              <w:left w:w="45" w:type="dxa"/>
              <w:bottom w:w="30" w:type="dxa"/>
              <w:right w:w="45" w:type="dxa"/>
            </w:tcMar>
            <w:hideMark/>
          </w:tcPr>
          <w:p w14:paraId="3934A0A8"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DCCE</w:t>
            </w:r>
          </w:p>
        </w:tc>
        <w:tc>
          <w:tcPr>
            <w:tcW w:w="6900" w:type="dxa"/>
            <w:tcMar>
              <w:top w:w="30" w:type="dxa"/>
              <w:left w:w="0" w:type="dxa"/>
              <w:bottom w:w="30" w:type="dxa"/>
              <w:right w:w="0" w:type="dxa"/>
            </w:tcMar>
            <w:hideMark/>
          </w:tcPr>
          <w:p w14:paraId="330413D7"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Department of Climate Change and Environment; the primary government agency in Thailand responsible for climate policy and environmental management.</w:t>
            </w:r>
          </w:p>
        </w:tc>
      </w:tr>
      <w:tr w:rsidR="00AA1E12" w:rsidRPr="00AA1E12" w14:paraId="12261409" w14:textId="77777777" w:rsidTr="00AA1E12">
        <w:trPr>
          <w:trHeight w:val="315"/>
        </w:trPr>
        <w:tc>
          <w:tcPr>
            <w:tcW w:w="2127" w:type="dxa"/>
            <w:tcMar>
              <w:top w:w="30" w:type="dxa"/>
              <w:left w:w="45" w:type="dxa"/>
              <w:bottom w:w="30" w:type="dxa"/>
              <w:right w:w="45" w:type="dxa"/>
            </w:tcMar>
            <w:hideMark/>
          </w:tcPr>
          <w:p w14:paraId="664DA4BC"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Eastern Economic Corridor (EEC)</w:t>
            </w:r>
          </w:p>
        </w:tc>
        <w:tc>
          <w:tcPr>
            <w:tcW w:w="6900" w:type="dxa"/>
            <w:tcMar>
              <w:top w:w="30" w:type="dxa"/>
              <w:left w:w="0" w:type="dxa"/>
              <w:bottom w:w="30" w:type="dxa"/>
              <w:right w:w="0" w:type="dxa"/>
            </w:tcMar>
            <w:hideMark/>
          </w:tcPr>
          <w:p w14:paraId="4BB5A274"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A special economic zone in eastern Thailand (Chonburi, Rayong, and Chachoengsao provinces) designed to be the nation's leading economic hub for trade, investment, and innovation.</w:t>
            </w:r>
          </w:p>
        </w:tc>
      </w:tr>
      <w:tr w:rsidR="00AA1E12" w:rsidRPr="00AA1E12" w14:paraId="7E389C3A" w14:textId="77777777" w:rsidTr="00AA1E12">
        <w:trPr>
          <w:trHeight w:val="315"/>
        </w:trPr>
        <w:tc>
          <w:tcPr>
            <w:tcW w:w="2127" w:type="dxa"/>
            <w:tcMar>
              <w:top w:w="30" w:type="dxa"/>
              <w:left w:w="45" w:type="dxa"/>
              <w:bottom w:w="30" w:type="dxa"/>
              <w:right w:w="45" w:type="dxa"/>
            </w:tcMar>
            <w:hideMark/>
          </w:tcPr>
          <w:p w14:paraId="59DB5337" w14:textId="77777777" w:rsidR="00AA1E12" w:rsidRPr="00AA1E12" w:rsidRDefault="00AA1E12" w:rsidP="00AA1E12">
            <w:pPr>
              <w:spacing w:after="0" w:line="360" w:lineRule="auto"/>
              <w:contextualSpacing/>
              <w:rPr>
                <w:rFonts w:ascii="Arial" w:hAnsi="Arial" w:cs="Arial"/>
                <w:color w:val="000000" w:themeColor="text1"/>
                <w:sz w:val="24"/>
                <w:szCs w:val="24"/>
              </w:rPr>
            </w:pPr>
            <w:proofErr w:type="spellStart"/>
            <w:r w:rsidRPr="00AA1E12">
              <w:rPr>
                <w:rFonts w:ascii="Arial" w:hAnsi="Arial" w:cs="Arial"/>
                <w:color w:val="000000" w:themeColor="text1"/>
                <w:sz w:val="24"/>
                <w:szCs w:val="24"/>
              </w:rPr>
              <w:t>EbA</w:t>
            </w:r>
            <w:proofErr w:type="spellEnd"/>
          </w:p>
        </w:tc>
        <w:tc>
          <w:tcPr>
            <w:tcW w:w="6900" w:type="dxa"/>
            <w:tcMar>
              <w:top w:w="30" w:type="dxa"/>
              <w:left w:w="0" w:type="dxa"/>
              <w:bottom w:w="30" w:type="dxa"/>
              <w:right w:w="0" w:type="dxa"/>
            </w:tcMar>
            <w:hideMark/>
          </w:tcPr>
          <w:p w14:paraId="4E145CCA"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Ecosystem-based Adaptation; the use of biodiversity and ecosystem services as part of an overall adaptation strategy to help people adapt to the adverse effects of climate change.</w:t>
            </w:r>
          </w:p>
        </w:tc>
      </w:tr>
      <w:tr w:rsidR="00AA1E12" w:rsidRPr="00AA1E12" w14:paraId="52B5799C" w14:textId="77777777" w:rsidTr="00AA1E12">
        <w:trPr>
          <w:trHeight w:val="315"/>
        </w:trPr>
        <w:tc>
          <w:tcPr>
            <w:tcW w:w="2127" w:type="dxa"/>
            <w:tcMar>
              <w:top w:w="30" w:type="dxa"/>
              <w:left w:w="45" w:type="dxa"/>
              <w:bottom w:w="30" w:type="dxa"/>
              <w:right w:w="45" w:type="dxa"/>
            </w:tcMar>
            <w:hideMark/>
          </w:tcPr>
          <w:p w14:paraId="5CCE5E05"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EM-DAT</w:t>
            </w:r>
          </w:p>
        </w:tc>
        <w:tc>
          <w:tcPr>
            <w:tcW w:w="6900" w:type="dxa"/>
            <w:tcMar>
              <w:top w:w="30" w:type="dxa"/>
              <w:left w:w="0" w:type="dxa"/>
              <w:bottom w:w="30" w:type="dxa"/>
              <w:right w:w="0" w:type="dxa"/>
            </w:tcMar>
            <w:hideMark/>
          </w:tcPr>
          <w:p w14:paraId="73F9D6E1"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Emergency Events Database; a global database on natural and technological disasters maintained by the Centre for Research on the Epidemiology of Disasters (CRED).</w:t>
            </w:r>
          </w:p>
        </w:tc>
      </w:tr>
      <w:tr w:rsidR="00AA1E12" w:rsidRPr="00AA1E12" w14:paraId="5B1B2B3E" w14:textId="77777777" w:rsidTr="00AA1E12">
        <w:trPr>
          <w:trHeight w:val="315"/>
        </w:trPr>
        <w:tc>
          <w:tcPr>
            <w:tcW w:w="2127" w:type="dxa"/>
            <w:tcMar>
              <w:top w:w="30" w:type="dxa"/>
              <w:left w:w="45" w:type="dxa"/>
              <w:bottom w:w="30" w:type="dxa"/>
              <w:right w:w="45" w:type="dxa"/>
            </w:tcMar>
            <w:hideMark/>
          </w:tcPr>
          <w:p w14:paraId="170749E3"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GDP</w:t>
            </w:r>
          </w:p>
        </w:tc>
        <w:tc>
          <w:tcPr>
            <w:tcW w:w="6900" w:type="dxa"/>
            <w:tcMar>
              <w:top w:w="30" w:type="dxa"/>
              <w:left w:w="0" w:type="dxa"/>
              <w:bottom w:w="30" w:type="dxa"/>
              <w:right w:w="0" w:type="dxa"/>
            </w:tcMar>
            <w:hideMark/>
          </w:tcPr>
          <w:p w14:paraId="0DAA58BE"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Gross Domestic Product; the total monetary or market value of all the finished goods and services produced within a country's borders in a specific time period.</w:t>
            </w:r>
          </w:p>
        </w:tc>
      </w:tr>
      <w:tr w:rsidR="00AA1E12" w:rsidRPr="00AA1E12" w14:paraId="108D245A" w14:textId="77777777" w:rsidTr="00AA1E12">
        <w:trPr>
          <w:trHeight w:val="315"/>
        </w:trPr>
        <w:tc>
          <w:tcPr>
            <w:tcW w:w="2127" w:type="dxa"/>
            <w:tcMar>
              <w:top w:w="30" w:type="dxa"/>
              <w:left w:w="45" w:type="dxa"/>
              <w:bottom w:w="30" w:type="dxa"/>
              <w:right w:w="45" w:type="dxa"/>
            </w:tcMar>
            <w:hideMark/>
          </w:tcPr>
          <w:p w14:paraId="3C56C888"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GHG</w:t>
            </w:r>
          </w:p>
        </w:tc>
        <w:tc>
          <w:tcPr>
            <w:tcW w:w="6900" w:type="dxa"/>
            <w:tcMar>
              <w:top w:w="30" w:type="dxa"/>
              <w:left w:w="0" w:type="dxa"/>
              <w:bottom w:w="30" w:type="dxa"/>
              <w:right w:w="0" w:type="dxa"/>
            </w:tcMar>
            <w:hideMark/>
          </w:tcPr>
          <w:p w14:paraId="6857EF88"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Greenhouse Gas; gases in the earth's atmosphere that trap heat, such as carbon dioxide (CO</w:t>
            </w:r>
            <w:r w:rsidRPr="00AA1E12">
              <w:rPr>
                <w:rFonts w:ascii="Arial" w:hAnsi="Arial" w:cs="Arial"/>
                <w:color w:val="000000" w:themeColor="text1"/>
                <w:sz w:val="24"/>
                <w:szCs w:val="24"/>
                <w:vertAlign w:val="subscript"/>
              </w:rPr>
              <w:t>2</w:t>
            </w:r>
            <w:r w:rsidRPr="00AA1E12">
              <w:rPr>
                <w:rFonts w:ascii="Arial" w:hAnsi="Arial" w:cs="Arial"/>
                <w:color w:val="000000" w:themeColor="text1"/>
                <w:sz w:val="24"/>
                <w:szCs w:val="24"/>
              </w:rPr>
              <w:t>​) and methane (CH</w:t>
            </w:r>
            <w:r w:rsidRPr="00AA1E12">
              <w:rPr>
                <w:rFonts w:ascii="Arial" w:hAnsi="Arial" w:cs="Arial"/>
                <w:color w:val="000000" w:themeColor="text1"/>
                <w:sz w:val="24"/>
                <w:szCs w:val="24"/>
                <w:vertAlign w:val="subscript"/>
              </w:rPr>
              <w:t>4</w:t>
            </w:r>
            <w:r w:rsidRPr="00AA1E12">
              <w:rPr>
                <w:rFonts w:ascii="Arial" w:hAnsi="Arial" w:cs="Arial"/>
                <w:color w:val="000000" w:themeColor="text1"/>
                <w:sz w:val="24"/>
                <w:szCs w:val="24"/>
              </w:rPr>
              <w:t>​), contributing to the greenhouse effect.</w:t>
            </w:r>
          </w:p>
        </w:tc>
      </w:tr>
      <w:tr w:rsidR="00AA1E12" w:rsidRPr="00AA1E12" w14:paraId="5AED26A5" w14:textId="77777777" w:rsidTr="00AA1E12">
        <w:trPr>
          <w:trHeight w:val="315"/>
        </w:trPr>
        <w:tc>
          <w:tcPr>
            <w:tcW w:w="2127" w:type="dxa"/>
            <w:tcMar>
              <w:top w:w="30" w:type="dxa"/>
              <w:left w:w="45" w:type="dxa"/>
              <w:bottom w:w="30" w:type="dxa"/>
              <w:right w:w="45" w:type="dxa"/>
            </w:tcMar>
            <w:hideMark/>
          </w:tcPr>
          <w:p w14:paraId="11B85269"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GPP</w:t>
            </w:r>
          </w:p>
        </w:tc>
        <w:tc>
          <w:tcPr>
            <w:tcW w:w="6900" w:type="dxa"/>
            <w:tcMar>
              <w:top w:w="30" w:type="dxa"/>
              <w:left w:w="0" w:type="dxa"/>
              <w:bottom w:w="30" w:type="dxa"/>
              <w:right w:w="0" w:type="dxa"/>
            </w:tcMar>
            <w:hideMark/>
          </w:tcPr>
          <w:p w14:paraId="673E4515"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Gross Provincial Product; the total economic value of all final goods and services produced within a specific province during a given period.</w:t>
            </w:r>
          </w:p>
        </w:tc>
      </w:tr>
      <w:tr w:rsidR="00AA1E12" w:rsidRPr="00AA1E12" w14:paraId="54D109F6" w14:textId="77777777" w:rsidTr="00AA1E12">
        <w:trPr>
          <w:trHeight w:val="315"/>
        </w:trPr>
        <w:tc>
          <w:tcPr>
            <w:tcW w:w="2127" w:type="dxa"/>
            <w:tcMar>
              <w:top w:w="30" w:type="dxa"/>
              <w:left w:w="45" w:type="dxa"/>
              <w:bottom w:w="30" w:type="dxa"/>
              <w:right w:w="45" w:type="dxa"/>
            </w:tcMar>
            <w:hideMark/>
          </w:tcPr>
          <w:p w14:paraId="56F076FC"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HDI</w:t>
            </w:r>
          </w:p>
        </w:tc>
        <w:tc>
          <w:tcPr>
            <w:tcW w:w="6900" w:type="dxa"/>
            <w:tcMar>
              <w:top w:w="30" w:type="dxa"/>
              <w:left w:w="0" w:type="dxa"/>
              <w:bottom w:w="30" w:type="dxa"/>
              <w:right w:w="0" w:type="dxa"/>
            </w:tcMar>
            <w:hideMark/>
          </w:tcPr>
          <w:p w14:paraId="621182BA"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Human Development Index; a statistical composite index of life expectancy, education, and per capita income indicators, used to measure key dimensions of human development.</w:t>
            </w:r>
          </w:p>
        </w:tc>
      </w:tr>
      <w:tr w:rsidR="00AA1E12" w:rsidRPr="00AA1E12" w14:paraId="28B151D6" w14:textId="77777777" w:rsidTr="00AA1E12">
        <w:trPr>
          <w:trHeight w:val="315"/>
        </w:trPr>
        <w:tc>
          <w:tcPr>
            <w:tcW w:w="2127" w:type="dxa"/>
            <w:tcMar>
              <w:top w:w="30" w:type="dxa"/>
              <w:left w:w="45" w:type="dxa"/>
              <w:bottom w:w="30" w:type="dxa"/>
              <w:right w:w="45" w:type="dxa"/>
            </w:tcMar>
            <w:hideMark/>
          </w:tcPr>
          <w:p w14:paraId="72780DE3"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Hybrid Risk</w:t>
            </w:r>
          </w:p>
        </w:tc>
        <w:tc>
          <w:tcPr>
            <w:tcW w:w="6900" w:type="dxa"/>
            <w:tcMar>
              <w:top w:w="30" w:type="dxa"/>
              <w:left w:w="0" w:type="dxa"/>
              <w:bottom w:w="30" w:type="dxa"/>
              <w:right w:w="0" w:type="dxa"/>
            </w:tcMar>
            <w:hideMark/>
          </w:tcPr>
          <w:p w14:paraId="02B9B069"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A risk classification for areas that rank high in both risk magnitude and risk intensity, requiring the most integrated and comprehensive policy responses.</w:t>
            </w:r>
          </w:p>
        </w:tc>
      </w:tr>
      <w:tr w:rsidR="00AA1E12" w:rsidRPr="00AA1E12" w14:paraId="1CFE24B2" w14:textId="77777777" w:rsidTr="00AA1E12">
        <w:trPr>
          <w:trHeight w:val="315"/>
        </w:trPr>
        <w:tc>
          <w:tcPr>
            <w:tcW w:w="2127" w:type="dxa"/>
            <w:tcMar>
              <w:top w:w="30" w:type="dxa"/>
              <w:left w:w="45" w:type="dxa"/>
              <w:bottom w:w="30" w:type="dxa"/>
              <w:right w:w="45" w:type="dxa"/>
            </w:tcMar>
            <w:hideMark/>
          </w:tcPr>
          <w:p w14:paraId="359D403C"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lastRenderedPageBreak/>
              <w:t>IHDI</w:t>
            </w:r>
          </w:p>
        </w:tc>
        <w:tc>
          <w:tcPr>
            <w:tcW w:w="6900" w:type="dxa"/>
            <w:tcMar>
              <w:top w:w="30" w:type="dxa"/>
              <w:left w:w="0" w:type="dxa"/>
              <w:bottom w:w="30" w:type="dxa"/>
              <w:right w:w="0" w:type="dxa"/>
            </w:tcMar>
            <w:hideMark/>
          </w:tcPr>
          <w:p w14:paraId="6CB5FED5"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Inequality-adjusted Human Development Index; an index that combines a country's average achievements in health, education, and income with how those achievements are distributed among the population.</w:t>
            </w:r>
          </w:p>
        </w:tc>
      </w:tr>
      <w:tr w:rsidR="00AA1E12" w:rsidRPr="00AA1E12" w14:paraId="0EB02287" w14:textId="77777777" w:rsidTr="00AA1E12">
        <w:trPr>
          <w:trHeight w:val="315"/>
        </w:trPr>
        <w:tc>
          <w:tcPr>
            <w:tcW w:w="2127" w:type="dxa"/>
            <w:tcMar>
              <w:top w:w="30" w:type="dxa"/>
              <w:left w:w="45" w:type="dxa"/>
              <w:bottom w:w="30" w:type="dxa"/>
              <w:right w:w="45" w:type="dxa"/>
            </w:tcMar>
            <w:hideMark/>
          </w:tcPr>
          <w:p w14:paraId="5CD2891E"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Intensity Risk</w:t>
            </w:r>
          </w:p>
        </w:tc>
        <w:tc>
          <w:tcPr>
            <w:tcW w:w="6900" w:type="dxa"/>
            <w:tcMar>
              <w:top w:w="30" w:type="dxa"/>
              <w:left w:w="0" w:type="dxa"/>
              <w:bottom w:w="30" w:type="dxa"/>
              <w:right w:w="0" w:type="dxa"/>
            </w:tcMar>
            <w:hideMark/>
          </w:tcPr>
          <w:p w14:paraId="13E3368B"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A risk classification characterized by high economic density or concentrated asset value within a specific area (e.g., economic hubs), often requiring targeted spatial management.</w:t>
            </w:r>
          </w:p>
        </w:tc>
      </w:tr>
      <w:tr w:rsidR="00AA1E12" w:rsidRPr="00AA1E12" w14:paraId="1DCD1823" w14:textId="77777777" w:rsidTr="00AA1E12">
        <w:trPr>
          <w:trHeight w:val="315"/>
        </w:trPr>
        <w:tc>
          <w:tcPr>
            <w:tcW w:w="2127" w:type="dxa"/>
            <w:tcMar>
              <w:top w:w="30" w:type="dxa"/>
              <w:left w:w="45" w:type="dxa"/>
              <w:bottom w:w="30" w:type="dxa"/>
              <w:right w:w="45" w:type="dxa"/>
            </w:tcMar>
            <w:hideMark/>
          </w:tcPr>
          <w:p w14:paraId="16295915"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Magnitude Risk</w:t>
            </w:r>
          </w:p>
        </w:tc>
        <w:tc>
          <w:tcPr>
            <w:tcW w:w="6900" w:type="dxa"/>
            <w:tcMar>
              <w:top w:w="30" w:type="dxa"/>
              <w:left w:w="0" w:type="dxa"/>
              <w:bottom w:w="30" w:type="dxa"/>
              <w:right w:w="0" w:type="dxa"/>
            </w:tcMar>
            <w:hideMark/>
          </w:tcPr>
          <w:p w14:paraId="4B4B2B68"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A risk classification characterized by the broad geographic scale or large population size exposed to potential hazards, often requiring broad resource planning.</w:t>
            </w:r>
          </w:p>
        </w:tc>
      </w:tr>
      <w:tr w:rsidR="00AA1E12" w:rsidRPr="00AA1E12" w14:paraId="42838675" w14:textId="77777777" w:rsidTr="00AA1E12">
        <w:trPr>
          <w:trHeight w:val="315"/>
        </w:trPr>
        <w:tc>
          <w:tcPr>
            <w:tcW w:w="2127" w:type="dxa"/>
            <w:tcMar>
              <w:top w:w="30" w:type="dxa"/>
              <w:left w:w="45" w:type="dxa"/>
              <w:bottom w:w="30" w:type="dxa"/>
              <w:right w:w="45" w:type="dxa"/>
            </w:tcMar>
            <w:hideMark/>
          </w:tcPr>
          <w:p w14:paraId="6023CB02"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NESDP</w:t>
            </w:r>
          </w:p>
        </w:tc>
        <w:tc>
          <w:tcPr>
            <w:tcW w:w="6900" w:type="dxa"/>
            <w:tcMar>
              <w:top w:w="30" w:type="dxa"/>
              <w:left w:w="0" w:type="dxa"/>
              <w:bottom w:w="30" w:type="dxa"/>
              <w:right w:w="0" w:type="dxa"/>
            </w:tcMar>
            <w:hideMark/>
          </w:tcPr>
          <w:p w14:paraId="582FF2D4"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National Economic and Social Development Plan; Thailand’s five-year national master plan for economic and social development.</w:t>
            </w:r>
          </w:p>
        </w:tc>
      </w:tr>
      <w:tr w:rsidR="00AA1E12" w:rsidRPr="00AA1E12" w14:paraId="0CA0F964" w14:textId="77777777" w:rsidTr="00AA1E12">
        <w:trPr>
          <w:trHeight w:val="315"/>
        </w:trPr>
        <w:tc>
          <w:tcPr>
            <w:tcW w:w="2127" w:type="dxa"/>
            <w:tcMar>
              <w:top w:w="30" w:type="dxa"/>
              <w:left w:w="45" w:type="dxa"/>
              <w:bottom w:w="30" w:type="dxa"/>
              <w:right w:w="45" w:type="dxa"/>
            </w:tcMar>
            <w:hideMark/>
          </w:tcPr>
          <w:p w14:paraId="4ACA0F5E"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Pressure Index (PI)</w:t>
            </w:r>
          </w:p>
        </w:tc>
        <w:tc>
          <w:tcPr>
            <w:tcW w:w="6900" w:type="dxa"/>
            <w:tcMar>
              <w:top w:w="30" w:type="dxa"/>
              <w:left w:w="0" w:type="dxa"/>
              <w:bottom w:w="30" w:type="dxa"/>
              <w:right w:w="0" w:type="dxa"/>
            </w:tcMar>
            <w:hideMark/>
          </w:tcPr>
          <w:p w14:paraId="44BC7352" w14:textId="60AFC641" w:rsidR="00AA1E12" w:rsidRPr="00AA1E12" w:rsidRDefault="009364F2" w:rsidP="009364F2">
            <w:pPr>
              <w:spacing w:after="0" w:line="360" w:lineRule="auto"/>
              <w:contextualSpacing/>
              <w:jc w:val="thaiDistribute"/>
              <w:rPr>
                <w:rFonts w:ascii="Arial" w:hAnsi="Arial" w:cs="Arial"/>
                <w:color w:val="000000" w:themeColor="text1"/>
                <w:sz w:val="24"/>
                <w:szCs w:val="24"/>
              </w:rPr>
            </w:pPr>
            <w:r w:rsidRPr="009364F2">
              <w:rPr>
                <w:rFonts w:ascii="Arial" w:hAnsi="Arial" w:cs="Arial"/>
                <w:color w:val="000000" w:themeColor="text1"/>
                <w:sz w:val="24"/>
                <w:szCs w:val="24"/>
              </w:rPr>
              <w:t>An index that measures the intensity of human activities and their potential negative impacts on natural resources and ecosystems, calculated in this study using population count, household count, population density, and Gross Provincial Product (GPP).</w:t>
            </w:r>
          </w:p>
        </w:tc>
      </w:tr>
      <w:tr w:rsidR="00AA1E12" w:rsidRPr="00AA1E12" w14:paraId="450C50B1" w14:textId="77777777" w:rsidTr="00AA1E12">
        <w:trPr>
          <w:trHeight w:val="315"/>
        </w:trPr>
        <w:tc>
          <w:tcPr>
            <w:tcW w:w="2127" w:type="dxa"/>
            <w:tcMar>
              <w:top w:w="30" w:type="dxa"/>
              <w:left w:w="45" w:type="dxa"/>
              <w:bottom w:w="30" w:type="dxa"/>
              <w:right w:w="45" w:type="dxa"/>
            </w:tcMar>
            <w:hideMark/>
          </w:tcPr>
          <w:p w14:paraId="168C3AB0"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SDGs</w:t>
            </w:r>
          </w:p>
        </w:tc>
        <w:tc>
          <w:tcPr>
            <w:tcW w:w="6900" w:type="dxa"/>
            <w:tcMar>
              <w:top w:w="30" w:type="dxa"/>
              <w:left w:w="0" w:type="dxa"/>
              <w:bottom w:w="30" w:type="dxa"/>
              <w:right w:w="0" w:type="dxa"/>
            </w:tcMar>
            <w:hideMark/>
          </w:tcPr>
          <w:p w14:paraId="1CB41EBF"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Sustainable Development Goals; a collection of 17 interlinked global goals set by the United Nations to achieve a better and more sustainable future for all by 2030.</w:t>
            </w:r>
          </w:p>
        </w:tc>
      </w:tr>
      <w:tr w:rsidR="00AA1E12" w:rsidRPr="00AA1E12" w14:paraId="62CFD6F1" w14:textId="77777777" w:rsidTr="00AA1E12">
        <w:trPr>
          <w:trHeight w:val="315"/>
        </w:trPr>
        <w:tc>
          <w:tcPr>
            <w:tcW w:w="2127" w:type="dxa"/>
            <w:tcMar>
              <w:top w:w="30" w:type="dxa"/>
              <w:left w:w="45" w:type="dxa"/>
              <w:bottom w:w="30" w:type="dxa"/>
              <w:right w:w="45" w:type="dxa"/>
            </w:tcMar>
            <w:hideMark/>
          </w:tcPr>
          <w:p w14:paraId="681B2D76"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TMD</w:t>
            </w:r>
          </w:p>
        </w:tc>
        <w:tc>
          <w:tcPr>
            <w:tcW w:w="6900" w:type="dxa"/>
            <w:tcMar>
              <w:top w:w="30" w:type="dxa"/>
              <w:left w:w="0" w:type="dxa"/>
              <w:bottom w:w="30" w:type="dxa"/>
              <w:right w:w="0" w:type="dxa"/>
            </w:tcMar>
            <w:hideMark/>
          </w:tcPr>
          <w:p w14:paraId="75AC01D9"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Thai Meteorological Department; the governmental agency responsible for weather forecasting and issuing warnings for hydrometeorological hazards in Thailand.</w:t>
            </w:r>
          </w:p>
        </w:tc>
      </w:tr>
      <w:tr w:rsidR="00AA1E12" w:rsidRPr="00AA1E12" w14:paraId="6C66B9A8" w14:textId="77777777" w:rsidTr="00AA1E12">
        <w:trPr>
          <w:trHeight w:val="315"/>
        </w:trPr>
        <w:tc>
          <w:tcPr>
            <w:tcW w:w="2127" w:type="dxa"/>
            <w:tcMar>
              <w:top w:w="30" w:type="dxa"/>
              <w:left w:w="45" w:type="dxa"/>
              <w:bottom w:w="30" w:type="dxa"/>
              <w:right w:w="45" w:type="dxa"/>
            </w:tcMar>
            <w:hideMark/>
          </w:tcPr>
          <w:p w14:paraId="5A75D828"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UNFCCC</w:t>
            </w:r>
          </w:p>
        </w:tc>
        <w:tc>
          <w:tcPr>
            <w:tcW w:w="6900" w:type="dxa"/>
            <w:tcMar>
              <w:top w:w="30" w:type="dxa"/>
              <w:left w:w="0" w:type="dxa"/>
              <w:bottom w:w="30" w:type="dxa"/>
              <w:right w:w="0" w:type="dxa"/>
            </w:tcMar>
            <w:hideMark/>
          </w:tcPr>
          <w:p w14:paraId="75F252FD" w14:textId="77777777" w:rsidR="00AA1E12" w:rsidRPr="00AA1E12" w:rsidRDefault="00AA1E12" w:rsidP="009364F2">
            <w:pPr>
              <w:spacing w:after="0" w:line="360" w:lineRule="auto"/>
              <w:contextualSpacing/>
              <w:jc w:val="thaiDistribute"/>
              <w:rPr>
                <w:rFonts w:ascii="Arial" w:hAnsi="Arial" w:cs="Arial"/>
                <w:color w:val="000000" w:themeColor="text1"/>
                <w:sz w:val="24"/>
                <w:szCs w:val="24"/>
              </w:rPr>
            </w:pPr>
            <w:r w:rsidRPr="00AA1E12">
              <w:rPr>
                <w:rFonts w:ascii="Arial" w:hAnsi="Arial" w:cs="Arial"/>
                <w:color w:val="000000" w:themeColor="text1"/>
                <w:sz w:val="24"/>
                <w:szCs w:val="24"/>
              </w:rPr>
              <w:t>United Nations Framework Convention on Climate Change; an international environmental treaty establishing a framework for intergovernmental efforts to address climate change.</w:t>
            </w:r>
          </w:p>
        </w:tc>
      </w:tr>
      <w:tr w:rsidR="00AA1E12" w:rsidRPr="00AA1E12" w14:paraId="6324E0EE" w14:textId="77777777" w:rsidTr="00AA1E12">
        <w:trPr>
          <w:trHeight w:val="315"/>
        </w:trPr>
        <w:tc>
          <w:tcPr>
            <w:tcW w:w="2127" w:type="dxa"/>
            <w:tcMar>
              <w:top w:w="30" w:type="dxa"/>
              <w:left w:w="45" w:type="dxa"/>
              <w:bottom w:w="30" w:type="dxa"/>
              <w:right w:w="45" w:type="dxa"/>
            </w:tcMar>
            <w:hideMark/>
          </w:tcPr>
          <w:p w14:paraId="3BED44B6" w14:textId="77777777" w:rsidR="00AA1E12" w:rsidRPr="00AA1E12" w:rsidRDefault="00AA1E12" w:rsidP="00AA1E12">
            <w:pPr>
              <w:spacing w:after="0" w:line="360" w:lineRule="auto"/>
              <w:contextualSpacing/>
              <w:rPr>
                <w:rFonts w:ascii="Arial" w:hAnsi="Arial" w:cs="Arial"/>
                <w:color w:val="000000" w:themeColor="text1"/>
                <w:sz w:val="24"/>
                <w:szCs w:val="24"/>
              </w:rPr>
            </w:pPr>
            <w:r w:rsidRPr="00AA1E12">
              <w:rPr>
                <w:rFonts w:ascii="Arial" w:hAnsi="Arial" w:cs="Arial"/>
                <w:color w:val="000000" w:themeColor="text1"/>
                <w:sz w:val="24"/>
                <w:szCs w:val="24"/>
              </w:rPr>
              <w:t>Vulnerability Index (VI)</w:t>
            </w:r>
          </w:p>
        </w:tc>
        <w:tc>
          <w:tcPr>
            <w:tcW w:w="6900" w:type="dxa"/>
            <w:tcMar>
              <w:top w:w="30" w:type="dxa"/>
              <w:left w:w="0" w:type="dxa"/>
              <w:bottom w:w="30" w:type="dxa"/>
              <w:right w:w="0" w:type="dxa"/>
            </w:tcMar>
            <w:hideMark/>
          </w:tcPr>
          <w:p w14:paraId="1871DC80" w14:textId="032A96EF" w:rsidR="00AA1E12" w:rsidRPr="00AA1E12" w:rsidRDefault="009364F2" w:rsidP="009364F2">
            <w:pPr>
              <w:spacing w:after="0" w:line="360" w:lineRule="auto"/>
              <w:contextualSpacing/>
              <w:jc w:val="thaiDistribute"/>
              <w:rPr>
                <w:rFonts w:ascii="Arial" w:hAnsi="Arial" w:hint="cs"/>
                <w:color w:val="000000" w:themeColor="text1"/>
                <w:sz w:val="24"/>
                <w:szCs w:val="24"/>
              </w:rPr>
            </w:pPr>
            <w:r w:rsidRPr="009364F2">
              <w:rPr>
                <w:rFonts w:ascii="Arial" w:hAnsi="Arial" w:cs="Arial"/>
                <w:color w:val="000000" w:themeColor="text1"/>
                <w:sz w:val="24"/>
                <w:szCs w:val="24"/>
              </w:rPr>
              <w:t>An index that measures the socioeconomic susceptibility of a population, calculated in this study using the poverty headcount ratio and sex ratio imbalance</w:t>
            </w:r>
            <w:r>
              <w:rPr>
                <w:rFonts w:ascii="Arial" w:hAnsi="Arial" w:cs="Arial"/>
                <w:color w:val="000000" w:themeColor="text1"/>
                <w:sz w:val="24"/>
                <w:szCs w:val="24"/>
              </w:rPr>
              <w:t>.</w:t>
            </w:r>
          </w:p>
        </w:tc>
      </w:tr>
    </w:tbl>
    <w:p w14:paraId="2F6899A4" w14:textId="77777777" w:rsidR="00AA1E12" w:rsidRDefault="00AA1E12" w:rsidP="00710A62">
      <w:pPr>
        <w:spacing w:after="0" w:line="360" w:lineRule="auto"/>
        <w:contextualSpacing/>
        <w:rPr>
          <w:rFonts w:ascii="Arial" w:hAnsi="Arial"/>
          <w:b/>
          <w:bCs/>
          <w:color w:val="000000" w:themeColor="text1"/>
          <w:sz w:val="24"/>
          <w:szCs w:val="24"/>
        </w:rPr>
      </w:pPr>
    </w:p>
    <w:p w14:paraId="4A021664" w14:textId="77777777" w:rsidR="00AD600C" w:rsidRDefault="00AD600C" w:rsidP="00710A62">
      <w:pPr>
        <w:spacing w:after="0" w:line="360" w:lineRule="auto"/>
        <w:contextualSpacing/>
        <w:rPr>
          <w:rFonts w:ascii="Arial" w:hAnsi="Arial"/>
          <w:b/>
          <w:bCs/>
          <w:color w:val="000000" w:themeColor="text1"/>
          <w:sz w:val="24"/>
          <w:szCs w:val="24"/>
        </w:rPr>
      </w:pPr>
    </w:p>
    <w:p w14:paraId="28A6C6D5" w14:textId="77777777" w:rsidR="00AD600C" w:rsidRDefault="00AD600C" w:rsidP="00710A62">
      <w:pPr>
        <w:spacing w:after="0" w:line="360" w:lineRule="auto"/>
        <w:contextualSpacing/>
        <w:rPr>
          <w:rFonts w:ascii="Arial" w:hAnsi="Arial"/>
          <w:b/>
          <w:bCs/>
          <w:color w:val="000000" w:themeColor="text1"/>
          <w:sz w:val="24"/>
          <w:szCs w:val="24"/>
        </w:rPr>
      </w:pPr>
    </w:p>
    <w:p w14:paraId="76715057" w14:textId="731B4BB4" w:rsidR="0001114F" w:rsidRDefault="005033B8" w:rsidP="00710A62">
      <w:pPr>
        <w:spacing w:after="0" w:line="360" w:lineRule="auto"/>
        <w:contextualSpacing/>
        <w:rPr>
          <w:rFonts w:ascii="Arial" w:hAnsi="Arial"/>
          <w:b/>
          <w:bCs/>
          <w:color w:val="000000" w:themeColor="text1"/>
          <w:sz w:val="24"/>
          <w:szCs w:val="24"/>
        </w:rPr>
      </w:pPr>
      <w:r>
        <w:rPr>
          <w:rFonts w:ascii="Arial" w:hAnsi="Arial"/>
          <w:b/>
          <w:bCs/>
          <w:color w:val="000000" w:themeColor="text1"/>
          <w:sz w:val="24"/>
          <w:szCs w:val="24"/>
        </w:rPr>
        <w:lastRenderedPageBreak/>
        <w:t>Acknowledgement</w:t>
      </w:r>
    </w:p>
    <w:p w14:paraId="245EE3E0" w14:textId="5B06819A" w:rsidR="00AD600C" w:rsidRDefault="00AD600C" w:rsidP="00AD600C">
      <w:pPr>
        <w:spacing w:after="0" w:line="360" w:lineRule="auto"/>
        <w:contextualSpacing/>
        <w:jc w:val="thaiDistribute"/>
        <w:rPr>
          <w:rFonts w:ascii="Arial" w:hAnsi="Arial"/>
          <w:color w:val="000000" w:themeColor="text1"/>
          <w:sz w:val="24"/>
          <w:szCs w:val="24"/>
        </w:rPr>
      </w:pPr>
      <w:r w:rsidRPr="00AD600C">
        <w:rPr>
          <w:rFonts w:ascii="Arial" w:hAnsi="Arial"/>
          <w:color w:val="000000" w:themeColor="text1"/>
          <w:sz w:val="24"/>
          <w:szCs w:val="24"/>
        </w:rPr>
        <w:t>The author gratefully acknowledges the Department of Marine and Coastal Resources (DMCR) for serving as the National Coordinator for Thailand. Sincere appreciation is extended to the regional team for their technical guidance, and to all experts and stakeholders for their contributions to the completion of this National Transboundary Diagnostic Analysis.</w:t>
      </w:r>
    </w:p>
    <w:p w14:paraId="7CC3E742" w14:textId="77777777" w:rsidR="00AD600C" w:rsidRDefault="00AD600C" w:rsidP="00AD600C">
      <w:pPr>
        <w:spacing w:after="0" w:line="360" w:lineRule="auto"/>
        <w:contextualSpacing/>
        <w:jc w:val="thaiDistribute"/>
        <w:rPr>
          <w:rFonts w:ascii="Arial" w:hAnsi="Arial"/>
          <w:color w:val="000000" w:themeColor="text1"/>
          <w:sz w:val="24"/>
          <w:szCs w:val="24"/>
        </w:rPr>
      </w:pPr>
    </w:p>
    <w:p w14:paraId="5974C1CA" w14:textId="660E31A1" w:rsidR="00AD600C" w:rsidRPr="00AD600C" w:rsidRDefault="00AD600C" w:rsidP="00AD600C">
      <w:pPr>
        <w:spacing w:after="0" w:line="360" w:lineRule="auto"/>
        <w:contextualSpacing/>
        <w:jc w:val="thaiDistribute"/>
        <w:rPr>
          <w:rFonts w:ascii="Arial" w:hAnsi="Arial" w:hint="cs"/>
          <w:b/>
          <w:bCs/>
          <w:color w:val="000000" w:themeColor="text1"/>
          <w:sz w:val="24"/>
          <w:szCs w:val="24"/>
          <w:cs/>
        </w:rPr>
      </w:pPr>
      <w:r w:rsidRPr="00AD600C">
        <w:rPr>
          <w:rFonts w:ascii="Arial" w:hAnsi="Arial"/>
          <w:b/>
          <w:bCs/>
          <w:color w:val="000000" w:themeColor="text1"/>
          <w:sz w:val="24"/>
          <w:szCs w:val="24"/>
        </w:rPr>
        <w:t>Author contributions</w:t>
      </w:r>
    </w:p>
    <w:p w14:paraId="23E95A28" w14:textId="34CF1D34" w:rsidR="00AD600C" w:rsidRDefault="00507285" w:rsidP="00AD600C">
      <w:pPr>
        <w:spacing w:after="0" w:line="360" w:lineRule="auto"/>
        <w:contextualSpacing/>
        <w:jc w:val="thaiDistribute"/>
        <w:rPr>
          <w:rFonts w:ascii="Arial" w:hAnsi="Arial" w:hint="cs"/>
          <w:color w:val="000000" w:themeColor="text1"/>
          <w:sz w:val="24"/>
          <w:szCs w:val="24"/>
          <w:cs/>
        </w:rPr>
      </w:pPr>
      <w:r>
        <w:rPr>
          <w:rFonts w:ascii="Arial" w:hAnsi="Arial"/>
          <w:color w:val="000000" w:themeColor="text1"/>
          <w:sz w:val="24"/>
          <w:szCs w:val="24"/>
        </w:rPr>
        <w:t xml:space="preserve">Monissa Srisomwong: Data curation, </w:t>
      </w:r>
      <w:r w:rsidR="00326C70">
        <w:rPr>
          <w:rFonts w:ascii="Arial" w:hAnsi="Arial"/>
          <w:color w:val="000000" w:themeColor="text1"/>
          <w:sz w:val="24"/>
          <w:szCs w:val="24"/>
        </w:rPr>
        <w:t xml:space="preserve">formal analysis, methodology, visualization, writing-original draft, writing-review and editing, </w:t>
      </w:r>
    </w:p>
    <w:p w14:paraId="5B8869EA" w14:textId="77777777" w:rsidR="00507285" w:rsidRDefault="00507285" w:rsidP="00AD600C">
      <w:pPr>
        <w:spacing w:after="0" w:line="360" w:lineRule="auto"/>
        <w:contextualSpacing/>
        <w:jc w:val="thaiDistribute"/>
        <w:rPr>
          <w:rFonts w:ascii="Arial" w:hAnsi="Arial"/>
          <w:color w:val="000000" w:themeColor="text1"/>
          <w:sz w:val="24"/>
          <w:szCs w:val="24"/>
        </w:rPr>
      </w:pPr>
    </w:p>
    <w:p w14:paraId="170F2C8F" w14:textId="05845ED3" w:rsidR="00E75A83" w:rsidRPr="00B97B69" w:rsidRDefault="00E75A83" w:rsidP="00710A62">
      <w:pPr>
        <w:spacing w:after="0" w:line="360" w:lineRule="auto"/>
        <w:contextualSpacing/>
        <w:rPr>
          <w:rFonts w:ascii="Arial" w:hAnsi="Arial" w:cs="Arial"/>
          <w:b/>
          <w:bCs/>
          <w:color w:val="000000" w:themeColor="text1"/>
          <w:sz w:val="24"/>
          <w:szCs w:val="24"/>
        </w:rPr>
      </w:pPr>
      <w:r w:rsidRPr="00B97B69">
        <w:rPr>
          <w:rFonts w:ascii="Arial" w:hAnsi="Arial" w:cs="Arial"/>
          <w:b/>
          <w:bCs/>
          <w:color w:val="000000" w:themeColor="text1"/>
          <w:sz w:val="24"/>
          <w:szCs w:val="24"/>
        </w:rPr>
        <w:t>References</w:t>
      </w:r>
    </w:p>
    <w:p w14:paraId="20BEAE39" w14:textId="62DC7DB2" w:rsidR="002E7079" w:rsidRDefault="002E7079" w:rsidP="00F843AD">
      <w:pPr>
        <w:spacing w:after="0" w:line="360" w:lineRule="auto"/>
        <w:contextualSpacing/>
        <w:rPr>
          <w:rFonts w:ascii="Arial" w:hAnsi="Arial"/>
          <w:color w:val="000000" w:themeColor="text1"/>
          <w:sz w:val="24"/>
          <w:szCs w:val="24"/>
        </w:rPr>
      </w:pPr>
      <w:r w:rsidRPr="002E7079">
        <w:rPr>
          <w:rFonts w:ascii="Arial" w:hAnsi="Arial" w:cs="Arial"/>
          <w:color w:val="000000" w:themeColor="text1"/>
          <w:sz w:val="24"/>
          <w:szCs w:val="24"/>
        </w:rPr>
        <w:t xml:space="preserve">Department of Climate Change and Environment (DCCE), 2023. </w:t>
      </w:r>
      <w:r w:rsidRPr="002E7079">
        <w:rPr>
          <w:rFonts w:ascii="Arial" w:hAnsi="Arial" w:cs="Arial"/>
          <w:i/>
          <w:iCs/>
          <w:color w:val="000000" w:themeColor="text1"/>
          <w:sz w:val="24"/>
          <w:szCs w:val="24"/>
        </w:rPr>
        <w:t>5-Year Action Plan (2023-2027)</w:t>
      </w:r>
      <w:r w:rsidRPr="002E7079">
        <w:rPr>
          <w:rFonts w:ascii="Arial" w:hAnsi="Arial" w:cs="Arial"/>
          <w:color w:val="000000" w:themeColor="text1"/>
          <w:sz w:val="24"/>
          <w:szCs w:val="24"/>
        </w:rPr>
        <w:t xml:space="preserve">. Ministry of Natural Resources and Environment, Thailand. </w:t>
      </w:r>
      <w:hyperlink r:id="rId75" w:tgtFrame="_blank" w:history="1">
        <w:r w:rsidRPr="002E7079">
          <w:rPr>
            <w:rStyle w:val="Hyperlink"/>
            <w:rFonts w:ascii="Arial" w:hAnsi="Arial" w:cs="Arial"/>
            <w:sz w:val="24"/>
            <w:szCs w:val="24"/>
          </w:rPr>
          <w:t>https://www.dcce.go.th/</w:t>
        </w:r>
      </w:hyperlink>
      <w:r w:rsidRPr="002E7079">
        <w:rPr>
          <w:rFonts w:ascii="Arial" w:hAnsi="Arial" w:cs="Arial"/>
          <w:color w:val="000000" w:themeColor="text1"/>
          <w:sz w:val="24"/>
          <w:szCs w:val="24"/>
        </w:rPr>
        <w:t xml:space="preserve"> (accessed </w:t>
      </w:r>
      <w:r>
        <w:rPr>
          <w:rFonts w:ascii="Arial" w:hAnsi="Arial"/>
          <w:color w:val="000000" w:themeColor="text1"/>
          <w:sz w:val="24"/>
          <w:szCs w:val="24"/>
        </w:rPr>
        <w:t>5 November 2025</w:t>
      </w:r>
      <w:r w:rsidRPr="002E7079">
        <w:rPr>
          <w:rFonts w:ascii="Arial" w:hAnsi="Arial" w:cs="Arial"/>
          <w:color w:val="000000" w:themeColor="text1"/>
          <w:sz w:val="24"/>
          <w:szCs w:val="24"/>
        </w:rPr>
        <w:t>).</w:t>
      </w:r>
    </w:p>
    <w:p w14:paraId="01FE1CE8" w14:textId="77777777" w:rsidR="00F843AD" w:rsidRDefault="00F843AD" w:rsidP="000351D5">
      <w:pPr>
        <w:spacing w:after="0" w:line="360" w:lineRule="auto"/>
        <w:ind w:left="709" w:hanging="709"/>
        <w:contextualSpacing/>
        <w:rPr>
          <w:rFonts w:ascii="Arial" w:hAnsi="Arial" w:cs="Arial"/>
          <w:color w:val="000000" w:themeColor="text1"/>
          <w:sz w:val="24"/>
          <w:szCs w:val="24"/>
        </w:rPr>
      </w:pPr>
    </w:p>
    <w:p w14:paraId="69B63F1B" w14:textId="538A76D8" w:rsidR="000351D5" w:rsidRPr="00B97B69" w:rsidRDefault="000351D5" w:rsidP="00F843AD">
      <w:pP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Department of Provincial Administration</w:t>
      </w:r>
      <w:r w:rsidR="004032CD">
        <w:rPr>
          <w:rFonts w:ascii="Arial" w:hAnsi="Arial" w:cs="Browallia New"/>
          <w:color w:val="000000" w:themeColor="text1"/>
          <w:sz w:val="24"/>
          <w:szCs w:val="30"/>
        </w:rPr>
        <w:t>,</w:t>
      </w:r>
      <w:r w:rsidRPr="00B97B69">
        <w:rPr>
          <w:rFonts w:ascii="Arial" w:hAnsi="Arial" w:cs="Arial"/>
          <w:color w:val="000000" w:themeColor="text1"/>
          <w:sz w:val="24"/>
          <w:szCs w:val="24"/>
        </w:rPr>
        <w:t xml:space="preserve"> 2025. Official statistics registration systems. </w:t>
      </w:r>
      <w:hyperlink r:id="rId76" w:history="1">
        <w:r w:rsidRPr="00B97B69">
          <w:rPr>
            <w:rStyle w:val="Hyperlink"/>
            <w:rFonts w:ascii="Arial" w:hAnsi="Arial" w:cs="Arial"/>
            <w:color w:val="000000" w:themeColor="text1"/>
            <w:sz w:val="24"/>
            <w:szCs w:val="24"/>
          </w:rPr>
          <w:t>https://stat.bora.dopa.go.th/stat/statnew/statMenu/newStat/home.php</w:t>
        </w:r>
      </w:hyperlink>
      <w:r w:rsidRPr="00B97B69">
        <w:rPr>
          <w:rFonts w:ascii="Arial" w:hAnsi="Arial" w:cs="Arial"/>
          <w:color w:val="000000" w:themeColor="text1"/>
          <w:sz w:val="24"/>
          <w:szCs w:val="24"/>
        </w:rPr>
        <w:t xml:space="preserve"> (accessed 19 April 2025).</w:t>
      </w:r>
    </w:p>
    <w:p w14:paraId="4110CC5D" w14:textId="77777777" w:rsidR="00F843AD" w:rsidRDefault="00F843AD" w:rsidP="00C35D4B">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5785EAF0" w14:textId="472066B3" w:rsidR="00C35D4B" w:rsidRPr="00B97B69" w:rsidRDefault="00C35D4B" w:rsidP="00F843AD">
      <w:pPr>
        <w:pBdr>
          <w:top w:val="nil"/>
          <w:left w:val="nil"/>
          <w:bottom w:val="nil"/>
          <w:right w:val="nil"/>
          <w:between w:val="nil"/>
        </w:pBdr>
        <w:spacing w:after="0" w:line="360" w:lineRule="auto"/>
        <w:contextualSpacing/>
        <w:rPr>
          <w:rFonts w:ascii="Arial" w:hAnsi="Arial"/>
          <w:color w:val="000000" w:themeColor="text1"/>
          <w:sz w:val="24"/>
          <w:szCs w:val="24"/>
        </w:rPr>
      </w:pPr>
      <w:r w:rsidRPr="00B97B69">
        <w:rPr>
          <w:rFonts w:ascii="Arial" w:hAnsi="Arial" w:cs="Arial"/>
          <w:color w:val="000000" w:themeColor="text1"/>
          <w:sz w:val="24"/>
          <w:szCs w:val="24"/>
        </w:rPr>
        <w:t>EEA</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1999. </w:t>
      </w:r>
      <w:r w:rsidRPr="00B97B69">
        <w:rPr>
          <w:rFonts w:ascii="Arial" w:hAnsi="Arial" w:cs="Arial"/>
          <w:i/>
          <w:iCs/>
          <w:color w:val="000000" w:themeColor="text1"/>
          <w:sz w:val="24"/>
          <w:szCs w:val="24"/>
        </w:rPr>
        <w:t>Environmental indicators: Typology and terminology</w:t>
      </w:r>
      <w:r w:rsidRPr="00B97B69">
        <w:rPr>
          <w:rFonts w:ascii="Arial" w:hAnsi="Arial" w:cs="Arial"/>
          <w:color w:val="000000" w:themeColor="text1"/>
          <w:sz w:val="24"/>
          <w:szCs w:val="24"/>
        </w:rPr>
        <w:t xml:space="preserve">. EEA Technical report No 25. </w:t>
      </w:r>
      <w:hyperlink r:id="rId77" w:tgtFrame="_blank" w:history="1">
        <w:r w:rsidRPr="00B97B69">
          <w:rPr>
            <w:rStyle w:val="Hyperlink"/>
            <w:rFonts w:ascii="Arial" w:hAnsi="Arial" w:cs="Arial"/>
            <w:sz w:val="24"/>
            <w:szCs w:val="24"/>
          </w:rPr>
          <w:t>https://www.eea.europa.eu/publications/TEC25</w:t>
        </w:r>
      </w:hyperlink>
      <w:r w:rsidRPr="00B97B69">
        <w:rPr>
          <w:rFonts w:ascii="Arial" w:hAnsi="Arial" w:cs="Arial"/>
          <w:color w:val="000000" w:themeColor="text1"/>
          <w:sz w:val="24"/>
          <w:szCs w:val="24"/>
        </w:rPr>
        <w:t xml:space="preserve"> (</w:t>
      </w:r>
      <w:r w:rsidRPr="00B97B69">
        <w:rPr>
          <w:rFonts w:ascii="Arial" w:hAnsi="Arial" w:cs="Browallia New"/>
          <w:color w:val="000000" w:themeColor="text1"/>
          <w:sz w:val="24"/>
          <w:szCs w:val="30"/>
        </w:rPr>
        <w:t>a</w:t>
      </w:r>
      <w:r w:rsidRPr="00B97B69">
        <w:rPr>
          <w:rFonts w:ascii="Arial" w:hAnsi="Arial" w:cs="Arial"/>
          <w:color w:val="000000" w:themeColor="text1"/>
          <w:sz w:val="24"/>
          <w:szCs w:val="24"/>
        </w:rPr>
        <w:t>ccessed 27 November 2025).</w:t>
      </w:r>
    </w:p>
    <w:p w14:paraId="1DC0BD82" w14:textId="77777777" w:rsidR="00F843AD" w:rsidRDefault="00F843AD" w:rsidP="000351D5">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0F9FD6D0" w14:textId="36C0CE8D" w:rsidR="000351D5" w:rsidRPr="00B97B69" w:rsidRDefault="000351D5" w:rsidP="000351D5">
      <w:pPr>
        <w:pBdr>
          <w:top w:val="nil"/>
          <w:left w:val="nil"/>
          <w:bottom w:val="nil"/>
          <w:right w:val="nil"/>
          <w:between w:val="nil"/>
        </w:pBdr>
        <w:spacing w:after="0" w:line="360" w:lineRule="auto"/>
        <w:ind w:left="709" w:hanging="709"/>
        <w:contextualSpacing/>
        <w:rPr>
          <w:rFonts w:ascii="Arial" w:hAnsi="Arial"/>
          <w:color w:val="000000" w:themeColor="text1"/>
          <w:sz w:val="24"/>
          <w:szCs w:val="24"/>
        </w:rPr>
      </w:pPr>
      <w:r w:rsidRPr="00B97B69">
        <w:rPr>
          <w:rFonts w:ascii="Arial" w:hAnsi="Arial" w:cs="Arial"/>
          <w:color w:val="000000" w:themeColor="text1"/>
          <w:sz w:val="24"/>
          <w:szCs w:val="24"/>
        </w:rPr>
        <w:t xml:space="preserve">EM-DAT, CRED / </w:t>
      </w:r>
      <w:proofErr w:type="spellStart"/>
      <w:r w:rsidRPr="00B97B69">
        <w:rPr>
          <w:rFonts w:ascii="Arial" w:hAnsi="Arial" w:cs="Arial"/>
          <w:color w:val="000000" w:themeColor="text1"/>
          <w:sz w:val="24"/>
          <w:szCs w:val="24"/>
        </w:rPr>
        <w:t>UCLouvain</w:t>
      </w:r>
      <w:proofErr w:type="spellEnd"/>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w:t>
      </w:r>
      <w:hyperlink r:id="rId78" w:history="1">
        <w:r w:rsidRPr="00B97B69">
          <w:rPr>
            <w:rStyle w:val="Hyperlink"/>
            <w:rFonts w:ascii="Arial" w:hAnsi="Arial" w:cs="Arial"/>
            <w:color w:val="000000" w:themeColor="text1"/>
            <w:sz w:val="24"/>
            <w:szCs w:val="24"/>
          </w:rPr>
          <w:t>www.emdat.be</w:t>
        </w:r>
      </w:hyperlink>
      <w:r w:rsidRPr="00B97B69">
        <w:rPr>
          <w:rFonts w:ascii="Arial" w:hAnsi="Arial" w:cs="Arial"/>
          <w:color w:val="000000" w:themeColor="text1"/>
          <w:sz w:val="24"/>
          <w:szCs w:val="24"/>
        </w:rPr>
        <w:t xml:space="preserve"> (accessed 25 Jun 2025)</w:t>
      </w:r>
    </w:p>
    <w:p w14:paraId="69B78CF9" w14:textId="77777777" w:rsidR="00F843AD" w:rsidRDefault="00F843AD" w:rsidP="00C35D4B">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6059CA43" w14:textId="0632E63E" w:rsidR="00C35D4B" w:rsidRPr="00B97B69" w:rsidRDefault="00C35D4B" w:rsidP="00F843AD">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FAO</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2018. </w:t>
      </w:r>
      <w:r w:rsidRPr="00B97B69">
        <w:rPr>
          <w:rFonts w:ascii="Arial" w:hAnsi="Arial" w:cs="Arial"/>
          <w:i/>
          <w:iCs/>
          <w:color w:val="000000" w:themeColor="text1"/>
          <w:sz w:val="24"/>
          <w:szCs w:val="24"/>
        </w:rPr>
        <w:t>The State of World Fisheries and Aquaculture 2018 - Meeting the sustainable development goals</w:t>
      </w:r>
      <w:r w:rsidRPr="00B97B69">
        <w:rPr>
          <w:rFonts w:ascii="Arial" w:hAnsi="Arial" w:cs="Arial"/>
          <w:color w:val="000000" w:themeColor="text1"/>
          <w:sz w:val="24"/>
          <w:szCs w:val="24"/>
        </w:rPr>
        <w:t xml:space="preserve">. Rome. </w:t>
      </w:r>
      <w:hyperlink r:id="rId79" w:tgtFrame="_blank" w:history="1">
        <w:r w:rsidRPr="00B97B69">
          <w:rPr>
            <w:rStyle w:val="Hyperlink"/>
            <w:rFonts w:ascii="Arial" w:hAnsi="Arial" w:cs="Arial"/>
            <w:sz w:val="24"/>
            <w:szCs w:val="24"/>
          </w:rPr>
          <w:t>https://www.fao.org/3/i9540en/i9540en.pdf</w:t>
        </w:r>
      </w:hyperlink>
      <w:r w:rsidRPr="00B97B69">
        <w:rPr>
          <w:rFonts w:ascii="Arial" w:hAnsi="Arial" w:cs="Arial"/>
          <w:color w:val="000000" w:themeColor="text1"/>
          <w:sz w:val="24"/>
          <w:szCs w:val="24"/>
        </w:rPr>
        <w:t xml:space="preserve"> (accessed [Accessed Date]).</w:t>
      </w:r>
    </w:p>
    <w:p w14:paraId="544EB0A7" w14:textId="77777777" w:rsidR="00F843AD" w:rsidRDefault="00F843AD" w:rsidP="000351D5">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0200AFED" w14:textId="448242EF" w:rsidR="000351D5" w:rsidRPr="00B97B69" w:rsidRDefault="000351D5" w:rsidP="00F843AD">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FAO</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Sustainable fisheries as a proportion of GDP. </w:t>
      </w:r>
      <w:hyperlink r:id="rId80" w:history="1">
        <w:r w:rsidRPr="00B97B69">
          <w:rPr>
            <w:rStyle w:val="Hyperlink"/>
            <w:rFonts w:ascii="Arial" w:hAnsi="Arial" w:cs="Arial"/>
            <w:color w:val="000000" w:themeColor="text1"/>
            <w:sz w:val="24"/>
            <w:szCs w:val="24"/>
          </w:rPr>
          <w:t>https://de-public-statsuite.fao.org/</w:t>
        </w:r>
      </w:hyperlink>
      <w:r w:rsidRPr="00B97B69">
        <w:rPr>
          <w:rFonts w:ascii="Arial" w:hAnsi="Arial" w:cs="Arial"/>
          <w:color w:val="000000" w:themeColor="text1"/>
          <w:sz w:val="24"/>
          <w:szCs w:val="24"/>
        </w:rPr>
        <w:t xml:space="preserve"> (ac</w:t>
      </w:r>
      <w:r w:rsidR="00055AA7">
        <w:rPr>
          <w:rFonts w:ascii="Arial" w:hAnsi="Arial" w:cs="Arial"/>
          <w:color w:val="000000" w:themeColor="text1"/>
          <w:sz w:val="24"/>
          <w:szCs w:val="24"/>
        </w:rPr>
        <w:t>c</w:t>
      </w:r>
      <w:r w:rsidRPr="00B97B69">
        <w:rPr>
          <w:rFonts w:ascii="Arial" w:hAnsi="Arial" w:cs="Arial"/>
          <w:color w:val="000000" w:themeColor="text1"/>
          <w:sz w:val="24"/>
          <w:szCs w:val="24"/>
        </w:rPr>
        <w:t>essed 25 June 2025).</w:t>
      </w:r>
    </w:p>
    <w:p w14:paraId="0793B0F4" w14:textId="77777777" w:rsidR="00F843AD" w:rsidRDefault="00F843AD" w:rsidP="00C35D4B">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24063B34" w14:textId="600A560A" w:rsidR="00C35D4B" w:rsidRPr="00B97B69" w:rsidRDefault="00C35D4B" w:rsidP="00F843AD">
      <w:pPr>
        <w:pBdr>
          <w:top w:val="nil"/>
          <w:left w:val="nil"/>
          <w:bottom w:val="nil"/>
          <w:right w:val="nil"/>
          <w:between w:val="nil"/>
        </w:pBdr>
        <w:spacing w:after="0" w:line="360" w:lineRule="auto"/>
        <w:contextualSpacing/>
        <w:rPr>
          <w:rFonts w:ascii="Arial" w:hAnsi="Arial"/>
          <w:color w:val="000000" w:themeColor="text1"/>
          <w:sz w:val="24"/>
          <w:szCs w:val="24"/>
        </w:rPr>
      </w:pPr>
      <w:r w:rsidRPr="00B97B69">
        <w:rPr>
          <w:rFonts w:ascii="Arial" w:hAnsi="Arial" w:cs="Arial"/>
          <w:color w:val="000000" w:themeColor="text1"/>
          <w:sz w:val="24"/>
          <w:szCs w:val="24"/>
        </w:rPr>
        <w:lastRenderedPageBreak/>
        <w:t xml:space="preserve">Kristensen, P., 2004. </w:t>
      </w:r>
      <w:r w:rsidRPr="00B97B69">
        <w:rPr>
          <w:rFonts w:ascii="Arial" w:hAnsi="Arial" w:cs="Arial"/>
          <w:i/>
          <w:iCs/>
          <w:color w:val="000000" w:themeColor="text1"/>
          <w:sz w:val="24"/>
          <w:szCs w:val="24"/>
        </w:rPr>
        <w:t>The DPSIR Framework</w:t>
      </w:r>
      <w:r w:rsidRPr="00B97B69">
        <w:rPr>
          <w:rFonts w:ascii="Arial" w:hAnsi="Arial" w:cs="Arial"/>
          <w:color w:val="000000" w:themeColor="text1"/>
          <w:sz w:val="24"/>
          <w:szCs w:val="24"/>
        </w:rPr>
        <w:t xml:space="preserve">. Paper presented at the 27-29 September 2004 workshop on a comprehensive/detailed assessment of the vulnerability of water resources to environmental change in Africa using </w:t>
      </w:r>
      <w:proofErr w:type="gramStart"/>
      <w:r w:rsidRPr="00B97B69">
        <w:rPr>
          <w:rFonts w:ascii="Arial" w:hAnsi="Arial" w:cs="Arial"/>
          <w:color w:val="000000" w:themeColor="text1"/>
          <w:sz w:val="24"/>
          <w:szCs w:val="24"/>
        </w:rPr>
        <w:t>indicator based</w:t>
      </w:r>
      <w:proofErr w:type="gramEnd"/>
      <w:r w:rsidRPr="00B97B69">
        <w:rPr>
          <w:rFonts w:ascii="Arial" w:hAnsi="Arial" w:cs="Arial"/>
          <w:color w:val="000000" w:themeColor="text1"/>
          <w:sz w:val="24"/>
          <w:szCs w:val="24"/>
        </w:rPr>
        <w:t xml:space="preserve"> methods, UNEP. </w:t>
      </w:r>
      <w:hyperlink r:id="rId81" w:tgtFrame="_blank" w:history="1">
        <w:r w:rsidRPr="00B97B69">
          <w:rPr>
            <w:rStyle w:val="Hyperlink"/>
            <w:rFonts w:ascii="Arial" w:hAnsi="Arial" w:cs="Arial"/>
            <w:sz w:val="24"/>
            <w:szCs w:val="24"/>
          </w:rPr>
          <w:t>https://dce-fs-live-dce.it.au.dk/filarkiv/89/AR_89.pdf</w:t>
        </w:r>
      </w:hyperlink>
      <w:r w:rsidRPr="00B97B69">
        <w:rPr>
          <w:rFonts w:ascii="Arial" w:hAnsi="Arial" w:cs="Arial"/>
          <w:color w:val="000000" w:themeColor="text1"/>
          <w:sz w:val="24"/>
          <w:szCs w:val="24"/>
        </w:rPr>
        <w:t xml:space="preserve">  (</w:t>
      </w:r>
      <w:r w:rsidRPr="00B97B69">
        <w:rPr>
          <w:rFonts w:ascii="Arial" w:hAnsi="Arial" w:cs="Browallia New"/>
          <w:color w:val="000000" w:themeColor="text1"/>
          <w:sz w:val="24"/>
          <w:szCs w:val="30"/>
        </w:rPr>
        <w:t>a</w:t>
      </w:r>
      <w:r w:rsidRPr="00B97B69">
        <w:rPr>
          <w:rFonts w:ascii="Arial" w:hAnsi="Arial" w:cs="Arial"/>
          <w:color w:val="000000" w:themeColor="text1"/>
          <w:sz w:val="24"/>
          <w:szCs w:val="24"/>
        </w:rPr>
        <w:t>ccessed 27 November 2025).</w:t>
      </w:r>
    </w:p>
    <w:p w14:paraId="49389E08" w14:textId="77777777" w:rsidR="00F843AD" w:rsidRDefault="00F843AD" w:rsidP="00C35D4B">
      <w:pPr>
        <w:spacing w:after="0" w:line="360" w:lineRule="auto"/>
        <w:ind w:left="709" w:hanging="709"/>
        <w:contextualSpacing/>
        <w:rPr>
          <w:rFonts w:ascii="Arial" w:hAnsi="Arial" w:cs="Arial"/>
          <w:color w:val="000000" w:themeColor="text1"/>
          <w:sz w:val="24"/>
          <w:szCs w:val="24"/>
        </w:rPr>
      </w:pPr>
    </w:p>
    <w:p w14:paraId="1E19F11D" w14:textId="2F4A1C9E" w:rsidR="00C35D4B" w:rsidRPr="00B97B69" w:rsidRDefault="00C35D4B" w:rsidP="00F843AD">
      <w:pP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Liu, J., Daily, G.C., Ehrlich, P.R.</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Luck, G.W., 2003. Effects of household dynamics on resource consumption and biodiversity. </w:t>
      </w:r>
      <w:r w:rsidRPr="00B97B69">
        <w:rPr>
          <w:rFonts w:ascii="Arial" w:hAnsi="Arial" w:cs="Arial"/>
          <w:i/>
          <w:iCs/>
          <w:color w:val="000000" w:themeColor="text1"/>
          <w:sz w:val="24"/>
          <w:szCs w:val="24"/>
        </w:rPr>
        <w:t>Nature</w:t>
      </w:r>
      <w:r w:rsidRPr="00B97B69">
        <w:rPr>
          <w:rFonts w:ascii="Arial" w:hAnsi="Arial" w:cs="Arial"/>
          <w:color w:val="000000" w:themeColor="text1"/>
          <w:sz w:val="24"/>
          <w:szCs w:val="24"/>
        </w:rPr>
        <w:t xml:space="preserve">, 421(6922), pp.530-533. </w:t>
      </w:r>
      <w:hyperlink r:id="rId82" w:tgtFrame="_blank" w:history="1">
        <w:r w:rsidRPr="00B97B69">
          <w:rPr>
            <w:rStyle w:val="Hyperlink"/>
            <w:rFonts w:ascii="Arial" w:hAnsi="Arial" w:cs="Arial"/>
            <w:sz w:val="24"/>
            <w:szCs w:val="24"/>
          </w:rPr>
          <w:t>https://www.nature.com/articles/nature01359</w:t>
        </w:r>
      </w:hyperlink>
      <w:r w:rsidRPr="00B97B69">
        <w:rPr>
          <w:rFonts w:ascii="Arial" w:hAnsi="Arial" w:cs="Arial"/>
          <w:color w:val="000000" w:themeColor="text1"/>
          <w:sz w:val="24"/>
          <w:szCs w:val="24"/>
        </w:rPr>
        <w:t xml:space="preserve"> (accessed 19 April 2025).</w:t>
      </w:r>
    </w:p>
    <w:p w14:paraId="5B7A729D" w14:textId="77777777" w:rsidR="00F843AD" w:rsidRDefault="00F843AD" w:rsidP="000351D5">
      <w:pPr>
        <w:spacing w:after="0" w:line="360" w:lineRule="auto"/>
        <w:ind w:left="709" w:hanging="709"/>
        <w:contextualSpacing/>
        <w:jc w:val="thaiDistribute"/>
        <w:rPr>
          <w:rFonts w:ascii="Arial" w:hAnsi="Arial" w:cs="Arial"/>
          <w:color w:val="000000" w:themeColor="text1"/>
          <w:sz w:val="24"/>
          <w:szCs w:val="24"/>
        </w:rPr>
      </w:pPr>
    </w:p>
    <w:p w14:paraId="6F69B9B6" w14:textId="3F0FC80D" w:rsidR="000351D5" w:rsidRPr="00B97B69" w:rsidRDefault="000351D5" w:rsidP="00F843AD">
      <w:pPr>
        <w:spacing w:after="0" w:line="360" w:lineRule="auto"/>
        <w:contextualSpacing/>
        <w:jc w:val="thaiDistribute"/>
        <w:rPr>
          <w:rFonts w:ascii="Arial" w:hAnsi="Arial" w:cs="Arial"/>
          <w:color w:val="000000" w:themeColor="text1"/>
          <w:sz w:val="24"/>
          <w:szCs w:val="24"/>
        </w:rPr>
      </w:pPr>
      <w:r w:rsidRPr="00B97B69">
        <w:rPr>
          <w:rFonts w:ascii="Arial" w:hAnsi="Arial" w:cs="Arial"/>
          <w:color w:val="000000" w:themeColor="text1"/>
          <w:sz w:val="24"/>
          <w:szCs w:val="24"/>
        </w:rPr>
        <w:t>National Economic and Social Development Council (NESDC)</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2019. </w:t>
      </w:r>
      <w:r w:rsidRPr="00B97B69">
        <w:rPr>
          <w:rFonts w:ascii="Arial" w:hAnsi="Arial" w:cs="Arial"/>
          <w:i/>
          <w:iCs/>
          <w:color w:val="000000" w:themeColor="text1"/>
          <w:sz w:val="24"/>
          <w:szCs w:val="24"/>
        </w:rPr>
        <w:t>Study report on assumptions for population projections of Thailand, 2010–2040 (Revised edition).</w:t>
      </w:r>
      <w:r w:rsidRPr="00B97B69">
        <w:rPr>
          <w:rFonts w:ascii="Arial" w:hAnsi="Arial" w:cs="Arial"/>
          <w:color w:val="000000" w:themeColor="text1"/>
          <w:sz w:val="24"/>
          <w:szCs w:val="24"/>
        </w:rPr>
        <w:t xml:space="preserve"> Bangkok: Office of the National Economic and Social Development Council. (in Thai).</w:t>
      </w:r>
    </w:p>
    <w:p w14:paraId="283AA1D8" w14:textId="77777777" w:rsidR="00F843AD" w:rsidRDefault="00F843AD" w:rsidP="000351D5">
      <w:pPr>
        <w:pBdr>
          <w:top w:val="nil"/>
          <w:left w:val="nil"/>
          <w:bottom w:val="nil"/>
          <w:right w:val="nil"/>
          <w:between w:val="nil"/>
        </w:pBdr>
        <w:spacing w:after="0" w:line="360" w:lineRule="auto"/>
        <w:ind w:left="709" w:hanging="709"/>
        <w:contextualSpacing/>
        <w:jc w:val="both"/>
        <w:rPr>
          <w:rFonts w:ascii="Arial" w:hAnsi="Arial" w:cs="Arial"/>
          <w:color w:val="000000" w:themeColor="text1"/>
          <w:sz w:val="24"/>
          <w:szCs w:val="24"/>
        </w:rPr>
      </w:pPr>
    </w:p>
    <w:p w14:paraId="4606782D" w14:textId="1E43C072" w:rsidR="000351D5" w:rsidRPr="00B97B69" w:rsidRDefault="000351D5" w:rsidP="00F843AD">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B97B69">
        <w:rPr>
          <w:rFonts w:ascii="Arial" w:hAnsi="Arial" w:cs="Arial"/>
          <w:color w:val="000000" w:themeColor="text1"/>
          <w:sz w:val="24"/>
          <w:szCs w:val="24"/>
        </w:rPr>
        <w:t>OECD Data Explorer</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Land cover and land change. </w:t>
      </w:r>
      <w:hyperlink r:id="rId83" w:history="1">
        <w:r w:rsidRPr="00B97B69">
          <w:rPr>
            <w:rStyle w:val="Hyperlink"/>
            <w:rFonts w:ascii="Arial" w:hAnsi="Arial" w:cs="Arial"/>
            <w:color w:val="000000" w:themeColor="text1"/>
            <w:sz w:val="24"/>
            <w:szCs w:val="24"/>
          </w:rPr>
          <w:t>https://data-explorer.oecd.org/</w:t>
        </w:r>
      </w:hyperlink>
      <w:r w:rsidRPr="00B97B69">
        <w:rPr>
          <w:rFonts w:ascii="Arial" w:hAnsi="Arial" w:cs="Arial"/>
          <w:color w:val="000000" w:themeColor="text1"/>
          <w:sz w:val="24"/>
          <w:szCs w:val="24"/>
        </w:rPr>
        <w:t xml:space="preserve"> (accessed 25 May 2025).</w:t>
      </w:r>
    </w:p>
    <w:p w14:paraId="0D91B150" w14:textId="77777777" w:rsidR="00F843AD" w:rsidRDefault="00F843AD" w:rsidP="000351D5">
      <w:pPr>
        <w:pBdr>
          <w:top w:val="nil"/>
          <w:left w:val="nil"/>
          <w:bottom w:val="nil"/>
          <w:right w:val="nil"/>
          <w:between w:val="nil"/>
        </w:pBdr>
        <w:spacing w:after="0" w:line="360" w:lineRule="auto"/>
        <w:ind w:left="709" w:hanging="709"/>
        <w:contextualSpacing/>
        <w:rPr>
          <w:rFonts w:ascii="Arial" w:hAnsi="Arial" w:cs="Arial"/>
          <w:color w:val="000000" w:themeColor="text1"/>
          <w:sz w:val="24"/>
          <w:szCs w:val="24"/>
        </w:rPr>
      </w:pPr>
    </w:p>
    <w:p w14:paraId="70B65731" w14:textId="045009B9" w:rsidR="000351D5" w:rsidRPr="00B97B69" w:rsidRDefault="000351D5" w:rsidP="00F843AD">
      <w:pPr>
        <w:pBdr>
          <w:top w:val="nil"/>
          <w:left w:val="nil"/>
          <w:bottom w:val="nil"/>
          <w:right w:val="nil"/>
          <w:between w:val="nil"/>
        </w:pBd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Office of the National Economic and Social Development Council</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GDP. </w:t>
      </w:r>
      <w:hyperlink r:id="rId84" w:history="1">
        <w:r w:rsidRPr="00B97B69">
          <w:rPr>
            <w:rStyle w:val="Hyperlink"/>
            <w:rFonts w:ascii="Arial" w:hAnsi="Arial" w:cs="Arial"/>
            <w:color w:val="000000" w:themeColor="text1"/>
            <w:sz w:val="24"/>
            <w:szCs w:val="24"/>
          </w:rPr>
          <w:t>https://www.nesdc.go.th/nesdb_en/more_news.php?cid=156&amp;filename=index</w:t>
        </w:r>
      </w:hyperlink>
      <w:r w:rsidRPr="00B97B69">
        <w:rPr>
          <w:rFonts w:ascii="Arial" w:hAnsi="Arial" w:cs="Arial"/>
          <w:color w:val="000000" w:themeColor="text1"/>
          <w:sz w:val="24"/>
          <w:szCs w:val="24"/>
        </w:rPr>
        <w:t xml:space="preserve"> (accessed 21 Apr 2025).</w:t>
      </w:r>
    </w:p>
    <w:p w14:paraId="3B39B45D" w14:textId="77777777" w:rsidR="00F843AD" w:rsidRDefault="00F843AD" w:rsidP="000351D5">
      <w:pPr>
        <w:pBdr>
          <w:top w:val="nil"/>
          <w:left w:val="nil"/>
          <w:bottom w:val="nil"/>
          <w:right w:val="nil"/>
          <w:between w:val="nil"/>
        </w:pBdr>
        <w:spacing w:after="0" w:line="360" w:lineRule="auto"/>
        <w:ind w:left="851" w:hanging="851"/>
        <w:contextualSpacing/>
        <w:jc w:val="both"/>
        <w:rPr>
          <w:rFonts w:ascii="Arial" w:hAnsi="Arial" w:cs="Arial"/>
          <w:color w:val="000000" w:themeColor="text1"/>
          <w:sz w:val="24"/>
          <w:szCs w:val="24"/>
        </w:rPr>
      </w:pPr>
    </w:p>
    <w:p w14:paraId="7CD5CDF9" w14:textId="77777777" w:rsidR="00F843AD" w:rsidRDefault="000351D5" w:rsidP="00F843AD">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B97B69">
        <w:rPr>
          <w:rFonts w:ascii="Arial" w:hAnsi="Arial" w:cs="Arial"/>
          <w:color w:val="000000" w:themeColor="text1"/>
          <w:sz w:val="24"/>
          <w:szCs w:val="24"/>
        </w:rPr>
        <w:t>Office of the National Economic and Social Development Council</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Household Socio-Economic Survey by the National Statistical Office; compiled by the Division of Social Data and Indicators Development, NESDC.</w:t>
      </w:r>
    </w:p>
    <w:p w14:paraId="1E3BF5DA" w14:textId="708A185E" w:rsidR="000351D5" w:rsidRPr="00B97B69" w:rsidRDefault="000351D5" w:rsidP="00F843AD">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r w:rsidRPr="00B97B69">
        <w:rPr>
          <w:rFonts w:ascii="Arial" w:hAnsi="Arial" w:cs="Arial"/>
          <w:color w:val="000000" w:themeColor="text1"/>
          <w:sz w:val="24"/>
          <w:szCs w:val="24"/>
        </w:rPr>
        <w:t xml:space="preserve"> </w:t>
      </w:r>
      <w:hyperlink r:id="rId85" w:history="1">
        <w:r w:rsidRPr="00B97B69">
          <w:rPr>
            <w:rStyle w:val="Hyperlink"/>
            <w:rFonts w:ascii="Arial" w:hAnsi="Arial" w:cs="Arial"/>
            <w:color w:val="000000" w:themeColor="text1"/>
            <w:sz w:val="24"/>
            <w:szCs w:val="24"/>
          </w:rPr>
          <w:t>https://www.nesdc.go.th/main.php?filename=social</w:t>
        </w:r>
      </w:hyperlink>
      <w:r w:rsidRPr="00B97B69">
        <w:rPr>
          <w:rFonts w:ascii="Arial" w:hAnsi="Arial" w:cs="Arial"/>
          <w:color w:val="000000" w:themeColor="text1"/>
          <w:sz w:val="24"/>
          <w:szCs w:val="24"/>
          <w:cs/>
        </w:rPr>
        <w:t xml:space="preserve"> </w:t>
      </w:r>
      <w:r w:rsidRPr="00B97B69">
        <w:rPr>
          <w:rFonts w:ascii="Arial" w:hAnsi="Arial" w:cs="Arial"/>
          <w:color w:val="000000" w:themeColor="text1"/>
          <w:sz w:val="24"/>
          <w:szCs w:val="24"/>
        </w:rPr>
        <w:t>(accessed 22 April 2025).</w:t>
      </w:r>
    </w:p>
    <w:p w14:paraId="466A213E" w14:textId="77777777" w:rsidR="00F843AD" w:rsidRDefault="00F843AD" w:rsidP="000351D5">
      <w:pPr>
        <w:spacing w:after="0" w:line="360" w:lineRule="auto"/>
        <w:ind w:left="851" w:hanging="851"/>
        <w:contextualSpacing/>
        <w:rPr>
          <w:rFonts w:ascii="Arial" w:hAnsi="Arial" w:cs="Arial"/>
          <w:color w:val="000000" w:themeColor="text1"/>
          <w:sz w:val="24"/>
          <w:szCs w:val="24"/>
        </w:rPr>
      </w:pPr>
    </w:p>
    <w:p w14:paraId="3BE0E929" w14:textId="2AA2E64F" w:rsidR="00FF4511" w:rsidRPr="00FF4511" w:rsidRDefault="00FF4511" w:rsidP="00F843AD">
      <w:pPr>
        <w:spacing w:after="0" w:line="360" w:lineRule="auto"/>
        <w:contextualSpacing/>
        <w:rPr>
          <w:rFonts w:ascii="Arial" w:hAnsi="Arial"/>
          <w:color w:val="000000" w:themeColor="text1"/>
          <w:sz w:val="24"/>
          <w:szCs w:val="24"/>
        </w:rPr>
      </w:pPr>
      <w:r w:rsidRPr="00FF4511">
        <w:rPr>
          <w:rFonts w:ascii="Arial" w:hAnsi="Arial" w:cs="Arial"/>
          <w:color w:val="000000" w:themeColor="text1"/>
          <w:sz w:val="24"/>
          <w:szCs w:val="24"/>
        </w:rPr>
        <w:t xml:space="preserve">Office of the National Economic and Social Development Council (NESDC), 2018. </w:t>
      </w:r>
      <w:r w:rsidRPr="00FF4511">
        <w:rPr>
          <w:rFonts w:ascii="Arial" w:hAnsi="Arial" w:cs="Arial"/>
          <w:i/>
          <w:iCs/>
          <w:color w:val="000000" w:themeColor="text1"/>
          <w:sz w:val="24"/>
          <w:szCs w:val="24"/>
        </w:rPr>
        <w:t>National Strategy (2018 - 2037)</w:t>
      </w:r>
      <w:r w:rsidRPr="00FF4511">
        <w:rPr>
          <w:rFonts w:ascii="Arial" w:hAnsi="Arial" w:cs="Arial"/>
          <w:color w:val="000000" w:themeColor="text1"/>
          <w:sz w:val="24"/>
          <w:szCs w:val="24"/>
        </w:rPr>
        <w:t xml:space="preserve">. </w:t>
      </w:r>
      <w:hyperlink r:id="rId86" w:tgtFrame="_blank" w:history="1">
        <w:r w:rsidRPr="00FF4511">
          <w:rPr>
            <w:rStyle w:val="Hyperlink"/>
            <w:rFonts w:ascii="Arial" w:hAnsi="Arial" w:cs="Arial"/>
            <w:sz w:val="24"/>
            <w:szCs w:val="24"/>
          </w:rPr>
          <w:t>https://faolex.fao.org/docs/pdf/tha200834.pdf</w:t>
        </w:r>
      </w:hyperlink>
      <w:r w:rsidRPr="00FF4511">
        <w:rPr>
          <w:rFonts w:ascii="Arial" w:hAnsi="Arial" w:cs="Arial"/>
          <w:color w:val="000000" w:themeColor="text1"/>
          <w:sz w:val="24"/>
          <w:szCs w:val="24"/>
        </w:rPr>
        <w:t xml:space="preserve"> (accessed </w:t>
      </w:r>
      <w:r>
        <w:rPr>
          <w:rFonts w:ascii="Arial" w:hAnsi="Arial" w:cs="Arial"/>
          <w:color w:val="000000" w:themeColor="text1"/>
          <w:sz w:val="24"/>
          <w:szCs w:val="24"/>
        </w:rPr>
        <w:t>5 November 2025).</w:t>
      </w:r>
    </w:p>
    <w:p w14:paraId="3F49A54F" w14:textId="77777777" w:rsidR="00F843AD" w:rsidRDefault="00F843AD" w:rsidP="000351D5">
      <w:pPr>
        <w:spacing w:after="0" w:line="360" w:lineRule="auto"/>
        <w:ind w:left="851" w:hanging="851"/>
        <w:contextualSpacing/>
        <w:rPr>
          <w:rFonts w:ascii="Arial" w:hAnsi="Arial" w:cs="Arial"/>
          <w:color w:val="000000" w:themeColor="text1"/>
          <w:sz w:val="24"/>
          <w:szCs w:val="24"/>
        </w:rPr>
      </w:pPr>
    </w:p>
    <w:p w14:paraId="4F663FB2" w14:textId="5F28E798" w:rsidR="00FF4511" w:rsidRDefault="00FF4511" w:rsidP="00F843AD">
      <w:pPr>
        <w:spacing w:after="0" w:line="360" w:lineRule="auto"/>
        <w:contextualSpacing/>
        <w:rPr>
          <w:rFonts w:ascii="Arial" w:hAnsi="Arial"/>
          <w:color w:val="000000" w:themeColor="text1"/>
          <w:sz w:val="24"/>
          <w:szCs w:val="24"/>
        </w:rPr>
      </w:pPr>
      <w:r w:rsidRPr="00FF4511">
        <w:rPr>
          <w:rFonts w:ascii="Arial" w:hAnsi="Arial" w:cs="Arial"/>
          <w:color w:val="000000" w:themeColor="text1"/>
          <w:sz w:val="24"/>
          <w:szCs w:val="24"/>
        </w:rPr>
        <w:t xml:space="preserve">Office of the National Economic and Social Development Council (NESDC), 2022. </w:t>
      </w:r>
      <w:r w:rsidRPr="00FF4511">
        <w:rPr>
          <w:rFonts w:ascii="Arial" w:hAnsi="Arial" w:cs="Arial"/>
          <w:i/>
          <w:iCs/>
          <w:color w:val="000000" w:themeColor="text1"/>
          <w:sz w:val="24"/>
          <w:szCs w:val="24"/>
        </w:rPr>
        <w:t>The Thirteenth National Economic and Social Development Plan (2023-2027)</w:t>
      </w:r>
      <w:r w:rsidRPr="00FF4511">
        <w:rPr>
          <w:rFonts w:ascii="Arial" w:hAnsi="Arial" w:cs="Arial"/>
          <w:color w:val="000000" w:themeColor="text1"/>
          <w:sz w:val="24"/>
          <w:szCs w:val="24"/>
        </w:rPr>
        <w:t xml:space="preserve">. </w:t>
      </w:r>
      <w:hyperlink r:id="rId87" w:tgtFrame="_blank" w:history="1">
        <w:r w:rsidRPr="00FF4511">
          <w:rPr>
            <w:rStyle w:val="Hyperlink"/>
            <w:rFonts w:ascii="Arial" w:hAnsi="Arial" w:cs="Arial"/>
            <w:sz w:val="24"/>
            <w:szCs w:val="24"/>
          </w:rPr>
          <w:t>https://www.nesdc.go.th/download/document/Socio-Economic/13th_Plan_Eng.pdf</w:t>
        </w:r>
      </w:hyperlink>
      <w:r w:rsidRPr="00FF4511">
        <w:rPr>
          <w:rFonts w:ascii="Arial" w:hAnsi="Arial" w:cs="Arial"/>
          <w:color w:val="000000" w:themeColor="text1"/>
          <w:sz w:val="24"/>
          <w:szCs w:val="24"/>
        </w:rPr>
        <w:t xml:space="preserve"> (accessed </w:t>
      </w:r>
      <w:r>
        <w:rPr>
          <w:rFonts w:ascii="Arial" w:hAnsi="Arial" w:cs="Arial"/>
          <w:color w:val="000000" w:themeColor="text1"/>
          <w:sz w:val="24"/>
          <w:szCs w:val="24"/>
        </w:rPr>
        <w:t>5 November 2025).</w:t>
      </w:r>
    </w:p>
    <w:p w14:paraId="526D2025" w14:textId="77777777" w:rsidR="00F843AD" w:rsidRDefault="00F843AD" w:rsidP="000351D5">
      <w:pPr>
        <w:spacing w:after="0" w:line="360" w:lineRule="auto"/>
        <w:ind w:left="851" w:hanging="851"/>
        <w:contextualSpacing/>
        <w:rPr>
          <w:rFonts w:ascii="Arial" w:hAnsi="Arial" w:cs="Arial"/>
          <w:color w:val="000000" w:themeColor="text1"/>
          <w:sz w:val="24"/>
          <w:szCs w:val="24"/>
        </w:rPr>
      </w:pPr>
    </w:p>
    <w:p w14:paraId="7D537A31" w14:textId="6DF10581" w:rsidR="000351D5" w:rsidRPr="00B97B69" w:rsidRDefault="000351D5" w:rsidP="00F843AD">
      <w:pP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Our World in Data</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2024.  Tourism’s contribution to GDP. </w:t>
      </w:r>
      <w:hyperlink r:id="rId88" w:tgtFrame="_blank" w:history="1">
        <w:r w:rsidRPr="00B97B69">
          <w:rPr>
            <w:rStyle w:val="Hyperlink"/>
            <w:rFonts w:ascii="Arial" w:hAnsi="Arial" w:cs="Arial"/>
            <w:color w:val="000000" w:themeColor="text1"/>
            <w:sz w:val="24"/>
            <w:szCs w:val="24"/>
          </w:rPr>
          <w:t>https://www.unwto.org/tourism-statistics/economic-contribution-SDG</w:t>
        </w:r>
      </w:hyperlink>
      <w:r w:rsidRPr="00B97B69">
        <w:rPr>
          <w:rFonts w:ascii="Arial" w:hAnsi="Arial" w:cs="Arial"/>
          <w:color w:val="000000" w:themeColor="text1"/>
          <w:sz w:val="24"/>
          <w:szCs w:val="24"/>
        </w:rPr>
        <w:t xml:space="preserve"> (accessed 25 June 2025).</w:t>
      </w:r>
    </w:p>
    <w:p w14:paraId="1B9F7B30" w14:textId="77777777" w:rsidR="00F843AD" w:rsidRDefault="00F843AD" w:rsidP="000351D5">
      <w:pPr>
        <w:pBdr>
          <w:top w:val="nil"/>
          <w:left w:val="nil"/>
          <w:bottom w:val="nil"/>
          <w:right w:val="nil"/>
          <w:between w:val="nil"/>
        </w:pBdr>
        <w:spacing w:after="0" w:line="360" w:lineRule="auto"/>
        <w:ind w:left="851" w:hanging="851"/>
        <w:contextualSpacing/>
        <w:jc w:val="both"/>
        <w:rPr>
          <w:rFonts w:ascii="Arial" w:hAnsi="Arial" w:cs="Arial"/>
          <w:color w:val="000000" w:themeColor="text1"/>
          <w:sz w:val="24"/>
          <w:szCs w:val="24"/>
        </w:rPr>
      </w:pPr>
    </w:p>
    <w:p w14:paraId="0683AD61" w14:textId="49213FF5" w:rsidR="000351D5" w:rsidRPr="00B97B69" w:rsidRDefault="000351D5" w:rsidP="00F843AD">
      <w:pPr>
        <w:pBdr>
          <w:top w:val="nil"/>
          <w:left w:val="nil"/>
          <w:bottom w:val="nil"/>
          <w:right w:val="nil"/>
          <w:between w:val="nil"/>
        </w:pBdr>
        <w:spacing w:after="0" w:line="360" w:lineRule="auto"/>
        <w:contextualSpacing/>
        <w:jc w:val="both"/>
        <w:rPr>
          <w:rFonts w:ascii="Arial" w:hAnsi="Arial"/>
          <w:color w:val="000000" w:themeColor="text1"/>
          <w:sz w:val="24"/>
          <w:szCs w:val="24"/>
        </w:rPr>
      </w:pPr>
      <w:r w:rsidRPr="00B97B69">
        <w:rPr>
          <w:rFonts w:ascii="Arial" w:hAnsi="Arial" w:cs="Arial"/>
          <w:color w:val="000000" w:themeColor="text1"/>
          <w:sz w:val="24"/>
          <w:szCs w:val="24"/>
        </w:rPr>
        <w:t>TMD</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Tropical Cyclones in Thailand (1951-2024)</w:t>
      </w:r>
      <w:r w:rsidRPr="00B97B69">
        <w:rPr>
          <w:rFonts w:ascii="Arial" w:hAnsi="Arial"/>
          <w:color w:val="000000" w:themeColor="text1"/>
          <w:sz w:val="24"/>
          <w:szCs w:val="24"/>
        </w:rPr>
        <w:t>. Climate Center, Meteorological Development Division, Thai Meteorological Department.</w:t>
      </w:r>
    </w:p>
    <w:p w14:paraId="296EB9EC" w14:textId="77777777" w:rsidR="00F843AD" w:rsidRDefault="00F843AD" w:rsidP="000351D5">
      <w:pPr>
        <w:pBdr>
          <w:top w:val="nil"/>
          <w:left w:val="nil"/>
          <w:bottom w:val="nil"/>
          <w:right w:val="nil"/>
          <w:between w:val="nil"/>
        </w:pBdr>
        <w:spacing w:after="0" w:line="360" w:lineRule="auto"/>
        <w:ind w:left="851" w:hanging="851"/>
        <w:contextualSpacing/>
        <w:jc w:val="both"/>
        <w:rPr>
          <w:rFonts w:ascii="Arial" w:hAnsi="Arial" w:cs="Arial"/>
          <w:color w:val="000000" w:themeColor="text1"/>
          <w:sz w:val="24"/>
          <w:szCs w:val="24"/>
        </w:rPr>
      </w:pPr>
    </w:p>
    <w:p w14:paraId="6DE85C84" w14:textId="77777777" w:rsidR="00F843AD" w:rsidRDefault="000351D5" w:rsidP="000351D5">
      <w:pPr>
        <w:pBdr>
          <w:top w:val="nil"/>
          <w:left w:val="nil"/>
          <w:bottom w:val="nil"/>
          <w:right w:val="nil"/>
          <w:between w:val="nil"/>
        </w:pBdr>
        <w:spacing w:after="0" w:line="360" w:lineRule="auto"/>
        <w:ind w:left="851" w:hanging="851"/>
        <w:contextualSpacing/>
        <w:jc w:val="both"/>
        <w:rPr>
          <w:rFonts w:ascii="Arial" w:hAnsi="Arial" w:cs="Arial"/>
          <w:color w:val="000000" w:themeColor="text1"/>
          <w:sz w:val="24"/>
          <w:szCs w:val="24"/>
        </w:rPr>
      </w:pPr>
      <w:r w:rsidRPr="00B97B69">
        <w:rPr>
          <w:rFonts w:ascii="Arial" w:hAnsi="Arial" w:cs="Arial"/>
          <w:color w:val="000000" w:themeColor="text1"/>
          <w:sz w:val="24"/>
          <w:szCs w:val="24"/>
        </w:rPr>
        <w:t>UNDP</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2025. Human Development Reports. </w:t>
      </w:r>
    </w:p>
    <w:p w14:paraId="049F1438" w14:textId="6C3CB825" w:rsidR="000351D5" w:rsidRPr="00B97B69" w:rsidRDefault="00F843AD" w:rsidP="00F843AD">
      <w:pPr>
        <w:pBdr>
          <w:top w:val="nil"/>
          <w:left w:val="nil"/>
          <w:bottom w:val="nil"/>
          <w:right w:val="nil"/>
          <w:between w:val="nil"/>
        </w:pBdr>
        <w:spacing w:after="0" w:line="360" w:lineRule="auto"/>
        <w:contextualSpacing/>
        <w:jc w:val="both"/>
        <w:rPr>
          <w:rFonts w:ascii="Arial" w:hAnsi="Arial" w:cs="Arial"/>
          <w:color w:val="000000" w:themeColor="text1"/>
          <w:sz w:val="24"/>
          <w:szCs w:val="24"/>
        </w:rPr>
      </w:pPr>
      <w:hyperlink r:id="rId89" w:history="1">
        <w:r w:rsidRPr="002B47A3">
          <w:rPr>
            <w:rStyle w:val="Hyperlink"/>
            <w:rFonts w:ascii="Arial" w:hAnsi="Arial" w:cs="Arial"/>
            <w:sz w:val="24"/>
            <w:szCs w:val="24"/>
          </w:rPr>
          <w:t>https://hdr.undp.org/data-center/documentation-and-downloads</w:t>
        </w:r>
      </w:hyperlink>
      <w:r w:rsidR="000351D5" w:rsidRPr="00B97B69">
        <w:rPr>
          <w:rFonts w:ascii="Arial" w:hAnsi="Arial" w:cs="Arial"/>
          <w:color w:val="000000" w:themeColor="text1"/>
          <w:sz w:val="24"/>
          <w:szCs w:val="24"/>
        </w:rPr>
        <w:t xml:space="preserve"> (accessed 22 April 2025).</w:t>
      </w:r>
    </w:p>
    <w:p w14:paraId="2057AEBB" w14:textId="77777777" w:rsidR="00F843AD" w:rsidRDefault="00F843AD" w:rsidP="000351D5">
      <w:pPr>
        <w:spacing w:after="0" w:line="360" w:lineRule="auto"/>
        <w:ind w:left="709" w:hanging="709"/>
        <w:contextualSpacing/>
        <w:rPr>
          <w:rFonts w:ascii="Arial" w:hAnsi="Arial" w:cs="Arial"/>
          <w:color w:val="000000" w:themeColor="text1"/>
          <w:sz w:val="24"/>
          <w:szCs w:val="24"/>
        </w:rPr>
      </w:pPr>
    </w:p>
    <w:p w14:paraId="65D761BD" w14:textId="140F0C4D" w:rsidR="000351D5" w:rsidRPr="00B97B69" w:rsidRDefault="000351D5" w:rsidP="00F843AD">
      <w:pPr>
        <w:spacing w:after="0" w:line="360" w:lineRule="auto"/>
        <w:contextualSpacing/>
        <w:rPr>
          <w:rFonts w:ascii="Arial" w:hAnsi="Arial" w:cs="Arial"/>
          <w:color w:val="000000" w:themeColor="text1"/>
          <w:sz w:val="24"/>
          <w:szCs w:val="24"/>
        </w:rPr>
      </w:pPr>
      <w:r w:rsidRPr="00B97B69">
        <w:rPr>
          <w:rFonts w:ascii="Arial" w:hAnsi="Arial" w:cs="Arial"/>
          <w:color w:val="000000" w:themeColor="text1"/>
          <w:sz w:val="24"/>
          <w:szCs w:val="24"/>
        </w:rPr>
        <w:t xml:space="preserve">UN-Habitat (United Nations Human Settlements </w:t>
      </w:r>
      <w:proofErr w:type="spellStart"/>
      <w:r w:rsidRPr="00B97B69">
        <w:rPr>
          <w:rFonts w:ascii="Arial" w:hAnsi="Arial" w:cs="Arial"/>
          <w:color w:val="000000" w:themeColor="text1"/>
          <w:sz w:val="24"/>
          <w:szCs w:val="24"/>
        </w:rPr>
        <w:t>Programme</w:t>
      </w:r>
      <w:proofErr w:type="spellEnd"/>
      <w:r w:rsidRPr="00B97B69">
        <w:rPr>
          <w:rFonts w:ascii="Arial" w:hAnsi="Arial" w:cs="Arial"/>
          <w:color w:val="000000" w:themeColor="text1"/>
          <w:sz w:val="24"/>
          <w:szCs w:val="24"/>
        </w:rPr>
        <w:t xml:space="preserve">), 2016. </w:t>
      </w:r>
      <w:r w:rsidRPr="00B97B69">
        <w:rPr>
          <w:rFonts w:ascii="Arial" w:hAnsi="Arial" w:cs="Arial"/>
          <w:i/>
          <w:iCs/>
          <w:color w:val="000000" w:themeColor="text1"/>
          <w:sz w:val="24"/>
          <w:szCs w:val="24"/>
        </w:rPr>
        <w:t>World Cities Report 2016, Urbanization and Development: Emerging Futures</w:t>
      </w:r>
      <w:r w:rsidRPr="00B97B69">
        <w:rPr>
          <w:rFonts w:ascii="Arial" w:hAnsi="Arial" w:cs="Arial"/>
          <w:color w:val="000000" w:themeColor="text1"/>
          <w:sz w:val="24"/>
          <w:szCs w:val="24"/>
        </w:rPr>
        <w:t xml:space="preserve">. Nairobi. </w:t>
      </w:r>
      <w:hyperlink r:id="rId90" w:tgtFrame="_blank" w:history="1">
        <w:r w:rsidRPr="00B97B69">
          <w:rPr>
            <w:rStyle w:val="Hyperlink"/>
            <w:rFonts w:ascii="Arial" w:hAnsi="Arial" w:cs="Arial"/>
            <w:sz w:val="24"/>
            <w:szCs w:val="24"/>
          </w:rPr>
          <w:t>https://unhabitat.org/world-cities-report-2016</w:t>
        </w:r>
      </w:hyperlink>
      <w:r w:rsidRPr="00B97B69">
        <w:rPr>
          <w:rFonts w:ascii="Arial" w:hAnsi="Arial" w:cs="Arial"/>
          <w:color w:val="000000" w:themeColor="text1"/>
          <w:sz w:val="24"/>
          <w:szCs w:val="24"/>
        </w:rPr>
        <w:t xml:space="preserve"> (accessed 19 April 2025).</w:t>
      </w:r>
    </w:p>
    <w:p w14:paraId="65331D48" w14:textId="77777777" w:rsidR="00F843AD" w:rsidRDefault="00F843AD" w:rsidP="000351D5">
      <w:pPr>
        <w:spacing w:after="0" w:line="360" w:lineRule="auto"/>
        <w:ind w:left="851" w:hanging="851"/>
        <w:contextualSpacing/>
        <w:rPr>
          <w:rFonts w:ascii="Arial" w:hAnsi="Arial" w:cs="Arial"/>
          <w:color w:val="000000" w:themeColor="text1"/>
          <w:sz w:val="24"/>
          <w:szCs w:val="24"/>
        </w:rPr>
      </w:pPr>
    </w:p>
    <w:p w14:paraId="12CD6EBF" w14:textId="6BC44FB7" w:rsidR="000351D5" w:rsidRPr="00B97B69" w:rsidRDefault="000351D5" w:rsidP="00F843AD">
      <w:pPr>
        <w:spacing w:after="0" w:line="360" w:lineRule="auto"/>
        <w:contextualSpacing/>
        <w:rPr>
          <w:rFonts w:ascii="Arial" w:hAnsi="Arial" w:cs="Arial"/>
          <w:b/>
          <w:bCs/>
          <w:color w:val="2E74B5" w:themeColor="accent5" w:themeShade="BF"/>
          <w:sz w:val="24"/>
          <w:szCs w:val="24"/>
        </w:rPr>
      </w:pPr>
      <w:r w:rsidRPr="00B97B69">
        <w:rPr>
          <w:rFonts w:ascii="Arial" w:hAnsi="Arial" w:cs="Arial"/>
          <w:color w:val="000000" w:themeColor="text1"/>
          <w:sz w:val="24"/>
          <w:szCs w:val="24"/>
        </w:rPr>
        <w:t>United Nations, Department of Economic and Social Affairs, Population Division</w:t>
      </w:r>
      <w:r w:rsidR="004032CD">
        <w:rPr>
          <w:rFonts w:ascii="Arial" w:hAnsi="Arial" w:cs="Arial"/>
          <w:color w:val="000000" w:themeColor="text1"/>
          <w:sz w:val="24"/>
          <w:szCs w:val="24"/>
        </w:rPr>
        <w:t>,</w:t>
      </w:r>
      <w:r w:rsidRPr="00B97B69">
        <w:rPr>
          <w:rFonts w:ascii="Arial" w:hAnsi="Arial" w:cs="Arial"/>
          <w:color w:val="000000" w:themeColor="text1"/>
          <w:sz w:val="24"/>
          <w:szCs w:val="24"/>
        </w:rPr>
        <w:t xml:space="preserve"> 2018. World Urbanization Prospects: The 2018 Revision, Online Edition.</w:t>
      </w:r>
    </w:p>
    <w:p w14:paraId="3C2D21B2" w14:textId="77777777" w:rsidR="00E75A83" w:rsidRPr="00B97B69" w:rsidRDefault="00E75A83" w:rsidP="00710A62">
      <w:pPr>
        <w:spacing w:after="0" w:line="360" w:lineRule="auto"/>
        <w:contextualSpacing/>
        <w:rPr>
          <w:rFonts w:ascii="Arial" w:hAnsi="Arial" w:cs="Arial"/>
          <w:b/>
          <w:bCs/>
          <w:color w:val="000000" w:themeColor="text1"/>
          <w:sz w:val="24"/>
          <w:szCs w:val="24"/>
        </w:rPr>
      </w:pPr>
    </w:p>
    <w:p w14:paraId="06FAB43A" w14:textId="77777777" w:rsidR="00E75A83" w:rsidRPr="00B7322E" w:rsidRDefault="00E75A83" w:rsidP="00710A62">
      <w:pPr>
        <w:spacing w:after="0" w:line="360" w:lineRule="auto"/>
        <w:contextualSpacing/>
        <w:rPr>
          <w:rFonts w:ascii="Arial" w:hAnsi="Arial" w:cs="Arial"/>
          <w:b/>
          <w:bCs/>
          <w:color w:val="000000" w:themeColor="text1"/>
          <w:sz w:val="24"/>
          <w:szCs w:val="24"/>
          <w:cs/>
        </w:rPr>
      </w:pPr>
    </w:p>
    <w:p w14:paraId="277BB081" w14:textId="77777777" w:rsidR="00EE5401" w:rsidRPr="00B7322E" w:rsidRDefault="00EE5401" w:rsidP="00710A62">
      <w:pPr>
        <w:spacing w:after="0" w:line="360" w:lineRule="auto"/>
        <w:rPr>
          <w:color w:val="000000" w:themeColor="text1"/>
          <w:szCs w:val="22"/>
          <w:cs/>
        </w:rPr>
      </w:pPr>
    </w:p>
    <w:sectPr w:rsidR="00EE5401" w:rsidRPr="00B7322E" w:rsidSect="00261E65">
      <w:footerReference w:type="default" r:id="rId9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7BF8D1" w14:textId="77777777" w:rsidR="000766CA" w:rsidRDefault="000766CA" w:rsidP="007C7CF5">
      <w:pPr>
        <w:spacing w:after="0" w:line="240" w:lineRule="auto"/>
      </w:pPr>
      <w:r>
        <w:separator/>
      </w:r>
    </w:p>
  </w:endnote>
  <w:endnote w:type="continuationSeparator" w:id="0">
    <w:p w14:paraId="4C37963F" w14:textId="77777777" w:rsidR="000766CA" w:rsidRDefault="000766CA" w:rsidP="007C7C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Browallia New">
    <w:panose1 w:val="020B0604020202020204"/>
    <w:charset w:val="00"/>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7924594"/>
      <w:docPartObj>
        <w:docPartGallery w:val="Page Numbers (Bottom of Page)"/>
        <w:docPartUnique/>
      </w:docPartObj>
    </w:sdtPr>
    <w:sdtEndPr>
      <w:rPr>
        <w:rFonts w:ascii="Arial" w:hAnsi="Arial" w:cs="Arial"/>
        <w:noProof/>
        <w:sz w:val="20"/>
        <w:szCs w:val="24"/>
      </w:rPr>
    </w:sdtEndPr>
    <w:sdtContent>
      <w:p w14:paraId="048921E6" w14:textId="57B6DCB4" w:rsidR="007C7CF5" w:rsidRPr="00040660" w:rsidRDefault="00040660" w:rsidP="00040660">
        <w:pPr>
          <w:pStyle w:val="Footer"/>
          <w:jc w:val="center"/>
          <w:rPr>
            <w:rFonts w:ascii="Arial" w:hAnsi="Arial" w:cs="Arial"/>
            <w:sz w:val="20"/>
            <w:szCs w:val="24"/>
          </w:rPr>
        </w:pPr>
        <w:r w:rsidRPr="00040660">
          <w:rPr>
            <w:rFonts w:ascii="Arial" w:hAnsi="Arial" w:cs="Arial"/>
            <w:sz w:val="20"/>
            <w:szCs w:val="24"/>
          </w:rPr>
          <w:fldChar w:fldCharType="begin"/>
        </w:r>
        <w:r w:rsidRPr="00040660">
          <w:rPr>
            <w:rFonts w:ascii="Arial" w:hAnsi="Arial" w:cs="Arial"/>
            <w:sz w:val="20"/>
            <w:szCs w:val="24"/>
          </w:rPr>
          <w:instrText xml:space="preserve"> PAGE   \* MERGEFORMAT </w:instrText>
        </w:r>
        <w:r w:rsidRPr="00040660">
          <w:rPr>
            <w:rFonts w:ascii="Arial" w:hAnsi="Arial" w:cs="Arial"/>
            <w:sz w:val="20"/>
            <w:szCs w:val="24"/>
          </w:rPr>
          <w:fldChar w:fldCharType="separate"/>
        </w:r>
        <w:r w:rsidRPr="00040660">
          <w:rPr>
            <w:rFonts w:ascii="Arial" w:hAnsi="Arial" w:cs="Arial"/>
            <w:noProof/>
            <w:sz w:val="20"/>
            <w:szCs w:val="24"/>
          </w:rPr>
          <w:t>2</w:t>
        </w:r>
        <w:r w:rsidRPr="00040660">
          <w:rPr>
            <w:rFonts w:ascii="Arial" w:hAnsi="Arial" w:cs="Arial"/>
            <w:noProof/>
            <w:sz w:val="20"/>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E63FA" w14:textId="77777777" w:rsidR="000766CA" w:rsidRDefault="000766CA" w:rsidP="007C7CF5">
      <w:pPr>
        <w:spacing w:after="0" w:line="240" w:lineRule="auto"/>
      </w:pPr>
      <w:r>
        <w:separator/>
      </w:r>
    </w:p>
  </w:footnote>
  <w:footnote w:type="continuationSeparator" w:id="0">
    <w:p w14:paraId="16700B07" w14:textId="77777777" w:rsidR="000766CA" w:rsidRDefault="000766CA" w:rsidP="007C7C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0FB7"/>
    <w:multiLevelType w:val="multilevel"/>
    <w:tmpl w:val="FF144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E27181"/>
    <w:multiLevelType w:val="hybridMultilevel"/>
    <w:tmpl w:val="55EC9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3151B5"/>
    <w:multiLevelType w:val="multilevel"/>
    <w:tmpl w:val="9C141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4A4C1A"/>
    <w:multiLevelType w:val="multilevel"/>
    <w:tmpl w:val="7CE4AA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931290"/>
    <w:multiLevelType w:val="multilevel"/>
    <w:tmpl w:val="9CF27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E555C7"/>
    <w:multiLevelType w:val="multilevel"/>
    <w:tmpl w:val="14BAA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B43C0C"/>
    <w:multiLevelType w:val="multilevel"/>
    <w:tmpl w:val="BCEAF2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417A80"/>
    <w:multiLevelType w:val="multilevel"/>
    <w:tmpl w:val="AFD04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EB1ECF"/>
    <w:multiLevelType w:val="multilevel"/>
    <w:tmpl w:val="68005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7F456F"/>
    <w:multiLevelType w:val="multilevel"/>
    <w:tmpl w:val="0ADCF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671288"/>
    <w:multiLevelType w:val="multilevel"/>
    <w:tmpl w:val="2DC65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5246F9"/>
    <w:multiLevelType w:val="multilevel"/>
    <w:tmpl w:val="E3480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253195"/>
    <w:multiLevelType w:val="hybridMultilevel"/>
    <w:tmpl w:val="EFE47D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5AD04D7"/>
    <w:multiLevelType w:val="hybridMultilevel"/>
    <w:tmpl w:val="9C644C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8092087"/>
    <w:multiLevelType w:val="multilevel"/>
    <w:tmpl w:val="02828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5852BF"/>
    <w:multiLevelType w:val="multilevel"/>
    <w:tmpl w:val="73CCE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F05259"/>
    <w:multiLevelType w:val="multilevel"/>
    <w:tmpl w:val="CB38B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A937EA"/>
    <w:multiLevelType w:val="multilevel"/>
    <w:tmpl w:val="B1664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6B4149"/>
    <w:multiLevelType w:val="hybridMultilevel"/>
    <w:tmpl w:val="786C2F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A087523"/>
    <w:multiLevelType w:val="multilevel"/>
    <w:tmpl w:val="169E3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A32092"/>
    <w:multiLevelType w:val="hybridMultilevel"/>
    <w:tmpl w:val="8DDA57C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51B95CC1"/>
    <w:multiLevelType w:val="multilevel"/>
    <w:tmpl w:val="53C06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DC08D5"/>
    <w:multiLevelType w:val="multilevel"/>
    <w:tmpl w:val="2B9A1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C2003B9"/>
    <w:multiLevelType w:val="multilevel"/>
    <w:tmpl w:val="DE34F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A25ABE"/>
    <w:multiLevelType w:val="multilevel"/>
    <w:tmpl w:val="C85AB0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5B17C6D"/>
    <w:multiLevelType w:val="multilevel"/>
    <w:tmpl w:val="4A2AA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1F44AD"/>
    <w:multiLevelType w:val="multilevel"/>
    <w:tmpl w:val="C6543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6E7EBC"/>
    <w:multiLevelType w:val="multilevel"/>
    <w:tmpl w:val="86B08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D936F26"/>
    <w:multiLevelType w:val="hybridMultilevel"/>
    <w:tmpl w:val="964442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F530170"/>
    <w:multiLevelType w:val="hybridMultilevel"/>
    <w:tmpl w:val="B7FC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BD3795"/>
    <w:multiLevelType w:val="multilevel"/>
    <w:tmpl w:val="FC4231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77204601">
    <w:abstractNumId w:val="9"/>
  </w:num>
  <w:num w:numId="2" w16cid:durableId="1992757456">
    <w:abstractNumId w:val="22"/>
  </w:num>
  <w:num w:numId="3" w16cid:durableId="1545169754">
    <w:abstractNumId w:val="7"/>
  </w:num>
  <w:num w:numId="4" w16cid:durableId="667178034">
    <w:abstractNumId w:val="19"/>
  </w:num>
  <w:num w:numId="5" w16cid:durableId="1829785434">
    <w:abstractNumId w:val="2"/>
  </w:num>
  <w:num w:numId="6" w16cid:durableId="147132804">
    <w:abstractNumId w:val="25"/>
  </w:num>
  <w:num w:numId="7" w16cid:durableId="1790274408">
    <w:abstractNumId w:val="15"/>
  </w:num>
  <w:num w:numId="8" w16cid:durableId="1376005075">
    <w:abstractNumId w:val="27"/>
  </w:num>
  <w:num w:numId="9" w16cid:durableId="921371992">
    <w:abstractNumId w:val="4"/>
  </w:num>
  <w:num w:numId="10" w16cid:durableId="1187913321">
    <w:abstractNumId w:val="8"/>
  </w:num>
  <w:num w:numId="11" w16cid:durableId="1220288814">
    <w:abstractNumId w:val="23"/>
  </w:num>
  <w:num w:numId="12" w16cid:durableId="1060782622">
    <w:abstractNumId w:val="5"/>
  </w:num>
  <w:num w:numId="13" w16cid:durableId="1589191873">
    <w:abstractNumId w:val="14"/>
  </w:num>
  <w:num w:numId="14" w16cid:durableId="338851862">
    <w:abstractNumId w:val="17"/>
  </w:num>
  <w:num w:numId="15" w16cid:durableId="1532378312">
    <w:abstractNumId w:val="21"/>
  </w:num>
  <w:num w:numId="16" w16cid:durableId="1784612386">
    <w:abstractNumId w:val="10"/>
  </w:num>
  <w:num w:numId="17" w16cid:durableId="1593926111">
    <w:abstractNumId w:val="16"/>
  </w:num>
  <w:num w:numId="18" w16cid:durableId="1553613011">
    <w:abstractNumId w:val="0"/>
  </w:num>
  <w:num w:numId="19" w16cid:durableId="1167282211">
    <w:abstractNumId w:val="11"/>
  </w:num>
  <w:num w:numId="20" w16cid:durableId="2132236552">
    <w:abstractNumId w:val="30"/>
  </w:num>
  <w:num w:numId="21" w16cid:durableId="1179082091">
    <w:abstractNumId w:val="24"/>
  </w:num>
  <w:num w:numId="22" w16cid:durableId="734090975">
    <w:abstractNumId w:val="6"/>
  </w:num>
  <w:num w:numId="23" w16cid:durableId="415909044">
    <w:abstractNumId w:val="3"/>
  </w:num>
  <w:num w:numId="24" w16cid:durableId="873469022">
    <w:abstractNumId w:val="1"/>
  </w:num>
  <w:num w:numId="25" w16cid:durableId="1814788029">
    <w:abstractNumId w:val="29"/>
  </w:num>
  <w:num w:numId="26" w16cid:durableId="25643607">
    <w:abstractNumId w:val="18"/>
  </w:num>
  <w:num w:numId="27" w16cid:durableId="41026787">
    <w:abstractNumId w:val="12"/>
  </w:num>
  <w:num w:numId="28" w16cid:durableId="104203701">
    <w:abstractNumId w:val="13"/>
  </w:num>
  <w:num w:numId="29" w16cid:durableId="1641569641">
    <w:abstractNumId w:val="20"/>
  </w:num>
  <w:num w:numId="30" w16cid:durableId="1970817972">
    <w:abstractNumId w:val="28"/>
  </w:num>
  <w:num w:numId="31" w16cid:durableId="13559622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085"/>
    <w:rsid w:val="0001114F"/>
    <w:rsid w:val="00012A84"/>
    <w:rsid w:val="00012E0E"/>
    <w:rsid w:val="000153B9"/>
    <w:rsid w:val="000261A9"/>
    <w:rsid w:val="0003407C"/>
    <w:rsid w:val="000351D5"/>
    <w:rsid w:val="00040660"/>
    <w:rsid w:val="000443F6"/>
    <w:rsid w:val="00047FBF"/>
    <w:rsid w:val="00052E71"/>
    <w:rsid w:val="00055AA7"/>
    <w:rsid w:val="000703C4"/>
    <w:rsid w:val="000716EB"/>
    <w:rsid w:val="00076696"/>
    <w:rsid w:val="000766CA"/>
    <w:rsid w:val="00076987"/>
    <w:rsid w:val="00083C39"/>
    <w:rsid w:val="00083C42"/>
    <w:rsid w:val="00087A02"/>
    <w:rsid w:val="00090C51"/>
    <w:rsid w:val="000957BF"/>
    <w:rsid w:val="00095DD1"/>
    <w:rsid w:val="000A4157"/>
    <w:rsid w:val="000A66F6"/>
    <w:rsid w:val="000A7617"/>
    <w:rsid w:val="000B4602"/>
    <w:rsid w:val="000B4AC6"/>
    <w:rsid w:val="000B6E97"/>
    <w:rsid w:val="000D0128"/>
    <w:rsid w:val="000D5FE4"/>
    <w:rsid w:val="001012CB"/>
    <w:rsid w:val="00101B22"/>
    <w:rsid w:val="00113026"/>
    <w:rsid w:val="001155BA"/>
    <w:rsid w:val="00115B7E"/>
    <w:rsid w:val="00116FAF"/>
    <w:rsid w:val="00121D72"/>
    <w:rsid w:val="00122A24"/>
    <w:rsid w:val="00122A48"/>
    <w:rsid w:val="00133A3B"/>
    <w:rsid w:val="00137B06"/>
    <w:rsid w:val="001411F5"/>
    <w:rsid w:val="001468DB"/>
    <w:rsid w:val="00154750"/>
    <w:rsid w:val="00163254"/>
    <w:rsid w:val="001729D3"/>
    <w:rsid w:val="00180E02"/>
    <w:rsid w:val="00187B76"/>
    <w:rsid w:val="00191A59"/>
    <w:rsid w:val="00191AA7"/>
    <w:rsid w:val="00192490"/>
    <w:rsid w:val="001948C8"/>
    <w:rsid w:val="00195726"/>
    <w:rsid w:val="001A3E29"/>
    <w:rsid w:val="001C3142"/>
    <w:rsid w:val="001C7DDD"/>
    <w:rsid w:val="001D192E"/>
    <w:rsid w:val="001D5363"/>
    <w:rsid w:val="001E0E2E"/>
    <w:rsid w:val="001E2FFB"/>
    <w:rsid w:val="001E3FA2"/>
    <w:rsid w:val="001E4D3C"/>
    <w:rsid w:val="001E4DB4"/>
    <w:rsid w:val="001F0E96"/>
    <w:rsid w:val="001F38BD"/>
    <w:rsid w:val="002077F3"/>
    <w:rsid w:val="00211317"/>
    <w:rsid w:val="00211F2F"/>
    <w:rsid w:val="00213D49"/>
    <w:rsid w:val="002160B3"/>
    <w:rsid w:val="0022157B"/>
    <w:rsid w:val="00224544"/>
    <w:rsid w:val="002273FA"/>
    <w:rsid w:val="00227439"/>
    <w:rsid w:val="0023310B"/>
    <w:rsid w:val="0025079C"/>
    <w:rsid w:val="00250CC0"/>
    <w:rsid w:val="0025201F"/>
    <w:rsid w:val="0026145A"/>
    <w:rsid w:val="00261E65"/>
    <w:rsid w:val="00266D90"/>
    <w:rsid w:val="002753EC"/>
    <w:rsid w:val="0027650B"/>
    <w:rsid w:val="0027768F"/>
    <w:rsid w:val="00277852"/>
    <w:rsid w:val="0028488F"/>
    <w:rsid w:val="00287837"/>
    <w:rsid w:val="00291598"/>
    <w:rsid w:val="00292A5B"/>
    <w:rsid w:val="00292F45"/>
    <w:rsid w:val="0029534B"/>
    <w:rsid w:val="002A4DB6"/>
    <w:rsid w:val="002A520F"/>
    <w:rsid w:val="002B6B06"/>
    <w:rsid w:val="002B7167"/>
    <w:rsid w:val="002D258A"/>
    <w:rsid w:val="002E357D"/>
    <w:rsid w:val="002E7079"/>
    <w:rsid w:val="002F09DD"/>
    <w:rsid w:val="00302A0A"/>
    <w:rsid w:val="003064BD"/>
    <w:rsid w:val="003100DD"/>
    <w:rsid w:val="00312AB1"/>
    <w:rsid w:val="003133D1"/>
    <w:rsid w:val="0031597C"/>
    <w:rsid w:val="00317389"/>
    <w:rsid w:val="00317B08"/>
    <w:rsid w:val="0032080B"/>
    <w:rsid w:val="00326C70"/>
    <w:rsid w:val="00327D00"/>
    <w:rsid w:val="00330652"/>
    <w:rsid w:val="0033470C"/>
    <w:rsid w:val="003452EF"/>
    <w:rsid w:val="00351A5C"/>
    <w:rsid w:val="00351C95"/>
    <w:rsid w:val="00352490"/>
    <w:rsid w:val="00353782"/>
    <w:rsid w:val="00356C7B"/>
    <w:rsid w:val="003572CC"/>
    <w:rsid w:val="00371229"/>
    <w:rsid w:val="003753C9"/>
    <w:rsid w:val="0037663D"/>
    <w:rsid w:val="003771E2"/>
    <w:rsid w:val="00377C5D"/>
    <w:rsid w:val="00391635"/>
    <w:rsid w:val="003923D8"/>
    <w:rsid w:val="003936E4"/>
    <w:rsid w:val="00395F6B"/>
    <w:rsid w:val="003978E4"/>
    <w:rsid w:val="003A47BB"/>
    <w:rsid w:val="003A4DF2"/>
    <w:rsid w:val="003A6390"/>
    <w:rsid w:val="003B0217"/>
    <w:rsid w:val="003B49A7"/>
    <w:rsid w:val="003C63E7"/>
    <w:rsid w:val="003D30B2"/>
    <w:rsid w:val="003D5812"/>
    <w:rsid w:val="003F3D65"/>
    <w:rsid w:val="00401CFA"/>
    <w:rsid w:val="004032CD"/>
    <w:rsid w:val="00405A19"/>
    <w:rsid w:val="00405F56"/>
    <w:rsid w:val="004071AB"/>
    <w:rsid w:val="00414D93"/>
    <w:rsid w:val="00420452"/>
    <w:rsid w:val="00423710"/>
    <w:rsid w:val="004249A9"/>
    <w:rsid w:val="00427BC8"/>
    <w:rsid w:val="004304FF"/>
    <w:rsid w:val="00430C48"/>
    <w:rsid w:val="00431160"/>
    <w:rsid w:val="004357F8"/>
    <w:rsid w:val="00441304"/>
    <w:rsid w:val="004413D3"/>
    <w:rsid w:val="00441B36"/>
    <w:rsid w:val="004441A5"/>
    <w:rsid w:val="00447E24"/>
    <w:rsid w:val="00450186"/>
    <w:rsid w:val="00451091"/>
    <w:rsid w:val="00451998"/>
    <w:rsid w:val="004575F9"/>
    <w:rsid w:val="004647CB"/>
    <w:rsid w:val="00464C22"/>
    <w:rsid w:val="0046715E"/>
    <w:rsid w:val="00471CF6"/>
    <w:rsid w:val="00477F4B"/>
    <w:rsid w:val="004920FA"/>
    <w:rsid w:val="00493511"/>
    <w:rsid w:val="00497C82"/>
    <w:rsid w:val="004A041F"/>
    <w:rsid w:val="004A0CD6"/>
    <w:rsid w:val="004A7B55"/>
    <w:rsid w:val="004B420C"/>
    <w:rsid w:val="004B57B5"/>
    <w:rsid w:val="004C0965"/>
    <w:rsid w:val="004C3150"/>
    <w:rsid w:val="004D1F88"/>
    <w:rsid w:val="004D6D32"/>
    <w:rsid w:val="004E131C"/>
    <w:rsid w:val="004E1F61"/>
    <w:rsid w:val="004E597C"/>
    <w:rsid w:val="004E7AFE"/>
    <w:rsid w:val="004F0C91"/>
    <w:rsid w:val="004F3994"/>
    <w:rsid w:val="004F4099"/>
    <w:rsid w:val="005033B8"/>
    <w:rsid w:val="00505F09"/>
    <w:rsid w:val="00506C9F"/>
    <w:rsid w:val="00507285"/>
    <w:rsid w:val="005102BE"/>
    <w:rsid w:val="005214FC"/>
    <w:rsid w:val="00522C19"/>
    <w:rsid w:val="005248E6"/>
    <w:rsid w:val="00525CB0"/>
    <w:rsid w:val="00526CDB"/>
    <w:rsid w:val="0053156E"/>
    <w:rsid w:val="005322B0"/>
    <w:rsid w:val="00532CF2"/>
    <w:rsid w:val="005334AD"/>
    <w:rsid w:val="00535F30"/>
    <w:rsid w:val="00536CD2"/>
    <w:rsid w:val="00537079"/>
    <w:rsid w:val="00537A9B"/>
    <w:rsid w:val="00543442"/>
    <w:rsid w:val="0054471E"/>
    <w:rsid w:val="00547A3A"/>
    <w:rsid w:val="00552AB1"/>
    <w:rsid w:val="00555671"/>
    <w:rsid w:val="0055651F"/>
    <w:rsid w:val="00560F0D"/>
    <w:rsid w:val="00562A70"/>
    <w:rsid w:val="00562B17"/>
    <w:rsid w:val="00570897"/>
    <w:rsid w:val="00571520"/>
    <w:rsid w:val="00573834"/>
    <w:rsid w:val="0057420E"/>
    <w:rsid w:val="00577292"/>
    <w:rsid w:val="00577F37"/>
    <w:rsid w:val="0058342A"/>
    <w:rsid w:val="00591833"/>
    <w:rsid w:val="00591845"/>
    <w:rsid w:val="005A0893"/>
    <w:rsid w:val="005B0172"/>
    <w:rsid w:val="005B33B7"/>
    <w:rsid w:val="005B7C85"/>
    <w:rsid w:val="005C1D67"/>
    <w:rsid w:val="005C1E49"/>
    <w:rsid w:val="005C2F5C"/>
    <w:rsid w:val="005C4E87"/>
    <w:rsid w:val="005D41A1"/>
    <w:rsid w:val="005D7225"/>
    <w:rsid w:val="005D7AFC"/>
    <w:rsid w:val="005E3EBB"/>
    <w:rsid w:val="005E4882"/>
    <w:rsid w:val="005E6F38"/>
    <w:rsid w:val="005F1A39"/>
    <w:rsid w:val="005F32F4"/>
    <w:rsid w:val="005F612F"/>
    <w:rsid w:val="00606413"/>
    <w:rsid w:val="0060714B"/>
    <w:rsid w:val="00611A11"/>
    <w:rsid w:val="00611B63"/>
    <w:rsid w:val="00617DAD"/>
    <w:rsid w:val="00617E69"/>
    <w:rsid w:val="006243AD"/>
    <w:rsid w:val="00624B51"/>
    <w:rsid w:val="00631DC7"/>
    <w:rsid w:val="0063280B"/>
    <w:rsid w:val="00634149"/>
    <w:rsid w:val="00635BE2"/>
    <w:rsid w:val="00635C5A"/>
    <w:rsid w:val="006617B6"/>
    <w:rsid w:val="00666ADF"/>
    <w:rsid w:val="006678B7"/>
    <w:rsid w:val="00670320"/>
    <w:rsid w:val="00670F70"/>
    <w:rsid w:val="00672B4F"/>
    <w:rsid w:val="00674904"/>
    <w:rsid w:val="006753D3"/>
    <w:rsid w:val="00676289"/>
    <w:rsid w:val="00684615"/>
    <w:rsid w:val="006846D9"/>
    <w:rsid w:val="006967D9"/>
    <w:rsid w:val="006A0AFF"/>
    <w:rsid w:val="006B3FB6"/>
    <w:rsid w:val="006B507E"/>
    <w:rsid w:val="006D2DFC"/>
    <w:rsid w:val="006E2ED9"/>
    <w:rsid w:val="006F589F"/>
    <w:rsid w:val="007035EE"/>
    <w:rsid w:val="0070590F"/>
    <w:rsid w:val="00710A62"/>
    <w:rsid w:val="00715FD8"/>
    <w:rsid w:val="007161DD"/>
    <w:rsid w:val="00720100"/>
    <w:rsid w:val="007244BF"/>
    <w:rsid w:val="00724AEB"/>
    <w:rsid w:val="007305BE"/>
    <w:rsid w:val="00735930"/>
    <w:rsid w:val="00736912"/>
    <w:rsid w:val="00737E13"/>
    <w:rsid w:val="007403B1"/>
    <w:rsid w:val="007459E4"/>
    <w:rsid w:val="0074764F"/>
    <w:rsid w:val="00751D98"/>
    <w:rsid w:val="007611AE"/>
    <w:rsid w:val="00767928"/>
    <w:rsid w:val="00767D3A"/>
    <w:rsid w:val="00770607"/>
    <w:rsid w:val="00771BD0"/>
    <w:rsid w:val="0077565D"/>
    <w:rsid w:val="00785D80"/>
    <w:rsid w:val="00795585"/>
    <w:rsid w:val="007A4BFF"/>
    <w:rsid w:val="007A72D7"/>
    <w:rsid w:val="007B4BDB"/>
    <w:rsid w:val="007B5684"/>
    <w:rsid w:val="007C45DA"/>
    <w:rsid w:val="007C61DC"/>
    <w:rsid w:val="007C7CF5"/>
    <w:rsid w:val="007E2044"/>
    <w:rsid w:val="007E2738"/>
    <w:rsid w:val="007E7826"/>
    <w:rsid w:val="007F00C8"/>
    <w:rsid w:val="007F23A2"/>
    <w:rsid w:val="007F2E6D"/>
    <w:rsid w:val="007F3763"/>
    <w:rsid w:val="00801C22"/>
    <w:rsid w:val="00811DE8"/>
    <w:rsid w:val="00815261"/>
    <w:rsid w:val="008165FB"/>
    <w:rsid w:val="0082164D"/>
    <w:rsid w:val="008226C8"/>
    <w:rsid w:val="0084584E"/>
    <w:rsid w:val="008470A7"/>
    <w:rsid w:val="008479FB"/>
    <w:rsid w:val="00852E08"/>
    <w:rsid w:val="00854576"/>
    <w:rsid w:val="00854D8E"/>
    <w:rsid w:val="00855085"/>
    <w:rsid w:val="0085571A"/>
    <w:rsid w:val="00871231"/>
    <w:rsid w:val="008717F8"/>
    <w:rsid w:val="00873A91"/>
    <w:rsid w:val="00874B36"/>
    <w:rsid w:val="008768F0"/>
    <w:rsid w:val="00876A7F"/>
    <w:rsid w:val="00881A5D"/>
    <w:rsid w:val="0088260A"/>
    <w:rsid w:val="00894773"/>
    <w:rsid w:val="00895594"/>
    <w:rsid w:val="008969E2"/>
    <w:rsid w:val="00897134"/>
    <w:rsid w:val="008A1B38"/>
    <w:rsid w:val="008A2EAE"/>
    <w:rsid w:val="008B5AB4"/>
    <w:rsid w:val="008B606F"/>
    <w:rsid w:val="008B68BE"/>
    <w:rsid w:val="008C0E72"/>
    <w:rsid w:val="008C1B5C"/>
    <w:rsid w:val="008C3B29"/>
    <w:rsid w:val="008D0EAB"/>
    <w:rsid w:val="008D15B8"/>
    <w:rsid w:val="008D2962"/>
    <w:rsid w:val="008D5CC2"/>
    <w:rsid w:val="008D5F79"/>
    <w:rsid w:val="008E7FA8"/>
    <w:rsid w:val="008F6BC2"/>
    <w:rsid w:val="00900879"/>
    <w:rsid w:val="009035B1"/>
    <w:rsid w:val="00914A39"/>
    <w:rsid w:val="00914D33"/>
    <w:rsid w:val="00920D6F"/>
    <w:rsid w:val="00922B94"/>
    <w:rsid w:val="00922EB9"/>
    <w:rsid w:val="00927B8C"/>
    <w:rsid w:val="009319E1"/>
    <w:rsid w:val="009364F2"/>
    <w:rsid w:val="009366E3"/>
    <w:rsid w:val="0093782F"/>
    <w:rsid w:val="009416C0"/>
    <w:rsid w:val="00947379"/>
    <w:rsid w:val="0096479F"/>
    <w:rsid w:val="00964F57"/>
    <w:rsid w:val="00965A97"/>
    <w:rsid w:val="00967603"/>
    <w:rsid w:val="0097132F"/>
    <w:rsid w:val="00971922"/>
    <w:rsid w:val="00971C95"/>
    <w:rsid w:val="00971F9B"/>
    <w:rsid w:val="00973EDB"/>
    <w:rsid w:val="009853A4"/>
    <w:rsid w:val="00986F24"/>
    <w:rsid w:val="0099455B"/>
    <w:rsid w:val="009957D4"/>
    <w:rsid w:val="00997B1F"/>
    <w:rsid w:val="009A1E52"/>
    <w:rsid w:val="009B5CCF"/>
    <w:rsid w:val="009B7E1E"/>
    <w:rsid w:val="009C192D"/>
    <w:rsid w:val="009C50D4"/>
    <w:rsid w:val="009C58E8"/>
    <w:rsid w:val="009C796A"/>
    <w:rsid w:val="009D26C0"/>
    <w:rsid w:val="009D4ACB"/>
    <w:rsid w:val="009D790D"/>
    <w:rsid w:val="009E7786"/>
    <w:rsid w:val="00A00C1D"/>
    <w:rsid w:val="00A077B6"/>
    <w:rsid w:val="00A1190B"/>
    <w:rsid w:val="00A12375"/>
    <w:rsid w:val="00A16905"/>
    <w:rsid w:val="00A176A5"/>
    <w:rsid w:val="00A24927"/>
    <w:rsid w:val="00A338D4"/>
    <w:rsid w:val="00A36EBA"/>
    <w:rsid w:val="00A44135"/>
    <w:rsid w:val="00A50047"/>
    <w:rsid w:val="00A57391"/>
    <w:rsid w:val="00A663A0"/>
    <w:rsid w:val="00A73CCB"/>
    <w:rsid w:val="00A81BE1"/>
    <w:rsid w:val="00A8305C"/>
    <w:rsid w:val="00A84415"/>
    <w:rsid w:val="00A86776"/>
    <w:rsid w:val="00A90279"/>
    <w:rsid w:val="00A915AC"/>
    <w:rsid w:val="00A9351A"/>
    <w:rsid w:val="00A94FCC"/>
    <w:rsid w:val="00A95C45"/>
    <w:rsid w:val="00A97651"/>
    <w:rsid w:val="00A976EB"/>
    <w:rsid w:val="00AA1E12"/>
    <w:rsid w:val="00AA5903"/>
    <w:rsid w:val="00AB55B6"/>
    <w:rsid w:val="00AB6249"/>
    <w:rsid w:val="00AB6ECA"/>
    <w:rsid w:val="00AC2961"/>
    <w:rsid w:val="00AC6BD9"/>
    <w:rsid w:val="00AD600C"/>
    <w:rsid w:val="00AE080B"/>
    <w:rsid w:val="00AE101D"/>
    <w:rsid w:val="00AE1742"/>
    <w:rsid w:val="00AE72E3"/>
    <w:rsid w:val="00AF220E"/>
    <w:rsid w:val="00AF7C76"/>
    <w:rsid w:val="00B108B4"/>
    <w:rsid w:val="00B12CA9"/>
    <w:rsid w:val="00B151F3"/>
    <w:rsid w:val="00B15CD2"/>
    <w:rsid w:val="00B16B91"/>
    <w:rsid w:val="00B17BC7"/>
    <w:rsid w:val="00B242EA"/>
    <w:rsid w:val="00B260B4"/>
    <w:rsid w:val="00B42FC0"/>
    <w:rsid w:val="00B524AB"/>
    <w:rsid w:val="00B52C1D"/>
    <w:rsid w:val="00B52FAC"/>
    <w:rsid w:val="00B65AA5"/>
    <w:rsid w:val="00B70DF9"/>
    <w:rsid w:val="00B720CF"/>
    <w:rsid w:val="00B7322E"/>
    <w:rsid w:val="00B80A32"/>
    <w:rsid w:val="00B8293B"/>
    <w:rsid w:val="00B90D1E"/>
    <w:rsid w:val="00B917A2"/>
    <w:rsid w:val="00B96926"/>
    <w:rsid w:val="00B97B69"/>
    <w:rsid w:val="00BA1066"/>
    <w:rsid w:val="00BA5CC0"/>
    <w:rsid w:val="00BA6A43"/>
    <w:rsid w:val="00BB47BC"/>
    <w:rsid w:val="00BB7C85"/>
    <w:rsid w:val="00BC4C65"/>
    <w:rsid w:val="00BC7719"/>
    <w:rsid w:val="00BD2C0F"/>
    <w:rsid w:val="00BD4046"/>
    <w:rsid w:val="00BE08B9"/>
    <w:rsid w:val="00BE25A9"/>
    <w:rsid w:val="00BE30EB"/>
    <w:rsid w:val="00BE3568"/>
    <w:rsid w:val="00BE7C93"/>
    <w:rsid w:val="00BF212F"/>
    <w:rsid w:val="00BF5CCF"/>
    <w:rsid w:val="00BF72AA"/>
    <w:rsid w:val="00C01E3B"/>
    <w:rsid w:val="00C022BD"/>
    <w:rsid w:val="00C02A6D"/>
    <w:rsid w:val="00C04DF3"/>
    <w:rsid w:val="00C22961"/>
    <w:rsid w:val="00C25BA1"/>
    <w:rsid w:val="00C264A4"/>
    <w:rsid w:val="00C3016A"/>
    <w:rsid w:val="00C30C0E"/>
    <w:rsid w:val="00C34173"/>
    <w:rsid w:val="00C35D4B"/>
    <w:rsid w:val="00C37A95"/>
    <w:rsid w:val="00C430C5"/>
    <w:rsid w:val="00C526AA"/>
    <w:rsid w:val="00C528CA"/>
    <w:rsid w:val="00C54FDC"/>
    <w:rsid w:val="00C55958"/>
    <w:rsid w:val="00C56C2A"/>
    <w:rsid w:val="00C56F37"/>
    <w:rsid w:val="00C57DF0"/>
    <w:rsid w:val="00C600BF"/>
    <w:rsid w:val="00C678A6"/>
    <w:rsid w:val="00C70B06"/>
    <w:rsid w:val="00C75181"/>
    <w:rsid w:val="00C77222"/>
    <w:rsid w:val="00C838C7"/>
    <w:rsid w:val="00C83EDD"/>
    <w:rsid w:val="00C92D25"/>
    <w:rsid w:val="00C943F3"/>
    <w:rsid w:val="00CA02A0"/>
    <w:rsid w:val="00CA2B3F"/>
    <w:rsid w:val="00CA3FCC"/>
    <w:rsid w:val="00CA4A34"/>
    <w:rsid w:val="00CA4BF9"/>
    <w:rsid w:val="00CA658E"/>
    <w:rsid w:val="00CB4CDE"/>
    <w:rsid w:val="00CB5D47"/>
    <w:rsid w:val="00CB6189"/>
    <w:rsid w:val="00CC0E89"/>
    <w:rsid w:val="00CC4968"/>
    <w:rsid w:val="00CD00BE"/>
    <w:rsid w:val="00CD3145"/>
    <w:rsid w:val="00CD40CC"/>
    <w:rsid w:val="00CE0C6A"/>
    <w:rsid w:val="00CE3209"/>
    <w:rsid w:val="00CE4340"/>
    <w:rsid w:val="00CE488E"/>
    <w:rsid w:val="00CE7636"/>
    <w:rsid w:val="00CE76DD"/>
    <w:rsid w:val="00D02BA6"/>
    <w:rsid w:val="00D072ED"/>
    <w:rsid w:val="00D119C5"/>
    <w:rsid w:val="00D13DEB"/>
    <w:rsid w:val="00D14C66"/>
    <w:rsid w:val="00D1515F"/>
    <w:rsid w:val="00D22D25"/>
    <w:rsid w:val="00D237B6"/>
    <w:rsid w:val="00D24790"/>
    <w:rsid w:val="00D2767B"/>
    <w:rsid w:val="00D30367"/>
    <w:rsid w:val="00D32954"/>
    <w:rsid w:val="00D40B87"/>
    <w:rsid w:val="00D4217E"/>
    <w:rsid w:val="00D42CE8"/>
    <w:rsid w:val="00D547F1"/>
    <w:rsid w:val="00D57AE3"/>
    <w:rsid w:val="00D81D88"/>
    <w:rsid w:val="00D841C1"/>
    <w:rsid w:val="00D8496F"/>
    <w:rsid w:val="00D86DD2"/>
    <w:rsid w:val="00D9164C"/>
    <w:rsid w:val="00D97BBB"/>
    <w:rsid w:val="00D97EAA"/>
    <w:rsid w:val="00DA5693"/>
    <w:rsid w:val="00DB1FEB"/>
    <w:rsid w:val="00DB2AD7"/>
    <w:rsid w:val="00DC1252"/>
    <w:rsid w:val="00DD15A8"/>
    <w:rsid w:val="00DD45F4"/>
    <w:rsid w:val="00DD4683"/>
    <w:rsid w:val="00DD5961"/>
    <w:rsid w:val="00DD7878"/>
    <w:rsid w:val="00DD7F11"/>
    <w:rsid w:val="00DE44B6"/>
    <w:rsid w:val="00DE7988"/>
    <w:rsid w:val="00DF2510"/>
    <w:rsid w:val="00DF315A"/>
    <w:rsid w:val="00DF3E65"/>
    <w:rsid w:val="00DF4758"/>
    <w:rsid w:val="00DF5E79"/>
    <w:rsid w:val="00E018D9"/>
    <w:rsid w:val="00E02B47"/>
    <w:rsid w:val="00E039EF"/>
    <w:rsid w:val="00E16C63"/>
    <w:rsid w:val="00E22222"/>
    <w:rsid w:val="00E2222B"/>
    <w:rsid w:val="00E24987"/>
    <w:rsid w:val="00E26FD6"/>
    <w:rsid w:val="00E34804"/>
    <w:rsid w:val="00E439EB"/>
    <w:rsid w:val="00E448AB"/>
    <w:rsid w:val="00E50A3A"/>
    <w:rsid w:val="00E56CC0"/>
    <w:rsid w:val="00E575A8"/>
    <w:rsid w:val="00E63145"/>
    <w:rsid w:val="00E65886"/>
    <w:rsid w:val="00E75A83"/>
    <w:rsid w:val="00E866C9"/>
    <w:rsid w:val="00E870A5"/>
    <w:rsid w:val="00E9287D"/>
    <w:rsid w:val="00E95CBF"/>
    <w:rsid w:val="00EA00A8"/>
    <w:rsid w:val="00EB30C0"/>
    <w:rsid w:val="00EB6C59"/>
    <w:rsid w:val="00EB7060"/>
    <w:rsid w:val="00EC301C"/>
    <w:rsid w:val="00EC508F"/>
    <w:rsid w:val="00EC6F2F"/>
    <w:rsid w:val="00EC737E"/>
    <w:rsid w:val="00EC75F3"/>
    <w:rsid w:val="00ED2D23"/>
    <w:rsid w:val="00ED4412"/>
    <w:rsid w:val="00EE2ECC"/>
    <w:rsid w:val="00EE5401"/>
    <w:rsid w:val="00F011A2"/>
    <w:rsid w:val="00F03B95"/>
    <w:rsid w:val="00F06384"/>
    <w:rsid w:val="00F07F98"/>
    <w:rsid w:val="00F11CA0"/>
    <w:rsid w:val="00F1235B"/>
    <w:rsid w:val="00F12DDF"/>
    <w:rsid w:val="00F1350C"/>
    <w:rsid w:val="00F13E77"/>
    <w:rsid w:val="00F26F06"/>
    <w:rsid w:val="00F300F6"/>
    <w:rsid w:val="00F33232"/>
    <w:rsid w:val="00F43493"/>
    <w:rsid w:val="00F5470A"/>
    <w:rsid w:val="00F61EC8"/>
    <w:rsid w:val="00F63A8D"/>
    <w:rsid w:val="00F73157"/>
    <w:rsid w:val="00F77809"/>
    <w:rsid w:val="00F843AD"/>
    <w:rsid w:val="00F93552"/>
    <w:rsid w:val="00FA3C94"/>
    <w:rsid w:val="00FA43C2"/>
    <w:rsid w:val="00FA585A"/>
    <w:rsid w:val="00FB3E9C"/>
    <w:rsid w:val="00FC1218"/>
    <w:rsid w:val="00FC5BDE"/>
    <w:rsid w:val="00FC5C0C"/>
    <w:rsid w:val="00FD10A1"/>
    <w:rsid w:val="00FD2758"/>
    <w:rsid w:val="00FD32BD"/>
    <w:rsid w:val="00FD75DE"/>
    <w:rsid w:val="00FE0F0A"/>
    <w:rsid w:val="00FF2488"/>
    <w:rsid w:val="00FF4511"/>
    <w:rsid w:val="00FF684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44EDC"/>
  <w15:chartTrackingRefBased/>
  <w15:docId w15:val="{EAD298FE-8DDF-46A8-B902-8089F9062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8"/>
        <w:lang w:val="en-US"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A83"/>
  </w:style>
  <w:style w:type="paragraph" w:styleId="Heading1">
    <w:name w:val="heading 1"/>
    <w:basedOn w:val="Normal"/>
    <w:next w:val="Normal"/>
    <w:link w:val="Heading1Char"/>
    <w:uiPriority w:val="9"/>
    <w:qFormat/>
    <w:rsid w:val="00855085"/>
    <w:pPr>
      <w:keepNext/>
      <w:keepLines/>
      <w:spacing w:before="360" w:after="80"/>
      <w:outlineLvl w:val="0"/>
    </w:pPr>
    <w:rPr>
      <w:rFonts w:asciiTheme="majorHAnsi" w:eastAsiaTheme="majorEastAsia" w:hAnsiTheme="majorHAnsi" w:cstheme="majorBidi"/>
      <w:color w:val="2F5496" w:themeColor="accent1" w:themeShade="BF"/>
      <w:sz w:val="40"/>
      <w:szCs w:val="50"/>
    </w:rPr>
  </w:style>
  <w:style w:type="paragraph" w:styleId="Heading2">
    <w:name w:val="heading 2"/>
    <w:basedOn w:val="Normal"/>
    <w:next w:val="Normal"/>
    <w:link w:val="Heading2Char"/>
    <w:uiPriority w:val="9"/>
    <w:semiHidden/>
    <w:unhideWhenUsed/>
    <w:qFormat/>
    <w:rsid w:val="00855085"/>
    <w:pPr>
      <w:keepNext/>
      <w:keepLines/>
      <w:spacing w:before="160" w:after="80"/>
      <w:outlineLvl w:val="1"/>
    </w:pPr>
    <w:rPr>
      <w:rFonts w:asciiTheme="majorHAnsi" w:eastAsiaTheme="majorEastAsia" w:hAnsiTheme="majorHAnsi" w:cstheme="majorBidi"/>
      <w:color w:val="2F5496" w:themeColor="accent1" w:themeShade="BF"/>
      <w:sz w:val="32"/>
      <w:szCs w:val="40"/>
    </w:rPr>
  </w:style>
  <w:style w:type="paragraph" w:styleId="Heading3">
    <w:name w:val="heading 3"/>
    <w:basedOn w:val="Normal"/>
    <w:next w:val="Normal"/>
    <w:link w:val="Heading3Char"/>
    <w:uiPriority w:val="9"/>
    <w:unhideWhenUsed/>
    <w:qFormat/>
    <w:rsid w:val="00855085"/>
    <w:pPr>
      <w:keepNext/>
      <w:keepLines/>
      <w:spacing w:before="160" w:after="80"/>
      <w:outlineLvl w:val="2"/>
    </w:pPr>
    <w:rPr>
      <w:rFonts w:eastAsiaTheme="majorEastAsia" w:cstheme="majorBidi"/>
      <w:color w:val="2F5496" w:themeColor="accent1" w:themeShade="BF"/>
      <w:sz w:val="28"/>
      <w:szCs w:val="35"/>
    </w:rPr>
  </w:style>
  <w:style w:type="paragraph" w:styleId="Heading4">
    <w:name w:val="heading 4"/>
    <w:basedOn w:val="Normal"/>
    <w:next w:val="Normal"/>
    <w:link w:val="Heading4Char"/>
    <w:uiPriority w:val="9"/>
    <w:semiHidden/>
    <w:unhideWhenUsed/>
    <w:qFormat/>
    <w:rsid w:val="0085508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5508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5508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508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508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508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5085"/>
    <w:rPr>
      <w:rFonts w:asciiTheme="majorHAnsi" w:eastAsiaTheme="majorEastAsia" w:hAnsiTheme="majorHAnsi" w:cstheme="majorBidi"/>
      <w:color w:val="2F5496" w:themeColor="accent1" w:themeShade="BF"/>
      <w:sz w:val="40"/>
      <w:szCs w:val="50"/>
    </w:rPr>
  </w:style>
  <w:style w:type="character" w:customStyle="1" w:styleId="Heading2Char">
    <w:name w:val="Heading 2 Char"/>
    <w:basedOn w:val="DefaultParagraphFont"/>
    <w:link w:val="Heading2"/>
    <w:uiPriority w:val="9"/>
    <w:semiHidden/>
    <w:rsid w:val="00855085"/>
    <w:rPr>
      <w:rFonts w:asciiTheme="majorHAnsi" w:eastAsiaTheme="majorEastAsia" w:hAnsiTheme="majorHAnsi" w:cstheme="majorBidi"/>
      <w:color w:val="2F5496" w:themeColor="accent1" w:themeShade="BF"/>
      <w:sz w:val="32"/>
      <w:szCs w:val="40"/>
    </w:rPr>
  </w:style>
  <w:style w:type="character" w:customStyle="1" w:styleId="Heading3Char">
    <w:name w:val="Heading 3 Char"/>
    <w:basedOn w:val="DefaultParagraphFont"/>
    <w:link w:val="Heading3"/>
    <w:uiPriority w:val="9"/>
    <w:rsid w:val="00855085"/>
    <w:rPr>
      <w:rFonts w:eastAsiaTheme="majorEastAsia" w:cstheme="majorBidi"/>
      <w:color w:val="2F5496" w:themeColor="accent1" w:themeShade="BF"/>
      <w:sz w:val="28"/>
      <w:szCs w:val="35"/>
    </w:rPr>
  </w:style>
  <w:style w:type="character" w:customStyle="1" w:styleId="Heading4Char">
    <w:name w:val="Heading 4 Char"/>
    <w:basedOn w:val="DefaultParagraphFont"/>
    <w:link w:val="Heading4"/>
    <w:uiPriority w:val="9"/>
    <w:semiHidden/>
    <w:rsid w:val="0085508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5508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5508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508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508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5085"/>
    <w:rPr>
      <w:rFonts w:eastAsiaTheme="majorEastAsia" w:cstheme="majorBidi"/>
      <w:color w:val="272727" w:themeColor="text1" w:themeTint="D8"/>
    </w:rPr>
  </w:style>
  <w:style w:type="paragraph" w:styleId="Title">
    <w:name w:val="Title"/>
    <w:basedOn w:val="Normal"/>
    <w:next w:val="Normal"/>
    <w:link w:val="TitleChar"/>
    <w:uiPriority w:val="10"/>
    <w:qFormat/>
    <w:rsid w:val="00855085"/>
    <w:pPr>
      <w:spacing w:after="80" w:line="240" w:lineRule="auto"/>
      <w:contextualSpacing/>
    </w:pPr>
    <w:rPr>
      <w:rFonts w:asciiTheme="majorHAnsi" w:eastAsiaTheme="majorEastAsia" w:hAnsiTheme="majorHAnsi" w:cstheme="majorBidi"/>
      <w:spacing w:val="-10"/>
      <w:kern w:val="28"/>
      <w:sz w:val="56"/>
      <w:szCs w:val="71"/>
    </w:rPr>
  </w:style>
  <w:style w:type="character" w:customStyle="1" w:styleId="TitleChar">
    <w:name w:val="Title Char"/>
    <w:basedOn w:val="DefaultParagraphFont"/>
    <w:link w:val="Title"/>
    <w:uiPriority w:val="10"/>
    <w:rsid w:val="00855085"/>
    <w:rPr>
      <w:rFonts w:asciiTheme="majorHAnsi" w:eastAsiaTheme="majorEastAsia" w:hAnsiTheme="majorHAnsi" w:cstheme="majorBidi"/>
      <w:spacing w:val="-10"/>
      <w:kern w:val="28"/>
      <w:sz w:val="56"/>
      <w:szCs w:val="71"/>
    </w:rPr>
  </w:style>
  <w:style w:type="paragraph" w:styleId="Subtitle">
    <w:name w:val="Subtitle"/>
    <w:basedOn w:val="Normal"/>
    <w:next w:val="Normal"/>
    <w:link w:val="SubtitleChar"/>
    <w:uiPriority w:val="11"/>
    <w:qFormat/>
    <w:rsid w:val="00855085"/>
    <w:pPr>
      <w:numPr>
        <w:ilvl w:val="1"/>
      </w:numPr>
    </w:pPr>
    <w:rPr>
      <w:rFonts w:eastAsiaTheme="majorEastAsia" w:cstheme="majorBidi"/>
      <w:color w:val="595959" w:themeColor="text1" w:themeTint="A6"/>
      <w:spacing w:val="15"/>
      <w:sz w:val="28"/>
      <w:szCs w:val="35"/>
    </w:rPr>
  </w:style>
  <w:style w:type="character" w:customStyle="1" w:styleId="SubtitleChar">
    <w:name w:val="Subtitle Char"/>
    <w:basedOn w:val="DefaultParagraphFont"/>
    <w:link w:val="Subtitle"/>
    <w:uiPriority w:val="11"/>
    <w:rsid w:val="00855085"/>
    <w:rPr>
      <w:rFonts w:eastAsiaTheme="majorEastAsia" w:cstheme="majorBidi"/>
      <w:color w:val="595959" w:themeColor="text1" w:themeTint="A6"/>
      <w:spacing w:val="15"/>
      <w:sz w:val="28"/>
      <w:szCs w:val="35"/>
    </w:rPr>
  </w:style>
  <w:style w:type="paragraph" w:styleId="Quote">
    <w:name w:val="Quote"/>
    <w:basedOn w:val="Normal"/>
    <w:next w:val="Normal"/>
    <w:link w:val="QuoteChar"/>
    <w:uiPriority w:val="29"/>
    <w:qFormat/>
    <w:rsid w:val="00855085"/>
    <w:pPr>
      <w:spacing w:before="160"/>
      <w:jc w:val="center"/>
    </w:pPr>
    <w:rPr>
      <w:i/>
      <w:iCs/>
      <w:color w:val="404040" w:themeColor="text1" w:themeTint="BF"/>
    </w:rPr>
  </w:style>
  <w:style w:type="character" w:customStyle="1" w:styleId="QuoteChar">
    <w:name w:val="Quote Char"/>
    <w:basedOn w:val="DefaultParagraphFont"/>
    <w:link w:val="Quote"/>
    <w:uiPriority w:val="29"/>
    <w:rsid w:val="00855085"/>
    <w:rPr>
      <w:i/>
      <w:iCs/>
      <w:color w:val="404040" w:themeColor="text1" w:themeTint="BF"/>
    </w:rPr>
  </w:style>
  <w:style w:type="paragraph" w:styleId="ListParagraph">
    <w:name w:val="List Paragraph"/>
    <w:basedOn w:val="Normal"/>
    <w:uiPriority w:val="34"/>
    <w:qFormat/>
    <w:rsid w:val="00855085"/>
    <w:pPr>
      <w:ind w:left="720"/>
      <w:contextualSpacing/>
    </w:pPr>
  </w:style>
  <w:style w:type="character" w:styleId="IntenseEmphasis">
    <w:name w:val="Intense Emphasis"/>
    <w:basedOn w:val="DefaultParagraphFont"/>
    <w:uiPriority w:val="21"/>
    <w:qFormat/>
    <w:rsid w:val="00855085"/>
    <w:rPr>
      <w:i/>
      <w:iCs/>
      <w:color w:val="2F5496" w:themeColor="accent1" w:themeShade="BF"/>
    </w:rPr>
  </w:style>
  <w:style w:type="paragraph" w:styleId="IntenseQuote">
    <w:name w:val="Intense Quote"/>
    <w:basedOn w:val="Normal"/>
    <w:next w:val="Normal"/>
    <w:link w:val="IntenseQuoteChar"/>
    <w:uiPriority w:val="30"/>
    <w:qFormat/>
    <w:rsid w:val="0085508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55085"/>
    <w:rPr>
      <w:i/>
      <w:iCs/>
      <w:color w:val="2F5496" w:themeColor="accent1" w:themeShade="BF"/>
    </w:rPr>
  </w:style>
  <w:style w:type="character" w:styleId="IntenseReference">
    <w:name w:val="Intense Reference"/>
    <w:basedOn w:val="DefaultParagraphFont"/>
    <w:uiPriority w:val="32"/>
    <w:qFormat/>
    <w:rsid w:val="00855085"/>
    <w:rPr>
      <w:b/>
      <w:bCs/>
      <w:smallCaps/>
      <w:color w:val="2F5496" w:themeColor="accent1" w:themeShade="BF"/>
      <w:spacing w:val="5"/>
    </w:rPr>
  </w:style>
  <w:style w:type="table" w:styleId="TableGrid">
    <w:name w:val="Table Grid"/>
    <w:basedOn w:val="TableNormal"/>
    <w:uiPriority w:val="39"/>
    <w:rsid w:val="00BA5C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24790"/>
    <w:rPr>
      <w:color w:val="0563C1" w:themeColor="hyperlink"/>
      <w:u w:val="single"/>
    </w:rPr>
  </w:style>
  <w:style w:type="character" w:styleId="UnresolvedMention">
    <w:name w:val="Unresolved Mention"/>
    <w:basedOn w:val="DefaultParagraphFont"/>
    <w:uiPriority w:val="99"/>
    <w:semiHidden/>
    <w:unhideWhenUsed/>
    <w:rsid w:val="00D24790"/>
    <w:rPr>
      <w:color w:val="605E5C"/>
      <w:shd w:val="clear" w:color="auto" w:fill="E1DFDD"/>
    </w:rPr>
  </w:style>
  <w:style w:type="character" w:styleId="FollowedHyperlink">
    <w:name w:val="FollowedHyperlink"/>
    <w:basedOn w:val="DefaultParagraphFont"/>
    <w:uiPriority w:val="99"/>
    <w:semiHidden/>
    <w:unhideWhenUsed/>
    <w:rsid w:val="00A1190B"/>
    <w:rPr>
      <w:color w:val="954F72" w:themeColor="followedHyperlink"/>
      <w:u w:val="single"/>
    </w:rPr>
  </w:style>
  <w:style w:type="paragraph" w:styleId="Header">
    <w:name w:val="header"/>
    <w:basedOn w:val="Normal"/>
    <w:link w:val="HeaderChar"/>
    <w:uiPriority w:val="99"/>
    <w:unhideWhenUsed/>
    <w:rsid w:val="007C7C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7CF5"/>
  </w:style>
  <w:style w:type="paragraph" w:styleId="Footer">
    <w:name w:val="footer"/>
    <w:basedOn w:val="Normal"/>
    <w:link w:val="FooterChar"/>
    <w:uiPriority w:val="99"/>
    <w:unhideWhenUsed/>
    <w:rsid w:val="007C7C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7CF5"/>
  </w:style>
  <w:style w:type="character" w:styleId="Strong">
    <w:name w:val="Strong"/>
    <w:basedOn w:val="DefaultParagraphFont"/>
    <w:uiPriority w:val="22"/>
    <w:qFormat/>
    <w:rsid w:val="00505F09"/>
    <w:rPr>
      <w:b/>
      <w:bCs/>
    </w:rPr>
  </w:style>
  <w:style w:type="paragraph" w:styleId="NormalWeb">
    <w:name w:val="Normal (Web)"/>
    <w:basedOn w:val="Normal"/>
    <w:uiPriority w:val="99"/>
    <w:semiHidden/>
    <w:unhideWhenUsed/>
    <w:rsid w:val="00532CF2"/>
    <w:rPr>
      <w:rFonts w:ascii="Times New Roman" w:hAnsi="Times New Roman" w:cs="Angsana New"/>
      <w:sz w:val="24"/>
      <w:szCs w:val="30"/>
    </w:rPr>
  </w:style>
  <w:style w:type="character" w:styleId="CommentReference">
    <w:name w:val="annotation reference"/>
    <w:basedOn w:val="DefaultParagraphFont"/>
    <w:uiPriority w:val="99"/>
    <w:semiHidden/>
    <w:unhideWhenUsed/>
    <w:rsid w:val="00D97EAA"/>
    <w:rPr>
      <w:sz w:val="16"/>
      <w:szCs w:val="16"/>
    </w:rPr>
  </w:style>
  <w:style w:type="paragraph" w:styleId="CommentText">
    <w:name w:val="annotation text"/>
    <w:basedOn w:val="Normal"/>
    <w:link w:val="CommentTextChar"/>
    <w:uiPriority w:val="99"/>
    <w:unhideWhenUsed/>
    <w:rsid w:val="00D97EAA"/>
    <w:pPr>
      <w:spacing w:line="240" w:lineRule="auto"/>
    </w:pPr>
    <w:rPr>
      <w:sz w:val="20"/>
      <w:szCs w:val="25"/>
    </w:rPr>
  </w:style>
  <w:style w:type="character" w:customStyle="1" w:styleId="CommentTextChar">
    <w:name w:val="Comment Text Char"/>
    <w:basedOn w:val="DefaultParagraphFont"/>
    <w:link w:val="CommentText"/>
    <w:uiPriority w:val="99"/>
    <w:rsid w:val="00D97EAA"/>
    <w:rPr>
      <w:sz w:val="20"/>
      <w:szCs w:val="25"/>
    </w:rPr>
  </w:style>
  <w:style w:type="paragraph" w:styleId="CommentSubject">
    <w:name w:val="annotation subject"/>
    <w:basedOn w:val="CommentText"/>
    <w:next w:val="CommentText"/>
    <w:link w:val="CommentSubjectChar"/>
    <w:uiPriority w:val="99"/>
    <w:semiHidden/>
    <w:unhideWhenUsed/>
    <w:rsid w:val="00D97EAA"/>
    <w:rPr>
      <w:b/>
      <w:bCs/>
    </w:rPr>
  </w:style>
  <w:style w:type="character" w:customStyle="1" w:styleId="CommentSubjectChar">
    <w:name w:val="Comment Subject Char"/>
    <w:basedOn w:val="CommentTextChar"/>
    <w:link w:val="CommentSubject"/>
    <w:uiPriority w:val="99"/>
    <w:semiHidden/>
    <w:rsid w:val="00D97EAA"/>
    <w:rPr>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290968">
      <w:bodyDiv w:val="1"/>
      <w:marLeft w:val="0"/>
      <w:marRight w:val="0"/>
      <w:marTop w:val="0"/>
      <w:marBottom w:val="0"/>
      <w:divBdr>
        <w:top w:val="none" w:sz="0" w:space="0" w:color="auto"/>
        <w:left w:val="none" w:sz="0" w:space="0" w:color="auto"/>
        <w:bottom w:val="none" w:sz="0" w:space="0" w:color="auto"/>
        <w:right w:val="none" w:sz="0" w:space="0" w:color="auto"/>
      </w:divBdr>
    </w:div>
    <w:div w:id="588006266">
      <w:bodyDiv w:val="1"/>
      <w:marLeft w:val="0"/>
      <w:marRight w:val="0"/>
      <w:marTop w:val="0"/>
      <w:marBottom w:val="0"/>
      <w:divBdr>
        <w:top w:val="none" w:sz="0" w:space="0" w:color="auto"/>
        <w:left w:val="none" w:sz="0" w:space="0" w:color="auto"/>
        <w:bottom w:val="none" w:sz="0" w:space="0" w:color="auto"/>
        <w:right w:val="none" w:sz="0" w:space="0" w:color="auto"/>
      </w:divBdr>
    </w:div>
    <w:div w:id="683744488">
      <w:bodyDiv w:val="1"/>
      <w:marLeft w:val="0"/>
      <w:marRight w:val="0"/>
      <w:marTop w:val="0"/>
      <w:marBottom w:val="0"/>
      <w:divBdr>
        <w:top w:val="none" w:sz="0" w:space="0" w:color="auto"/>
        <w:left w:val="none" w:sz="0" w:space="0" w:color="auto"/>
        <w:bottom w:val="none" w:sz="0" w:space="0" w:color="auto"/>
        <w:right w:val="none" w:sz="0" w:space="0" w:color="auto"/>
      </w:divBdr>
    </w:div>
    <w:div w:id="740910593">
      <w:bodyDiv w:val="1"/>
      <w:marLeft w:val="0"/>
      <w:marRight w:val="0"/>
      <w:marTop w:val="0"/>
      <w:marBottom w:val="0"/>
      <w:divBdr>
        <w:top w:val="none" w:sz="0" w:space="0" w:color="auto"/>
        <w:left w:val="none" w:sz="0" w:space="0" w:color="auto"/>
        <w:bottom w:val="none" w:sz="0" w:space="0" w:color="auto"/>
        <w:right w:val="none" w:sz="0" w:space="0" w:color="auto"/>
      </w:divBdr>
    </w:div>
    <w:div w:id="816149469">
      <w:bodyDiv w:val="1"/>
      <w:marLeft w:val="0"/>
      <w:marRight w:val="0"/>
      <w:marTop w:val="0"/>
      <w:marBottom w:val="0"/>
      <w:divBdr>
        <w:top w:val="none" w:sz="0" w:space="0" w:color="auto"/>
        <w:left w:val="none" w:sz="0" w:space="0" w:color="auto"/>
        <w:bottom w:val="none" w:sz="0" w:space="0" w:color="auto"/>
        <w:right w:val="none" w:sz="0" w:space="0" w:color="auto"/>
      </w:divBdr>
    </w:div>
    <w:div w:id="882013285">
      <w:bodyDiv w:val="1"/>
      <w:marLeft w:val="0"/>
      <w:marRight w:val="0"/>
      <w:marTop w:val="0"/>
      <w:marBottom w:val="0"/>
      <w:divBdr>
        <w:top w:val="none" w:sz="0" w:space="0" w:color="auto"/>
        <w:left w:val="none" w:sz="0" w:space="0" w:color="auto"/>
        <w:bottom w:val="none" w:sz="0" w:space="0" w:color="auto"/>
        <w:right w:val="none" w:sz="0" w:space="0" w:color="auto"/>
      </w:divBdr>
    </w:div>
    <w:div w:id="964387915">
      <w:bodyDiv w:val="1"/>
      <w:marLeft w:val="0"/>
      <w:marRight w:val="0"/>
      <w:marTop w:val="0"/>
      <w:marBottom w:val="0"/>
      <w:divBdr>
        <w:top w:val="none" w:sz="0" w:space="0" w:color="auto"/>
        <w:left w:val="none" w:sz="0" w:space="0" w:color="auto"/>
        <w:bottom w:val="none" w:sz="0" w:space="0" w:color="auto"/>
        <w:right w:val="none" w:sz="0" w:space="0" w:color="auto"/>
      </w:divBdr>
    </w:div>
    <w:div w:id="967006305">
      <w:bodyDiv w:val="1"/>
      <w:marLeft w:val="0"/>
      <w:marRight w:val="0"/>
      <w:marTop w:val="0"/>
      <w:marBottom w:val="0"/>
      <w:divBdr>
        <w:top w:val="none" w:sz="0" w:space="0" w:color="auto"/>
        <w:left w:val="none" w:sz="0" w:space="0" w:color="auto"/>
        <w:bottom w:val="none" w:sz="0" w:space="0" w:color="auto"/>
        <w:right w:val="none" w:sz="0" w:space="0" w:color="auto"/>
      </w:divBdr>
    </w:div>
    <w:div w:id="980621263">
      <w:bodyDiv w:val="1"/>
      <w:marLeft w:val="0"/>
      <w:marRight w:val="0"/>
      <w:marTop w:val="0"/>
      <w:marBottom w:val="0"/>
      <w:divBdr>
        <w:top w:val="none" w:sz="0" w:space="0" w:color="auto"/>
        <w:left w:val="none" w:sz="0" w:space="0" w:color="auto"/>
        <w:bottom w:val="none" w:sz="0" w:space="0" w:color="auto"/>
        <w:right w:val="none" w:sz="0" w:space="0" w:color="auto"/>
      </w:divBdr>
      <w:divsChild>
        <w:div w:id="1657685286">
          <w:blockQuote w:val="1"/>
          <w:marLeft w:val="720"/>
          <w:marRight w:val="720"/>
          <w:marTop w:val="100"/>
          <w:marBottom w:val="100"/>
          <w:divBdr>
            <w:top w:val="none" w:sz="0" w:space="0" w:color="auto"/>
            <w:left w:val="none" w:sz="0" w:space="0" w:color="auto"/>
            <w:bottom w:val="none" w:sz="0" w:space="0" w:color="auto"/>
            <w:right w:val="none" w:sz="0" w:space="0" w:color="auto"/>
          </w:divBdr>
        </w:div>
        <w:div w:id="1640645912">
          <w:blockQuote w:val="1"/>
          <w:marLeft w:val="720"/>
          <w:marRight w:val="720"/>
          <w:marTop w:val="100"/>
          <w:marBottom w:val="100"/>
          <w:divBdr>
            <w:top w:val="none" w:sz="0" w:space="0" w:color="auto"/>
            <w:left w:val="none" w:sz="0" w:space="0" w:color="auto"/>
            <w:bottom w:val="none" w:sz="0" w:space="0" w:color="auto"/>
            <w:right w:val="none" w:sz="0" w:space="0" w:color="auto"/>
          </w:divBdr>
        </w:div>
        <w:div w:id="1154495089">
          <w:blockQuote w:val="1"/>
          <w:marLeft w:val="720"/>
          <w:marRight w:val="720"/>
          <w:marTop w:val="100"/>
          <w:marBottom w:val="100"/>
          <w:divBdr>
            <w:top w:val="none" w:sz="0" w:space="0" w:color="auto"/>
            <w:left w:val="none" w:sz="0" w:space="0" w:color="auto"/>
            <w:bottom w:val="none" w:sz="0" w:space="0" w:color="auto"/>
            <w:right w:val="none" w:sz="0" w:space="0" w:color="auto"/>
          </w:divBdr>
        </w:div>
        <w:div w:id="948200894">
          <w:blockQuote w:val="1"/>
          <w:marLeft w:val="720"/>
          <w:marRight w:val="720"/>
          <w:marTop w:val="100"/>
          <w:marBottom w:val="100"/>
          <w:divBdr>
            <w:top w:val="none" w:sz="0" w:space="0" w:color="auto"/>
            <w:left w:val="none" w:sz="0" w:space="0" w:color="auto"/>
            <w:bottom w:val="none" w:sz="0" w:space="0" w:color="auto"/>
            <w:right w:val="none" w:sz="0" w:space="0" w:color="auto"/>
          </w:divBdr>
        </w:div>
        <w:div w:id="1200894205">
          <w:blockQuote w:val="1"/>
          <w:marLeft w:val="720"/>
          <w:marRight w:val="720"/>
          <w:marTop w:val="100"/>
          <w:marBottom w:val="100"/>
          <w:divBdr>
            <w:top w:val="none" w:sz="0" w:space="0" w:color="auto"/>
            <w:left w:val="none" w:sz="0" w:space="0" w:color="auto"/>
            <w:bottom w:val="none" w:sz="0" w:space="0" w:color="auto"/>
            <w:right w:val="none" w:sz="0" w:space="0" w:color="auto"/>
          </w:divBdr>
        </w:div>
        <w:div w:id="1600212152">
          <w:blockQuote w:val="1"/>
          <w:marLeft w:val="720"/>
          <w:marRight w:val="720"/>
          <w:marTop w:val="100"/>
          <w:marBottom w:val="100"/>
          <w:divBdr>
            <w:top w:val="none" w:sz="0" w:space="0" w:color="auto"/>
            <w:left w:val="none" w:sz="0" w:space="0" w:color="auto"/>
            <w:bottom w:val="none" w:sz="0" w:space="0" w:color="auto"/>
            <w:right w:val="none" w:sz="0" w:space="0" w:color="auto"/>
          </w:divBdr>
        </w:div>
        <w:div w:id="14346706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3235206">
      <w:bodyDiv w:val="1"/>
      <w:marLeft w:val="0"/>
      <w:marRight w:val="0"/>
      <w:marTop w:val="0"/>
      <w:marBottom w:val="0"/>
      <w:divBdr>
        <w:top w:val="none" w:sz="0" w:space="0" w:color="auto"/>
        <w:left w:val="none" w:sz="0" w:space="0" w:color="auto"/>
        <w:bottom w:val="none" w:sz="0" w:space="0" w:color="auto"/>
        <w:right w:val="none" w:sz="0" w:space="0" w:color="auto"/>
      </w:divBdr>
    </w:div>
    <w:div w:id="1162549647">
      <w:bodyDiv w:val="1"/>
      <w:marLeft w:val="0"/>
      <w:marRight w:val="0"/>
      <w:marTop w:val="0"/>
      <w:marBottom w:val="0"/>
      <w:divBdr>
        <w:top w:val="none" w:sz="0" w:space="0" w:color="auto"/>
        <w:left w:val="none" w:sz="0" w:space="0" w:color="auto"/>
        <w:bottom w:val="none" w:sz="0" w:space="0" w:color="auto"/>
        <w:right w:val="none" w:sz="0" w:space="0" w:color="auto"/>
      </w:divBdr>
    </w:div>
    <w:div w:id="1339500062">
      <w:bodyDiv w:val="1"/>
      <w:marLeft w:val="0"/>
      <w:marRight w:val="0"/>
      <w:marTop w:val="0"/>
      <w:marBottom w:val="0"/>
      <w:divBdr>
        <w:top w:val="none" w:sz="0" w:space="0" w:color="auto"/>
        <w:left w:val="none" w:sz="0" w:space="0" w:color="auto"/>
        <w:bottom w:val="none" w:sz="0" w:space="0" w:color="auto"/>
        <w:right w:val="none" w:sz="0" w:space="0" w:color="auto"/>
      </w:divBdr>
    </w:div>
    <w:div w:id="1340736566">
      <w:bodyDiv w:val="1"/>
      <w:marLeft w:val="0"/>
      <w:marRight w:val="0"/>
      <w:marTop w:val="0"/>
      <w:marBottom w:val="0"/>
      <w:divBdr>
        <w:top w:val="none" w:sz="0" w:space="0" w:color="auto"/>
        <w:left w:val="none" w:sz="0" w:space="0" w:color="auto"/>
        <w:bottom w:val="none" w:sz="0" w:space="0" w:color="auto"/>
        <w:right w:val="none" w:sz="0" w:space="0" w:color="auto"/>
      </w:divBdr>
    </w:div>
    <w:div w:id="1471632044">
      <w:bodyDiv w:val="1"/>
      <w:marLeft w:val="0"/>
      <w:marRight w:val="0"/>
      <w:marTop w:val="0"/>
      <w:marBottom w:val="0"/>
      <w:divBdr>
        <w:top w:val="none" w:sz="0" w:space="0" w:color="auto"/>
        <w:left w:val="none" w:sz="0" w:space="0" w:color="auto"/>
        <w:bottom w:val="none" w:sz="0" w:space="0" w:color="auto"/>
        <w:right w:val="none" w:sz="0" w:space="0" w:color="auto"/>
      </w:divBdr>
      <w:divsChild>
        <w:div w:id="373695617">
          <w:blockQuote w:val="1"/>
          <w:marLeft w:val="720"/>
          <w:marRight w:val="720"/>
          <w:marTop w:val="100"/>
          <w:marBottom w:val="100"/>
          <w:divBdr>
            <w:top w:val="none" w:sz="0" w:space="0" w:color="auto"/>
            <w:left w:val="none" w:sz="0" w:space="0" w:color="auto"/>
            <w:bottom w:val="none" w:sz="0" w:space="0" w:color="auto"/>
            <w:right w:val="none" w:sz="0" w:space="0" w:color="auto"/>
          </w:divBdr>
        </w:div>
        <w:div w:id="1832410585">
          <w:blockQuote w:val="1"/>
          <w:marLeft w:val="720"/>
          <w:marRight w:val="720"/>
          <w:marTop w:val="100"/>
          <w:marBottom w:val="100"/>
          <w:divBdr>
            <w:top w:val="none" w:sz="0" w:space="0" w:color="auto"/>
            <w:left w:val="none" w:sz="0" w:space="0" w:color="auto"/>
            <w:bottom w:val="none" w:sz="0" w:space="0" w:color="auto"/>
            <w:right w:val="none" w:sz="0" w:space="0" w:color="auto"/>
          </w:divBdr>
        </w:div>
        <w:div w:id="27802176">
          <w:blockQuote w:val="1"/>
          <w:marLeft w:val="720"/>
          <w:marRight w:val="720"/>
          <w:marTop w:val="100"/>
          <w:marBottom w:val="100"/>
          <w:divBdr>
            <w:top w:val="none" w:sz="0" w:space="0" w:color="auto"/>
            <w:left w:val="none" w:sz="0" w:space="0" w:color="auto"/>
            <w:bottom w:val="none" w:sz="0" w:space="0" w:color="auto"/>
            <w:right w:val="none" w:sz="0" w:space="0" w:color="auto"/>
          </w:divBdr>
        </w:div>
        <w:div w:id="1241217334">
          <w:blockQuote w:val="1"/>
          <w:marLeft w:val="720"/>
          <w:marRight w:val="720"/>
          <w:marTop w:val="100"/>
          <w:marBottom w:val="100"/>
          <w:divBdr>
            <w:top w:val="none" w:sz="0" w:space="0" w:color="auto"/>
            <w:left w:val="none" w:sz="0" w:space="0" w:color="auto"/>
            <w:bottom w:val="none" w:sz="0" w:space="0" w:color="auto"/>
            <w:right w:val="none" w:sz="0" w:space="0" w:color="auto"/>
          </w:divBdr>
        </w:div>
        <w:div w:id="1220245185">
          <w:blockQuote w:val="1"/>
          <w:marLeft w:val="720"/>
          <w:marRight w:val="720"/>
          <w:marTop w:val="100"/>
          <w:marBottom w:val="100"/>
          <w:divBdr>
            <w:top w:val="none" w:sz="0" w:space="0" w:color="auto"/>
            <w:left w:val="none" w:sz="0" w:space="0" w:color="auto"/>
            <w:bottom w:val="none" w:sz="0" w:space="0" w:color="auto"/>
            <w:right w:val="none" w:sz="0" w:space="0" w:color="auto"/>
          </w:divBdr>
        </w:div>
        <w:div w:id="1925601242">
          <w:blockQuote w:val="1"/>
          <w:marLeft w:val="720"/>
          <w:marRight w:val="720"/>
          <w:marTop w:val="100"/>
          <w:marBottom w:val="100"/>
          <w:divBdr>
            <w:top w:val="none" w:sz="0" w:space="0" w:color="auto"/>
            <w:left w:val="none" w:sz="0" w:space="0" w:color="auto"/>
            <w:bottom w:val="none" w:sz="0" w:space="0" w:color="auto"/>
            <w:right w:val="none" w:sz="0" w:space="0" w:color="auto"/>
          </w:divBdr>
        </w:div>
        <w:div w:id="20317131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39006819">
      <w:bodyDiv w:val="1"/>
      <w:marLeft w:val="0"/>
      <w:marRight w:val="0"/>
      <w:marTop w:val="0"/>
      <w:marBottom w:val="0"/>
      <w:divBdr>
        <w:top w:val="none" w:sz="0" w:space="0" w:color="auto"/>
        <w:left w:val="none" w:sz="0" w:space="0" w:color="auto"/>
        <w:bottom w:val="none" w:sz="0" w:space="0" w:color="auto"/>
        <w:right w:val="none" w:sz="0" w:space="0" w:color="auto"/>
      </w:divBdr>
    </w:div>
    <w:div w:id="158780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0.png"/><Relationship Id="rId42" Type="http://schemas.openxmlformats.org/officeDocument/2006/relationships/image" Target="media/image25.png"/><Relationship Id="rId47" Type="http://schemas.openxmlformats.org/officeDocument/2006/relationships/image" Target="media/image28.png"/><Relationship Id="rId63" Type="http://schemas.openxmlformats.org/officeDocument/2006/relationships/image" Target="media/image44.png"/><Relationship Id="rId68" Type="http://schemas.openxmlformats.org/officeDocument/2006/relationships/hyperlink" Target="https://www.unwto.org/tourism-statistics/economic-contribution-SDG" TargetMode="External"/><Relationship Id="rId84" Type="http://schemas.openxmlformats.org/officeDocument/2006/relationships/hyperlink" Target="https://www.nesdc.go.th/nesdb_en/more_news.php?cid=156&amp;filename=index" TargetMode="External"/><Relationship Id="rId89" Type="http://schemas.openxmlformats.org/officeDocument/2006/relationships/hyperlink" Target="https://hdr.undp.org/data-center/documentation-and-downloads" TargetMode="External"/><Relationship Id="rId16" Type="http://schemas.openxmlformats.org/officeDocument/2006/relationships/image" Target="media/image6.png"/><Relationship Id="rId11" Type="http://schemas.openxmlformats.org/officeDocument/2006/relationships/image" Target="media/image3.png"/><Relationship Id="rId32" Type="http://schemas.openxmlformats.org/officeDocument/2006/relationships/image" Target="media/image18.png"/><Relationship Id="rId37" Type="http://schemas.openxmlformats.org/officeDocument/2006/relationships/hyperlink" Target="https://www.nesdc.go.th/main.php?filename=social" TargetMode="External"/><Relationship Id="rId53" Type="http://schemas.openxmlformats.org/officeDocument/2006/relationships/image" Target="media/image34.png"/><Relationship Id="rId58" Type="http://schemas.openxmlformats.org/officeDocument/2006/relationships/image" Target="media/image39.png"/><Relationship Id="rId74" Type="http://schemas.openxmlformats.org/officeDocument/2006/relationships/hyperlink" Target="https://www.emdat.be/" TargetMode="External"/><Relationship Id="rId79" Type="http://schemas.openxmlformats.org/officeDocument/2006/relationships/hyperlink" Target="https://www.fao.org/3/i9540en/i9540en.pdf" TargetMode="External"/><Relationship Id="rId5" Type="http://schemas.openxmlformats.org/officeDocument/2006/relationships/webSettings" Target="webSettings.xml"/><Relationship Id="rId90" Type="http://schemas.openxmlformats.org/officeDocument/2006/relationships/hyperlink" Target="https://unhabitat.org/world-cities-report-2016" TargetMode="External"/><Relationship Id="rId22" Type="http://schemas.openxmlformats.org/officeDocument/2006/relationships/image" Target="media/image11.png"/><Relationship Id="rId27" Type="http://schemas.openxmlformats.org/officeDocument/2006/relationships/hyperlink" Target="https://stat.bora.dopa.go.th/stat/statnew/statMenu/newStat/home.php" TargetMode="External"/><Relationship Id="rId43" Type="http://schemas.openxmlformats.org/officeDocument/2006/relationships/hyperlink" Target="https://hdr.undp.org/data-center/documentation-and-downloads" TargetMode="External"/><Relationship Id="rId48" Type="http://schemas.openxmlformats.org/officeDocument/2006/relationships/image" Target="media/image29.png"/><Relationship Id="rId64" Type="http://schemas.openxmlformats.org/officeDocument/2006/relationships/hyperlink" Target="https://www.nesdc.go.th/nesdb_en/more_news.php?cid=156&amp;filename=index" TargetMode="External"/><Relationship Id="rId69" Type="http://schemas.openxmlformats.org/officeDocument/2006/relationships/image" Target="media/image47.png"/><Relationship Id="rId8" Type="http://schemas.openxmlformats.org/officeDocument/2006/relationships/customXml" Target="ink/ink1.xml"/><Relationship Id="rId51" Type="http://schemas.openxmlformats.org/officeDocument/2006/relationships/image" Target="media/image32.png"/><Relationship Id="rId72" Type="http://schemas.openxmlformats.org/officeDocument/2006/relationships/hyperlink" Target="https://www.emdat.be/" TargetMode="External"/><Relationship Id="rId80" Type="http://schemas.openxmlformats.org/officeDocument/2006/relationships/hyperlink" Target="https://de-public-statsuite.fao.org/" TargetMode="External"/><Relationship Id="rId85" Type="http://schemas.openxmlformats.org/officeDocument/2006/relationships/hyperlink" Target="https://www.nesdc.go.th/main.php?filename=social"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stat.bora.dopa.go.th/stat/statnew/statMenu/newStat/home.php" TargetMode="External"/><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image" Target="media/image19.png"/><Relationship Id="rId38" Type="http://schemas.openxmlformats.org/officeDocument/2006/relationships/image" Target="media/image22.png"/><Relationship Id="rId46" Type="http://schemas.openxmlformats.org/officeDocument/2006/relationships/image" Target="media/image27.png"/><Relationship Id="rId59" Type="http://schemas.openxmlformats.org/officeDocument/2006/relationships/image" Target="media/image40.png"/><Relationship Id="rId67" Type="http://schemas.openxmlformats.org/officeDocument/2006/relationships/image" Target="media/image46.png"/><Relationship Id="rId20" Type="http://schemas.openxmlformats.org/officeDocument/2006/relationships/image" Target="media/image9.png"/><Relationship Id="rId41" Type="http://schemas.openxmlformats.org/officeDocument/2006/relationships/hyperlink" Target="https://www.nesdc.go.th/main.php?filename=social" TargetMode="External"/><Relationship Id="rId54" Type="http://schemas.openxmlformats.org/officeDocument/2006/relationships/image" Target="media/image35.png"/><Relationship Id="rId62" Type="http://schemas.openxmlformats.org/officeDocument/2006/relationships/image" Target="media/image43.png"/><Relationship Id="rId70" Type="http://schemas.openxmlformats.org/officeDocument/2006/relationships/hyperlink" Target="https://www.emdat.be/" TargetMode="External"/><Relationship Id="rId75" Type="http://schemas.openxmlformats.org/officeDocument/2006/relationships/hyperlink" Target="https://www.dcce.go.th/" TargetMode="External"/><Relationship Id="rId83" Type="http://schemas.openxmlformats.org/officeDocument/2006/relationships/hyperlink" Target="https://data-explorer.oecd.org/" TargetMode="External"/><Relationship Id="rId88" Type="http://schemas.openxmlformats.org/officeDocument/2006/relationships/hyperlink" Target="https://www.unwto.org/tourism-statistics/economic-contribution-SDG"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tat.bora.dopa.go.th/stat/statnew/statMenu/newStat/home.php" TargetMode="External"/><Relationship Id="rId23" Type="http://schemas.openxmlformats.org/officeDocument/2006/relationships/hyperlink" Target="https://stat.bora.dopa.go.th/stat/statnew/statMenu/newStat/home.php" TargetMode="External"/><Relationship Id="rId28" Type="http://schemas.openxmlformats.org/officeDocument/2006/relationships/image" Target="media/image15.png"/><Relationship Id="rId36" Type="http://schemas.openxmlformats.org/officeDocument/2006/relationships/image" Target="media/image21.png"/><Relationship Id="rId49" Type="http://schemas.openxmlformats.org/officeDocument/2006/relationships/image" Target="media/image30.png"/><Relationship Id="rId57" Type="http://schemas.openxmlformats.org/officeDocument/2006/relationships/image" Target="media/image38.png"/><Relationship Id="rId10" Type="http://schemas.openxmlformats.org/officeDocument/2006/relationships/image" Target="media/image2.png"/><Relationship Id="rId31" Type="http://schemas.openxmlformats.org/officeDocument/2006/relationships/hyperlink" Target="https://stat.bora.dopa.go.th/stat/statnew/statMenu/newStat/home.php" TargetMode="External"/><Relationship Id="rId44" Type="http://schemas.openxmlformats.org/officeDocument/2006/relationships/image" Target="media/image26.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5.png"/><Relationship Id="rId73" Type="http://schemas.openxmlformats.org/officeDocument/2006/relationships/image" Target="media/image49.png"/><Relationship Id="rId78" Type="http://schemas.openxmlformats.org/officeDocument/2006/relationships/hyperlink" Target="https://www.emdat.be/" TargetMode="External"/><Relationship Id="rId81" Type="http://schemas.openxmlformats.org/officeDocument/2006/relationships/hyperlink" Target="https://www.google.com/search?q=https://dce-fs-live-dce.it.au.dk/filarkiv/89/AR_89.pdf" TargetMode="External"/><Relationship Id="rId86" Type="http://schemas.openxmlformats.org/officeDocument/2006/relationships/hyperlink" Target="https://faolex.fao.org/docs/pdf/tha200834.pdf"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3.png"/><Relationship Id="rId34" Type="http://schemas.openxmlformats.org/officeDocument/2006/relationships/hyperlink" Target="https://data-explorer.oecd.org/" TargetMode="External"/><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hyperlink" Target="https://stat.bora.dopa.go.th/stat/statnew/statMenu/newStat/home.php" TargetMode="External"/><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2.png"/><Relationship Id="rId40" Type="http://schemas.openxmlformats.org/officeDocument/2006/relationships/image" Target="media/image24.png"/><Relationship Id="rId45" Type="http://schemas.openxmlformats.org/officeDocument/2006/relationships/hyperlink" Target="https://hdr.undp.org/data-center/documentation-and-downloads" TargetMode="External"/><Relationship Id="rId66" Type="http://schemas.openxmlformats.org/officeDocument/2006/relationships/hyperlink" Target="https://de-public-statsuite.fao.org/" TargetMode="External"/><Relationship Id="rId87" Type="http://schemas.openxmlformats.org/officeDocument/2006/relationships/hyperlink" Target="https://www.google.com/search?q=https://www.nesdc.go.th/download/document/Socio-Economic/13th_Plan_Eng.pdf" TargetMode="External"/><Relationship Id="rId61" Type="http://schemas.openxmlformats.org/officeDocument/2006/relationships/image" Target="media/image42.png"/><Relationship Id="rId82" Type="http://schemas.openxmlformats.org/officeDocument/2006/relationships/hyperlink" Target="https://www.nature.com/articles/nature01359" TargetMode="External"/><Relationship Id="rId19" Type="http://schemas.openxmlformats.org/officeDocument/2006/relationships/hyperlink" Target="https://stat.bora.dopa.go.th/stat/statnew/statMenu/newStat/home.php" TargetMode="External"/><Relationship Id="rId14" Type="http://schemas.openxmlformats.org/officeDocument/2006/relationships/image" Target="media/image5.png"/><Relationship Id="rId30" Type="http://schemas.openxmlformats.org/officeDocument/2006/relationships/image" Target="media/image17.png"/><Relationship Id="rId35" Type="http://schemas.openxmlformats.org/officeDocument/2006/relationships/image" Target="media/image20.png"/><Relationship Id="rId56" Type="http://schemas.openxmlformats.org/officeDocument/2006/relationships/image" Target="media/image37.png"/><Relationship Id="rId77" Type="http://schemas.openxmlformats.org/officeDocument/2006/relationships/hyperlink" Target="https://www.eea.europa.eu/publications/TEC25"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0-12T02:34:17.616"/>
    </inkml:context>
    <inkml:brush xml:id="br0">
      <inkml:brushProperty name="width" value="0.05" units="cm"/>
      <inkml:brushProperty name="height" value="0.05" units="cm"/>
      <inkml:brushProperty name="color" value="#CEFEF2"/>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4CA1E-0C9C-461F-9030-A65745115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1078</TotalTime>
  <Pages>34</Pages>
  <Words>7458</Words>
  <Characters>42511</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c:creator>
  <cp:keywords/>
  <dc:description/>
  <cp:lastModifiedBy>M</cp:lastModifiedBy>
  <cp:revision>70</cp:revision>
  <cp:lastPrinted>2025-11-16T14:03:00Z</cp:lastPrinted>
  <dcterms:created xsi:type="dcterms:W3CDTF">2025-12-01T14:18:00Z</dcterms:created>
  <dcterms:modified xsi:type="dcterms:W3CDTF">2025-12-06T06:56:00Z</dcterms:modified>
</cp:coreProperties>
</file>